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88997" w14:textId="77777777" w:rsidR="008F4CD5" w:rsidRPr="00CC2902" w:rsidRDefault="008F4CD5" w:rsidP="008F4CD5">
      <w:pPr>
        <w:rPr>
          <w:rFonts w:asciiTheme="majorBidi" w:hAnsiTheme="majorBidi" w:cstheme="majorBidi"/>
          <w:sz w:val="24"/>
          <w:szCs w:val="24"/>
        </w:rPr>
      </w:pPr>
    </w:p>
    <w:p w14:paraId="30B35CEB" w14:textId="77777777" w:rsidR="008F4CD5" w:rsidRPr="00CC2902" w:rsidRDefault="008F4CD5" w:rsidP="008F4CD5">
      <w:pPr>
        <w:rPr>
          <w:rFonts w:asciiTheme="majorBidi" w:hAnsiTheme="majorBidi" w:cstheme="majorBidi"/>
          <w:sz w:val="24"/>
          <w:szCs w:val="24"/>
        </w:rPr>
      </w:pPr>
    </w:p>
    <w:p w14:paraId="6C006EE5" w14:textId="77777777" w:rsidR="008F4CD5" w:rsidRPr="00CC2902" w:rsidRDefault="008F4CD5" w:rsidP="008F4CD5">
      <w:pPr>
        <w:rPr>
          <w:rFonts w:asciiTheme="majorBidi" w:hAnsiTheme="majorBidi" w:cstheme="majorBidi"/>
          <w:sz w:val="24"/>
          <w:szCs w:val="24"/>
        </w:rPr>
      </w:pPr>
    </w:p>
    <w:p w14:paraId="67AB4AFD" w14:textId="77777777" w:rsidR="008F4CD5" w:rsidRPr="00CC2902" w:rsidRDefault="008F4CD5" w:rsidP="008F4CD5">
      <w:pPr>
        <w:rPr>
          <w:rFonts w:asciiTheme="majorBidi" w:hAnsiTheme="majorBidi" w:cstheme="majorBidi"/>
          <w:sz w:val="24"/>
          <w:szCs w:val="24"/>
        </w:rPr>
      </w:pPr>
    </w:p>
    <w:p w14:paraId="3168B93B" w14:textId="1681548E" w:rsidR="008F4CD5" w:rsidRPr="00CC2902" w:rsidRDefault="008F4CD5" w:rsidP="008F4CD5">
      <w:pPr>
        <w:jc w:val="center"/>
        <w:rPr>
          <w:rFonts w:asciiTheme="majorBidi" w:hAnsiTheme="majorBidi" w:cstheme="majorBidi"/>
          <w:b/>
          <w:bCs/>
          <w:sz w:val="32"/>
          <w:szCs w:val="32"/>
        </w:rPr>
      </w:pPr>
      <w:r>
        <w:rPr>
          <w:rFonts w:asciiTheme="majorBidi" w:hAnsiTheme="majorBidi" w:cstheme="majorBidi"/>
          <w:b/>
          <w:bCs/>
          <w:sz w:val="32"/>
          <w:szCs w:val="32"/>
        </w:rPr>
        <w:t>Reproductive Rights</w:t>
      </w:r>
    </w:p>
    <w:p w14:paraId="1996E6CD" w14:textId="77777777" w:rsidR="008F4CD5" w:rsidRPr="00CC2902" w:rsidRDefault="008F4CD5" w:rsidP="008F4CD5">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613A3EA6" w14:textId="64CE9C63" w:rsidR="008F4CD5" w:rsidRDefault="008F4CD5" w:rsidP="008F4CD5">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Pr>
          <w:rFonts w:asciiTheme="majorBidi" w:hAnsiTheme="majorBidi" w:cstheme="majorBidi"/>
          <w:sz w:val="24"/>
          <w:szCs w:val="24"/>
        </w:rPr>
        <w:br w:type="page"/>
      </w:r>
    </w:p>
    <w:p w14:paraId="7A2D8B1B" w14:textId="005A69F7" w:rsidR="006E254D" w:rsidRDefault="008D56F9" w:rsidP="008D56F9">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Reproductive rights </w:t>
      </w:r>
      <w:r w:rsidR="00701D41">
        <w:rPr>
          <w:rFonts w:asciiTheme="majorBidi" w:hAnsiTheme="majorBidi" w:cstheme="majorBidi"/>
          <w:sz w:val="24"/>
          <w:szCs w:val="24"/>
        </w:rPr>
        <w:t>have an undeniable relationship with gendered labor as, on a systemic level, the burden to fight for every sloppy portion of reproductive freedom we could get has been historically laid solely on women. Organized religion and culture have relentlessly contributed to strip only women of the social and legal right to choose when or how to reproduce. It is a naturally laid disadvantage that women go through the physical pains of pregnancy and labor. There are countless health-related concerns which come with the package and quite obviously, those are gendered as well. Pregnancy is, therefore, essentially a gendered labor. This ultimately leads to the point that the legal system is rigged against women even if they are trying to exercise their reproductive rights in a state as ostentatiously liberal as New York.</w:t>
      </w:r>
      <w:sdt>
        <w:sdtPr>
          <w:rPr>
            <w:rFonts w:asciiTheme="majorBidi" w:hAnsiTheme="majorBidi" w:cstheme="majorBidi"/>
            <w:sz w:val="24"/>
            <w:szCs w:val="24"/>
          </w:rPr>
          <w:id w:val="-1399133181"/>
          <w:citation/>
        </w:sdtPr>
        <w:sdtContent>
          <w:r w:rsidR="00701D41">
            <w:rPr>
              <w:rFonts w:asciiTheme="majorBidi" w:hAnsiTheme="majorBidi" w:cstheme="majorBidi"/>
              <w:sz w:val="24"/>
              <w:szCs w:val="24"/>
            </w:rPr>
            <w:fldChar w:fldCharType="begin"/>
          </w:r>
          <w:r w:rsidR="00701D41">
            <w:rPr>
              <w:rFonts w:asciiTheme="majorBidi" w:hAnsiTheme="majorBidi" w:cstheme="majorBidi"/>
              <w:sz w:val="24"/>
              <w:szCs w:val="24"/>
            </w:rPr>
            <w:instrText xml:space="preserve"> CITATION Tol19 \l 1033 </w:instrText>
          </w:r>
          <w:r w:rsidR="00701D41">
            <w:rPr>
              <w:rFonts w:asciiTheme="majorBidi" w:hAnsiTheme="majorBidi" w:cstheme="majorBidi"/>
              <w:sz w:val="24"/>
              <w:szCs w:val="24"/>
            </w:rPr>
            <w:fldChar w:fldCharType="separate"/>
          </w:r>
          <w:r w:rsidR="00701D41">
            <w:rPr>
              <w:rFonts w:asciiTheme="majorBidi" w:hAnsiTheme="majorBidi" w:cstheme="majorBidi"/>
              <w:noProof/>
              <w:sz w:val="24"/>
              <w:szCs w:val="24"/>
            </w:rPr>
            <w:t xml:space="preserve"> </w:t>
          </w:r>
          <w:r w:rsidR="00701D41" w:rsidRPr="00701D41">
            <w:rPr>
              <w:rFonts w:asciiTheme="majorBidi" w:hAnsiTheme="majorBidi" w:cstheme="majorBidi"/>
              <w:noProof/>
              <w:sz w:val="24"/>
              <w:szCs w:val="24"/>
            </w:rPr>
            <w:t>(Tolentino, 2019)</w:t>
          </w:r>
          <w:r w:rsidR="00701D41">
            <w:rPr>
              <w:rFonts w:asciiTheme="majorBidi" w:hAnsiTheme="majorBidi" w:cstheme="majorBidi"/>
              <w:sz w:val="24"/>
              <w:szCs w:val="24"/>
            </w:rPr>
            <w:fldChar w:fldCharType="end"/>
          </w:r>
        </w:sdtContent>
      </w:sdt>
      <w:r w:rsidR="008F4CD5">
        <w:rPr>
          <w:rFonts w:asciiTheme="majorBidi" w:hAnsiTheme="majorBidi" w:cstheme="majorBidi"/>
          <w:sz w:val="24"/>
          <w:szCs w:val="24"/>
        </w:rPr>
        <w:t xml:space="preserve"> Gendered labor shows itself in being legally isolated and preyed upon over reproductive rights and it shows itself in the fight for these rights. </w:t>
      </w:r>
    </w:p>
    <w:p w14:paraId="279FE892" w14:textId="7D587916" w:rsidR="00D9388B" w:rsidRDefault="008F4CD5" w:rsidP="008D56F9">
      <w:pPr>
        <w:spacing w:line="480" w:lineRule="auto"/>
        <w:jc w:val="both"/>
        <w:rPr>
          <w:rFonts w:asciiTheme="majorBidi" w:hAnsiTheme="majorBidi" w:cstheme="majorBidi"/>
          <w:sz w:val="24"/>
          <w:szCs w:val="24"/>
        </w:rPr>
      </w:pPr>
      <w:r>
        <w:rPr>
          <w:rFonts w:asciiTheme="majorBidi" w:hAnsiTheme="majorBidi" w:cstheme="majorBidi"/>
          <w:sz w:val="24"/>
          <w:szCs w:val="24"/>
        </w:rPr>
        <w:t>Although reproductive rights only work around abortion and other healthcare services to women, domestic abuse also has a connection with reproductive rights. It has historically been common practice to enforce familial patriarchy in order to compel women to reproduce even if it falls outside their consent, emotional wellbeing or even physical capacity. Countless women have died of excessive exposure to pregnancy and childbirth. Countless more have died due to domestic negligence during pregnancies. If a woman had to get pregnant 18 times in a 30-year-old marriage to die at the age of 48,</w:t>
      </w:r>
      <w:sdt>
        <w:sdtPr>
          <w:rPr>
            <w:rFonts w:asciiTheme="majorBidi" w:hAnsiTheme="majorBidi" w:cstheme="majorBidi"/>
            <w:sz w:val="24"/>
            <w:szCs w:val="24"/>
          </w:rPr>
          <w:id w:val="1038710752"/>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San31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8F4CD5">
            <w:rPr>
              <w:rFonts w:asciiTheme="majorBidi" w:hAnsiTheme="majorBidi" w:cstheme="majorBidi"/>
              <w:noProof/>
              <w:sz w:val="24"/>
              <w:szCs w:val="24"/>
            </w:rPr>
            <w:t>(Sanger, 1931)</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there is domestic abuse involved. Underage girls have been forced into pregnancies on countless occasions which counts as both sexualization and domestic abuse. Overly sexualizing the female body </w:t>
      </w:r>
      <w:r w:rsidR="00D9388B">
        <w:rPr>
          <w:rFonts w:asciiTheme="majorBidi" w:hAnsiTheme="majorBidi" w:cstheme="majorBidi"/>
          <w:sz w:val="24"/>
          <w:szCs w:val="24"/>
        </w:rPr>
        <w:t>is a method of control. Withholding reproductive rights is another way of doing the same. Sexualizing women yet denying them the right to choose what to do with their sexuality is another method of achieving the same goal.</w:t>
      </w:r>
    </w:p>
    <w:p w14:paraId="462A35BB" w14:textId="77777777" w:rsidR="00D9388B" w:rsidRDefault="00D9388B">
      <w:pPr>
        <w:rPr>
          <w:rFonts w:asciiTheme="majorBidi" w:hAnsiTheme="majorBidi" w:cstheme="majorBidi"/>
          <w:sz w:val="24"/>
          <w:szCs w:val="24"/>
        </w:rPr>
      </w:pPr>
      <w:r>
        <w:rPr>
          <w:rFonts w:asciiTheme="majorBidi" w:hAnsiTheme="majorBidi" w:cstheme="majorBidi"/>
          <w:sz w:val="24"/>
          <w:szCs w:val="24"/>
        </w:rPr>
        <w:br w:type="page"/>
      </w:r>
    </w:p>
    <w:sdt>
      <w:sdtPr>
        <w:id w:val="-970511146"/>
        <w:docPartObj>
          <w:docPartGallery w:val="Bibliographies"/>
          <w:docPartUnique/>
        </w:docPartObj>
      </w:sdtPr>
      <w:sdtEndPr>
        <w:rPr>
          <w:rFonts w:asciiTheme="minorHAnsi" w:eastAsiaTheme="minorHAnsi" w:hAnsiTheme="minorHAnsi" w:cstheme="minorBidi"/>
          <w:color w:val="auto"/>
          <w:sz w:val="22"/>
          <w:szCs w:val="22"/>
          <w:lang w:bidi="ur-PK"/>
        </w:rPr>
      </w:sdtEndPr>
      <w:sdtContent>
        <w:bookmarkStart w:id="0" w:name="_GoBack" w:displacedByCustomXml="prev"/>
        <w:p w14:paraId="17925619" w14:textId="124E5B60" w:rsidR="00D9388B" w:rsidRPr="00D9388B" w:rsidRDefault="00D9388B" w:rsidP="00D9388B">
          <w:pPr>
            <w:pStyle w:val="Heading1"/>
            <w:jc w:val="center"/>
            <w:rPr>
              <w:rFonts w:asciiTheme="majorBidi" w:hAnsiTheme="majorBidi"/>
              <w:color w:val="auto"/>
            </w:rPr>
          </w:pPr>
          <w:r w:rsidRPr="00D9388B">
            <w:rPr>
              <w:rFonts w:asciiTheme="majorBidi" w:hAnsiTheme="majorBidi"/>
              <w:color w:val="auto"/>
            </w:rPr>
            <w:t>References</w:t>
          </w:r>
        </w:p>
        <w:bookmarkEnd w:id="0" w:displacedByCustomXml="next"/>
        <w:sdt>
          <w:sdtPr>
            <w:rPr>
              <w:rFonts w:asciiTheme="majorBidi" w:hAnsiTheme="majorBidi" w:cstheme="majorBidi"/>
            </w:rPr>
            <w:id w:val="-573587230"/>
            <w:bibliography/>
          </w:sdtPr>
          <w:sdtEndPr>
            <w:rPr>
              <w:rFonts w:asciiTheme="minorHAnsi" w:hAnsiTheme="minorHAnsi" w:cstheme="minorBidi"/>
            </w:rPr>
          </w:sdtEndPr>
          <w:sdtContent>
            <w:p w14:paraId="03AA42C9" w14:textId="77777777" w:rsidR="00D9388B" w:rsidRPr="00D9388B" w:rsidRDefault="00D9388B" w:rsidP="00D9388B">
              <w:pPr>
                <w:pStyle w:val="Bibliography"/>
                <w:ind w:left="720" w:hanging="720"/>
                <w:rPr>
                  <w:rFonts w:asciiTheme="majorBidi" w:hAnsiTheme="majorBidi" w:cstheme="majorBidi"/>
                  <w:noProof/>
                  <w:sz w:val="24"/>
                  <w:szCs w:val="24"/>
                </w:rPr>
              </w:pPr>
              <w:r w:rsidRPr="00D9388B">
                <w:rPr>
                  <w:rFonts w:asciiTheme="majorBidi" w:hAnsiTheme="majorBidi" w:cstheme="majorBidi"/>
                </w:rPr>
                <w:fldChar w:fldCharType="begin"/>
              </w:r>
              <w:r w:rsidRPr="00D9388B">
                <w:rPr>
                  <w:rFonts w:asciiTheme="majorBidi" w:hAnsiTheme="majorBidi" w:cstheme="majorBidi"/>
                </w:rPr>
                <w:instrText xml:space="preserve"> BIBLIOGRAPHY </w:instrText>
              </w:r>
              <w:r w:rsidRPr="00D9388B">
                <w:rPr>
                  <w:rFonts w:asciiTheme="majorBidi" w:hAnsiTheme="majorBidi" w:cstheme="majorBidi"/>
                </w:rPr>
                <w:fldChar w:fldCharType="separate"/>
              </w:r>
              <w:r w:rsidRPr="00D9388B">
                <w:rPr>
                  <w:rFonts w:asciiTheme="majorBidi" w:hAnsiTheme="majorBidi" w:cstheme="majorBidi"/>
                  <w:noProof/>
                </w:rPr>
                <w:t xml:space="preserve">Sanger, M. (1931). </w:t>
              </w:r>
              <w:r w:rsidRPr="00D9388B">
                <w:rPr>
                  <w:rFonts w:asciiTheme="majorBidi" w:hAnsiTheme="majorBidi" w:cstheme="majorBidi"/>
                  <w:i/>
                  <w:iCs/>
                  <w:noProof/>
                </w:rPr>
                <w:t>My fight for birth control.</w:t>
              </w:r>
              <w:r w:rsidRPr="00D9388B">
                <w:rPr>
                  <w:rFonts w:asciiTheme="majorBidi" w:hAnsiTheme="majorBidi" w:cstheme="majorBidi"/>
                  <w:noProof/>
                </w:rPr>
                <w:t xml:space="preserve"> New York: Farrar and Rinehart.</w:t>
              </w:r>
            </w:p>
            <w:p w14:paraId="35D0C41B" w14:textId="77777777" w:rsidR="00D9388B" w:rsidRPr="00D9388B" w:rsidRDefault="00D9388B" w:rsidP="00D9388B">
              <w:pPr>
                <w:pStyle w:val="Bibliography"/>
                <w:ind w:left="720" w:hanging="720"/>
                <w:rPr>
                  <w:rFonts w:asciiTheme="majorBidi" w:hAnsiTheme="majorBidi" w:cstheme="majorBidi"/>
                  <w:noProof/>
                </w:rPr>
              </w:pPr>
              <w:r w:rsidRPr="00D9388B">
                <w:rPr>
                  <w:rFonts w:asciiTheme="majorBidi" w:hAnsiTheme="majorBidi" w:cstheme="majorBidi"/>
                  <w:noProof/>
                </w:rPr>
                <w:t xml:space="preserve">Tolentino, J. (2019, 01 19). </w:t>
              </w:r>
              <w:r w:rsidRPr="00D9388B">
                <w:rPr>
                  <w:rFonts w:asciiTheme="majorBidi" w:hAnsiTheme="majorBidi" w:cstheme="majorBidi"/>
                  <w:i/>
                  <w:iCs/>
                  <w:noProof/>
                </w:rPr>
                <w:t>How Abortion Law in New York will Change, and How it Won't</w:t>
              </w:r>
              <w:r w:rsidRPr="00D9388B">
                <w:rPr>
                  <w:rFonts w:asciiTheme="majorBidi" w:hAnsiTheme="majorBidi" w:cstheme="majorBidi"/>
                  <w:noProof/>
                </w:rPr>
                <w:t>. Retrieved from The New Yorker: https://www.newyorker.com/news/news-desk/how-abortion-law-in-new-york-will-change-and-how-it-wont</w:t>
              </w:r>
            </w:p>
            <w:p w14:paraId="63FDBB0C" w14:textId="0CB18BD6" w:rsidR="00D9388B" w:rsidRDefault="00D9388B" w:rsidP="00D9388B">
              <w:r w:rsidRPr="00D9388B">
                <w:rPr>
                  <w:rFonts w:asciiTheme="majorBidi" w:hAnsiTheme="majorBidi" w:cstheme="majorBidi"/>
                  <w:b/>
                  <w:bCs/>
                  <w:noProof/>
                </w:rPr>
                <w:fldChar w:fldCharType="end"/>
              </w:r>
            </w:p>
          </w:sdtContent>
        </w:sdt>
      </w:sdtContent>
    </w:sdt>
    <w:p w14:paraId="06E43F2E" w14:textId="77777777" w:rsidR="008F4CD5" w:rsidRPr="008D56F9" w:rsidRDefault="008F4CD5" w:rsidP="008D56F9">
      <w:pPr>
        <w:spacing w:line="480" w:lineRule="auto"/>
        <w:jc w:val="both"/>
        <w:rPr>
          <w:rFonts w:asciiTheme="majorBidi" w:hAnsiTheme="majorBidi" w:cstheme="majorBidi"/>
          <w:sz w:val="24"/>
          <w:szCs w:val="24"/>
        </w:rPr>
      </w:pPr>
    </w:p>
    <w:sectPr w:rsidR="008F4CD5" w:rsidRPr="008D5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F9"/>
    <w:rsid w:val="006231E1"/>
    <w:rsid w:val="00701D41"/>
    <w:rsid w:val="008D3CF3"/>
    <w:rsid w:val="008D56F9"/>
    <w:rsid w:val="008F4CD5"/>
    <w:rsid w:val="00D9388B"/>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30A9"/>
  <w15:chartTrackingRefBased/>
  <w15:docId w15:val="{6D089360-C725-49B1-8AAB-88E76DEF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D9388B"/>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88B"/>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D9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9234">
      <w:bodyDiv w:val="1"/>
      <w:marLeft w:val="0"/>
      <w:marRight w:val="0"/>
      <w:marTop w:val="0"/>
      <w:marBottom w:val="0"/>
      <w:divBdr>
        <w:top w:val="none" w:sz="0" w:space="0" w:color="auto"/>
        <w:left w:val="none" w:sz="0" w:space="0" w:color="auto"/>
        <w:bottom w:val="none" w:sz="0" w:space="0" w:color="auto"/>
        <w:right w:val="none" w:sz="0" w:space="0" w:color="auto"/>
      </w:divBdr>
    </w:div>
    <w:div w:id="402487184">
      <w:bodyDiv w:val="1"/>
      <w:marLeft w:val="0"/>
      <w:marRight w:val="0"/>
      <w:marTop w:val="0"/>
      <w:marBottom w:val="0"/>
      <w:divBdr>
        <w:top w:val="none" w:sz="0" w:space="0" w:color="auto"/>
        <w:left w:val="none" w:sz="0" w:space="0" w:color="auto"/>
        <w:bottom w:val="none" w:sz="0" w:space="0" w:color="auto"/>
        <w:right w:val="none" w:sz="0" w:space="0" w:color="auto"/>
      </w:divBdr>
    </w:div>
    <w:div w:id="15482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Tol19</b:Tag>
    <b:SourceType>InternetSite</b:SourceType>
    <b:Guid>{2411B0EA-E060-495A-A65F-0EF9217896A7}</b:Guid>
    <b:Title>How Abortion Law in New York will Change, and How it Won't</b:Title>
    <b:Year>2019</b:Year>
    <b:Author>
      <b:Author>
        <b:NameList>
          <b:Person>
            <b:Last>Tolentino</b:Last>
            <b:First>J.</b:First>
          </b:Person>
        </b:NameList>
      </b:Author>
    </b:Author>
    <b:InternetSiteTitle>The New Yorker</b:InternetSiteTitle>
    <b:Month>01</b:Month>
    <b:Day>19</b:Day>
    <b:URL>https://www.newyorker.com/news/news-desk/how-abortion-law-in-new-york-will-change-and-how-it-wont</b:URL>
    <b:RefOrder>1</b:RefOrder>
  </b:Source>
  <b:Source>
    <b:Tag>San31</b:Tag>
    <b:SourceType>Book</b:SourceType>
    <b:Guid>{8A4E0A49-7171-4CDB-AC2C-379834898650}</b:Guid>
    <b:Title>My fight for birth control</b:Title>
    <b:Year>1931</b:Year>
    <b:Author>
      <b:Author>
        <b:NameList>
          <b:Person>
            <b:Last>Sanger</b:Last>
            <b:First>M.</b:First>
          </b:Person>
        </b:NameList>
      </b:Author>
    </b:Author>
    <b:City>New York</b:City>
    <b:Publisher>Farrar and Rinehart</b:Publisher>
    <b:RefOrder>2</b:RefOrder>
  </b:Source>
</b:Sources>
</file>

<file path=customXml/itemProps1.xml><?xml version="1.0" encoding="utf-8"?>
<ds:datastoreItem xmlns:ds="http://schemas.openxmlformats.org/officeDocument/2006/customXml" ds:itemID="{7027307C-7C54-4006-91EE-902C31A4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2019-10-31T22:13:00Z</dcterms:created>
  <dcterms:modified xsi:type="dcterms:W3CDTF">2019-10-31T23:01:00Z</dcterms:modified>
</cp:coreProperties>
</file>