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BB36" w14:textId="77777777" w:rsidR="000F7692" w:rsidRPr="000F7692" w:rsidRDefault="000F7692" w:rsidP="000F7692">
      <w:pPr>
        <w:rPr>
          <w:b/>
        </w:rPr>
      </w:pPr>
      <w:r w:rsidRPr="000F7692">
        <w:rPr>
          <w:b/>
        </w:rPr>
        <w:t>Determining Warehouse Location</w:t>
      </w:r>
    </w:p>
    <w:p w14:paraId="56B8AD97" w14:textId="77777777" w:rsidR="000F7692" w:rsidRPr="000F7692" w:rsidRDefault="000F7692" w:rsidP="000F7692">
      <w:r w:rsidRPr="000F7692">
        <w:t xml:space="preserve">Deciding on a warehouse location is a huge choice that impacts each part of a business - finding a harmony between a helpful location and a sensible lease cost is integral. The location of your warehouse straightforwardly adds to the proficiency of your organization just as the general client experience. In case you're on the search for leasing or purchasing a warehouse location, you realize just how troublesome it tends to be to settle on such a momentous choice. Here are a few components to consider to guarantee your organization's capacity to viably serve your clients in a proficient, powerful, and gainful manner. </w:t>
      </w:r>
    </w:p>
    <w:p w14:paraId="402E2F36" w14:textId="5307D88D" w:rsidR="000F7692" w:rsidRPr="000F7692" w:rsidRDefault="000F7692" w:rsidP="000F7692">
      <w:pPr>
        <w:pStyle w:val="ListParagraph"/>
        <w:numPr>
          <w:ilvl w:val="0"/>
          <w:numId w:val="1"/>
        </w:numPr>
      </w:pPr>
      <w:r w:rsidRPr="000F7692">
        <w:t xml:space="preserve">Wanted Consumer Base </w:t>
      </w:r>
    </w:p>
    <w:p w14:paraId="1CF6FCD9" w14:textId="77777777" w:rsidR="000F7692" w:rsidRPr="000F7692" w:rsidRDefault="000F7692" w:rsidP="000F7692">
      <w:r w:rsidRPr="000F7692">
        <w:t xml:space="preserve">When choosing a location for a warehouse, remember your clients' locations. Determine your client base and pinpoint the district or locales that you are trying to serve. Having a warehouse location that is in closeness to your ideal shopper base takes into consideration quicker conveyances. Not exclusively will conveyances be quicker, however the closeness will likewise diminish shipping costs. Quicker conveyances and diminished shipping costs will emphatically add to the shopper's general client experience - when the shipping procedure is quicker and cheaper, the client will be happier and will be bound to remain a dependable client. </w:t>
      </w:r>
    </w:p>
    <w:p w14:paraId="4E37B50E" w14:textId="6F78C5EE" w:rsidR="000F7692" w:rsidRPr="000F7692" w:rsidRDefault="000F7692" w:rsidP="000F7692">
      <w:pPr>
        <w:pStyle w:val="ListParagraph"/>
        <w:numPr>
          <w:ilvl w:val="0"/>
          <w:numId w:val="1"/>
        </w:numPr>
      </w:pPr>
      <w:r w:rsidRPr="000F7692">
        <w:t xml:space="preserve">Nearness to Carrier Services </w:t>
      </w:r>
    </w:p>
    <w:p w14:paraId="3ED106C9" w14:textId="77777777" w:rsidR="000F7692" w:rsidRPr="000F7692" w:rsidRDefault="000F7692" w:rsidP="000F7692">
      <w:r w:rsidRPr="000F7692">
        <w:t xml:space="preserve">Consider your warehouse's nearness to bearer administrations. In the event that your warehouse is located close transporter offices, it will streamline the way toward shipping your product(s) to your client. Find a decent parity - find a location that offers both comfort and vicinity to your clients just as a bearer administration, making the shipping procedure simpler and quicker for both your organization and the clients. Determine a sensible equalization of separation between the manufacturing location, warehouse stockpiling, and client and consider the transportation and shipping costs that run with that remove. </w:t>
      </w:r>
    </w:p>
    <w:p w14:paraId="769329B2" w14:textId="4CD92A97" w:rsidR="000F7692" w:rsidRPr="000F7692" w:rsidRDefault="000F7692" w:rsidP="000F7692">
      <w:pPr>
        <w:pStyle w:val="ListParagraph"/>
        <w:numPr>
          <w:ilvl w:val="0"/>
          <w:numId w:val="1"/>
        </w:numPr>
      </w:pPr>
      <w:r w:rsidRPr="000F7692">
        <w:t xml:space="preserve">Capacity Requirements </w:t>
      </w:r>
    </w:p>
    <w:p w14:paraId="321DC154" w14:textId="34528BD5" w:rsidR="000F7692" w:rsidRPr="000F7692" w:rsidRDefault="000F7692" w:rsidP="000F7692">
      <w:r w:rsidRPr="000F7692">
        <w:t xml:space="preserve">Assess any extraordinary accommodations that you may have to make for your items. Ensure that the correct accommodations can be made at your ideal warehouse location. Plan ahead. Try not to sit idle and assets finding a warehouse space and afterward outgrowing the space shortly after. Spare time and exertion by estimating anticipated growth to have the capacity to make sense of an accurate thought of the capacity your organization needs. Consider leasing choices that permit adaptability away space dependent on changing purchaser demographics that your organization may understanding. Mention an informed objective fact of these components to guarantee the security of your warehouse location. </w:t>
      </w:r>
    </w:p>
    <w:p w14:paraId="00A20D68" w14:textId="019271BF" w:rsidR="000F7692" w:rsidRDefault="000F7692" w:rsidP="000F7692">
      <w:pPr>
        <w:rPr>
          <w:b/>
          <w:lang w:val="en-US"/>
        </w:rPr>
      </w:pPr>
      <w:r>
        <w:rPr>
          <w:b/>
          <w:lang w:val="en-US"/>
        </w:rPr>
        <w:t>Accurate Inventory Management</w:t>
      </w:r>
    </w:p>
    <w:p w14:paraId="79BE358A" w14:textId="77777777" w:rsidR="000F7692" w:rsidRPr="000F7692" w:rsidRDefault="000F7692" w:rsidP="000F7692">
      <w:r w:rsidRPr="000F7692">
        <w:t xml:space="preserve">Despite the fact that there have been tremendous advances in technology and business forms as of late, many manufacturersand wholesalers still can't perform essential warehouse activities without going into receptive mode. This is mainly because of an absence of appropriate inventory management procedures and methodology such as fundamental inventory record maintenance and reported inventory systems. </w:t>
      </w:r>
    </w:p>
    <w:p w14:paraId="0343D7C5" w14:textId="77777777" w:rsidR="000F7692" w:rsidRPr="000F7692" w:rsidRDefault="000F7692" w:rsidP="000F7692">
      <w:r w:rsidRPr="000F7692">
        <w:t xml:space="preserve">A few associations don't quantify inventory in an accurate manner or don't have genuine frameworks of estimation set up. In any case, each association should know that there are different advantages that accompanied having legitimate inventory management forms set up—including the </w:t>
      </w:r>
      <w:r w:rsidRPr="000F7692">
        <w:lastRenderedPageBreak/>
        <w:t xml:space="preserve">capacity to give brilliant client administration, give accurate item shipping lead times, diminish operating expenses, and give accurate information to financial records, just as the capacity to determine future purchases, or, for manufacturers, what should be organized in the manufacturing plant. </w:t>
      </w:r>
    </w:p>
    <w:p w14:paraId="4E6F496F" w14:textId="77777777" w:rsidR="000F7692" w:rsidRPr="000F7692" w:rsidRDefault="000F7692" w:rsidP="000F7692">
      <w:r w:rsidRPr="000F7692">
        <w:t xml:space="preserve">Inventory accuracy is one of the real performance factors in any warehouse or circulation focus. Indeed, having the suitable measure of inventory (for example not carrying a lot at a time but rather having what you need when you need it) is a noteworthy achievement factor for associations. </w:t>
      </w:r>
    </w:p>
    <w:p w14:paraId="0D001CB5" w14:textId="77777777" w:rsidR="000F7692" w:rsidRPr="000F7692" w:rsidRDefault="000F7692" w:rsidP="000F7692">
      <w:r w:rsidRPr="000F7692">
        <w:t xml:space="preserve">Inventory must be maintained successfully with the right procedures and with appropriate inventory management techniques set up. Most inventory issues emerge from poor inventory control measures and an absence of legitimate procedures for reporting exchanges happening progressively within the warehouse. When an inventory issue manifests, many associations choose to act in a receptive manner rather than trying to fix the underlying issue. </w:t>
      </w:r>
    </w:p>
    <w:p w14:paraId="0DF7DF40" w14:textId="77777777" w:rsidR="000F7692" w:rsidRPr="000F7692" w:rsidRDefault="000F7692" w:rsidP="000F7692">
      <w:r w:rsidRPr="000F7692">
        <w:t xml:space="preserve">The most brilliant approach to run your warehouse is to have reported procedures set up that check inventory issues from developing in any way before issues happen. </w:t>
      </w:r>
    </w:p>
    <w:p w14:paraId="18D7F1BF" w14:textId="4EA4661C" w:rsidR="000F7692" w:rsidRPr="000F7692" w:rsidRDefault="000F7692" w:rsidP="000F7692">
      <w:pPr>
        <w:rPr>
          <w:b/>
          <w:lang w:val="en-US"/>
        </w:rPr>
      </w:pPr>
      <w:r>
        <w:rPr>
          <w:b/>
          <w:lang w:val="en-US"/>
        </w:rPr>
        <w:t>Just-In-Time Approach</w:t>
      </w:r>
    </w:p>
    <w:p w14:paraId="5A17E479" w14:textId="77777777" w:rsidR="000F7692" w:rsidRPr="000F7692" w:rsidRDefault="000F7692" w:rsidP="000F7692">
      <w:r w:rsidRPr="000F7692">
        <w:t xml:space="preserve">Just In Time (JIT) is a generation and inventory control framework in which materials are purchased and units are created just as expected to satisfy genuine client need. </w:t>
      </w:r>
    </w:p>
    <w:p w14:paraId="0F5334EB" w14:textId="0A8559A1" w:rsidR="000F7692" w:rsidRPr="000F7692" w:rsidRDefault="000F7692" w:rsidP="000F7692">
      <w:r w:rsidRPr="000F7692">
        <w:t>Just in time (JIT) inventory is a technique to increase productivity and reduction squander by receiving merchandise just as they are required in the generation procedure, thereby reducing inventory costs. In other words, JIT inventory alludes to an inventory management framework with targets of having inventory promptly accessible to fulfill need, however not to a point of abundance where you should store additional items.</w:t>
      </w:r>
    </w:p>
    <w:p w14:paraId="06AFCC1F" w14:textId="319C48ED" w:rsidR="000F7692" w:rsidRDefault="000F7692"/>
    <w:p w14:paraId="53A67288" w14:textId="3DE7DF9E" w:rsidR="000F7692" w:rsidRDefault="000F7692">
      <w:pPr>
        <w:rPr>
          <w:b/>
          <w:lang w:val="en-US"/>
        </w:rPr>
      </w:pPr>
      <w:r>
        <w:rPr>
          <w:b/>
          <w:lang w:val="en-US"/>
        </w:rPr>
        <w:t>MRP Plan</w:t>
      </w:r>
    </w:p>
    <w:p w14:paraId="0C9514AD" w14:textId="77777777" w:rsidR="001C7857" w:rsidRPr="006505C4" w:rsidRDefault="001C7857" w:rsidP="001C7857">
      <w:pPr>
        <w:rPr>
          <w:b/>
        </w:rPr>
      </w:pPr>
      <w:r w:rsidRPr="006505C4">
        <w:rPr>
          <w:b/>
        </w:rPr>
        <w:t xml:space="preserve">MRP – Template for Unit 4 Individual Project (Key Assignment) </w:t>
      </w:r>
    </w:p>
    <w:p w14:paraId="4E46E226" w14:textId="77777777" w:rsidR="001C7857" w:rsidRDefault="001C7857" w:rsidP="001C7857"/>
    <w:tbl>
      <w:tblPr>
        <w:tblStyle w:val="TableGrid"/>
        <w:tblW w:w="0" w:type="auto"/>
        <w:tblLook w:val="04A0" w:firstRow="1" w:lastRow="0" w:firstColumn="1" w:lastColumn="0" w:noHBand="0" w:noVBand="1"/>
      </w:tblPr>
      <w:tblGrid>
        <w:gridCol w:w="2142"/>
        <w:gridCol w:w="854"/>
        <w:gridCol w:w="860"/>
        <w:gridCol w:w="860"/>
        <w:gridCol w:w="860"/>
        <w:gridCol w:w="860"/>
        <w:gridCol w:w="860"/>
        <w:gridCol w:w="860"/>
        <w:gridCol w:w="860"/>
      </w:tblGrid>
      <w:tr w:rsidR="001C7857" w14:paraId="4F538AA9" w14:textId="77777777" w:rsidTr="008470F9">
        <w:tc>
          <w:tcPr>
            <w:tcW w:w="2160" w:type="dxa"/>
          </w:tcPr>
          <w:p w14:paraId="105EB994" w14:textId="77777777" w:rsidR="001C7857" w:rsidRPr="006505C4" w:rsidRDefault="001C7857" w:rsidP="008470F9">
            <w:pPr>
              <w:rPr>
                <w:b/>
              </w:rPr>
            </w:pPr>
            <w:r w:rsidRPr="006505C4">
              <w:rPr>
                <w:b/>
              </w:rPr>
              <w:t>Month</w:t>
            </w:r>
          </w:p>
        </w:tc>
        <w:tc>
          <w:tcPr>
            <w:tcW w:w="864" w:type="dxa"/>
          </w:tcPr>
          <w:p w14:paraId="1D021A37" w14:textId="77777777" w:rsidR="001C7857" w:rsidRDefault="001C7857" w:rsidP="008470F9">
            <w:r>
              <w:t>-2</w:t>
            </w:r>
          </w:p>
        </w:tc>
        <w:tc>
          <w:tcPr>
            <w:tcW w:w="864" w:type="dxa"/>
          </w:tcPr>
          <w:p w14:paraId="74B47357" w14:textId="77777777" w:rsidR="001C7857" w:rsidRDefault="001C7857" w:rsidP="008470F9">
            <w:r>
              <w:t>-1</w:t>
            </w:r>
          </w:p>
        </w:tc>
        <w:tc>
          <w:tcPr>
            <w:tcW w:w="864" w:type="dxa"/>
          </w:tcPr>
          <w:p w14:paraId="49B9B5C2" w14:textId="77777777" w:rsidR="001C7857" w:rsidRDefault="001C7857" w:rsidP="008470F9">
            <w:r>
              <w:t>1</w:t>
            </w:r>
          </w:p>
        </w:tc>
        <w:tc>
          <w:tcPr>
            <w:tcW w:w="864" w:type="dxa"/>
          </w:tcPr>
          <w:p w14:paraId="747EB5B4" w14:textId="77777777" w:rsidR="001C7857" w:rsidRDefault="001C7857" w:rsidP="008470F9">
            <w:r>
              <w:t>2</w:t>
            </w:r>
          </w:p>
        </w:tc>
        <w:tc>
          <w:tcPr>
            <w:tcW w:w="864" w:type="dxa"/>
          </w:tcPr>
          <w:p w14:paraId="3C0DBF9D" w14:textId="77777777" w:rsidR="001C7857" w:rsidRDefault="001C7857" w:rsidP="008470F9">
            <w:r>
              <w:t>3</w:t>
            </w:r>
          </w:p>
        </w:tc>
        <w:tc>
          <w:tcPr>
            <w:tcW w:w="864" w:type="dxa"/>
          </w:tcPr>
          <w:p w14:paraId="767CC25F" w14:textId="77777777" w:rsidR="001C7857" w:rsidRDefault="001C7857" w:rsidP="008470F9">
            <w:r>
              <w:t>4</w:t>
            </w:r>
          </w:p>
        </w:tc>
        <w:tc>
          <w:tcPr>
            <w:tcW w:w="864" w:type="dxa"/>
          </w:tcPr>
          <w:p w14:paraId="2B39BCA3" w14:textId="77777777" w:rsidR="001C7857" w:rsidRDefault="001C7857" w:rsidP="008470F9">
            <w:r>
              <w:t>5</w:t>
            </w:r>
          </w:p>
        </w:tc>
        <w:tc>
          <w:tcPr>
            <w:tcW w:w="864" w:type="dxa"/>
          </w:tcPr>
          <w:p w14:paraId="61067215" w14:textId="77777777" w:rsidR="001C7857" w:rsidRDefault="001C7857" w:rsidP="008470F9">
            <w:r>
              <w:t>6</w:t>
            </w:r>
          </w:p>
        </w:tc>
      </w:tr>
      <w:tr w:rsidR="001C7857" w14:paraId="50173A84" w14:textId="77777777" w:rsidTr="008470F9">
        <w:tc>
          <w:tcPr>
            <w:tcW w:w="2160" w:type="dxa"/>
          </w:tcPr>
          <w:p w14:paraId="52FB58F9" w14:textId="77777777" w:rsidR="001C7857" w:rsidRPr="006505C4" w:rsidRDefault="001C7857" w:rsidP="008470F9">
            <w:pPr>
              <w:rPr>
                <w:b/>
              </w:rPr>
            </w:pPr>
            <w:r w:rsidRPr="006505C4">
              <w:rPr>
                <w:b/>
              </w:rPr>
              <w:t>Sales forecast by month</w:t>
            </w:r>
          </w:p>
        </w:tc>
        <w:tc>
          <w:tcPr>
            <w:tcW w:w="864" w:type="dxa"/>
          </w:tcPr>
          <w:p w14:paraId="0F9131A9" w14:textId="77777777" w:rsidR="001C7857" w:rsidRDefault="001C7857" w:rsidP="008470F9"/>
        </w:tc>
        <w:tc>
          <w:tcPr>
            <w:tcW w:w="864" w:type="dxa"/>
          </w:tcPr>
          <w:p w14:paraId="502AD4C5" w14:textId="77777777" w:rsidR="001C7857" w:rsidRDefault="001C7857" w:rsidP="008470F9"/>
        </w:tc>
        <w:tc>
          <w:tcPr>
            <w:tcW w:w="864" w:type="dxa"/>
          </w:tcPr>
          <w:p w14:paraId="16316222" w14:textId="77777777" w:rsidR="001C7857" w:rsidRDefault="001C7857" w:rsidP="008470F9">
            <w:r>
              <w:t>1100</w:t>
            </w:r>
          </w:p>
        </w:tc>
        <w:tc>
          <w:tcPr>
            <w:tcW w:w="864" w:type="dxa"/>
          </w:tcPr>
          <w:p w14:paraId="7F8E80A6" w14:textId="77777777" w:rsidR="001C7857" w:rsidRDefault="001C7857" w:rsidP="008470F9">
            <w:r>
              <w:t>1100</w:t>
            </w:r>
          </w:p>
        </w:tc>
        <w:tc>
          <w:tcPr>
            <w:tcW w:w="864" w:type="dxa"/>
          </w:tcPr>
          <w:p w14:paraId="18EA5964" w14:textId="77777777" w:rsidR="001C7857" w:rsidRDefault="001C7857" w:rsidP="008470F9">
            <w:r>
              <w:t>1150</w:t>
            </w:r>
          </w:p>
        </w:tc>
        <w:tc>
          <w:tcPr>
            <w:tcW w:w="864" w:type="dxa"/>
          </w:tcPr>
          <w:p w14:paraId="7174192F" w14:textId="77777777" w:rsidR="001C7857" w:rsidRDefault="001C7857" w:rsidP="008470F9">
            <w:r>
              <w:t>1200</w:t>
            </w:r>
          </w:p>
        </w:tc>
        <w:tc>
          <w:tcPr>
            <w:tcW w:w="864" w:type="dxa"/>
          </w:tcPr>
          <w:p w14:paraId="0DF70156" w14:textId="77777777" w:rsidR="001C7857" w:rsidRDefault="001C7857" w:rsidP="008470F9">
            <w:r>
              <w:t>1200</w:t>
            </w:r>
          </w:p>
        </w:tc>
        <w:tc>
          <w:tcPr>
            <w:tcW w:w="864" w:type="dxa"/>
          </w:tcPr>
          <w:p w14:paraId="57FAEB06" w14:textId="77777777" w:rsidR="001C7857" w:rsidRDefault="001C7857" w:rsidP="008470F9">
            <w:r>
              <w:t>1300</w:t>
            </w:r>
          </w:p>
        </w:tc>
      </w:tr>
      <w:tr w:rsidR="001C7857" w14:paraId="69F1E1F4" w14:textId="77777777" w:rsidTr="008470F9">
        <w:tc>
          <w:tcPr>
            <w:tcW w:w="2160" w:type="dxa"/>
          </w:tcPr>
          <w:p w14:paraId="262CC507" w14:textId="77777777" w:rsidR="001C7857" w:rsidRPr="006505C4" w:rsidRDefault="001C7857" w:rsidP="008470F9">
            <w:pPr>
              <w:rPr>
                <w:b/>
              </w:rPr>
            </w:pPr>
            <w:r w:rsidRPr="006505C4">
              <w:rPr>
                <w:b/>
              </w:rPr>
              <w:t xml:space="preserve">Finished </w:t>
            </w:r>
            <w:proofErr w:type="spellStart"/>
            <w:r w:rsidRPr="006505C4">
              <w:rPr>
                <w:b/>
              </w:rPr>
              <w:t>good</w:t>
            </w:r>
            <w:proofErr w:type="spellEnd"/>
            <w:r w:rsidRPr="006505C4">
              <w:rPr>
                <w:b/>
              </w:rPr>
              <w:t xml:space="preserve"> Inventory Required by end of month:</w:t>
            </w:r>
          </w:p>
        </w:tc>
        <w:tc>
          <w:tcPr>
            <w:tcW w:w="864" w:type="dxa"/>
          </w:tcPr>
          <w:p w14:paraId="1E8F66AD" w14:textId="77777777" w:rsidR="001C7857" w:rsidRDefault="001C7857" w:rsidP="008470F9"/>
        </w:tc>
        <w:tc>
          <w:tcPr>
            <w:tcW w:w="864" w:type="dxa"/>
          </w:tcPr>
          <w:p w14:paraId="7E62B91C" w14:textId="77777777" w:rsidR="001C7857" w:rsidRDefault="001C7857" w:rsidP="008470F9"/>
        </w:tc>
        <w:tc>
          <w:tcPr>
            <w:tcW w:w="864" w:type="dxa"/>
          </w:tcPr>
          <w:p w14:paraId="2C646534" w14:textId="77777777" w:rsidR="001C7857" w:rsidRDefault="001C7857" w:rsidP="008470F9">
            <w:r>
              <w:t>1000</w:t>
            </w:r>
          </w:p>
        </w:tc>
        <w:tc>
          <w:tcPr>
            <w:tcW w:w="864" w:type="dxa"/>
          </w:tcPr>
          <w:p w14:paraId="228B4373" w14:textId="77777777" w:rsidR="001C7857" w:rsidRDefault="001C7857" w:rsidP="008470F9">
            <w:r>
              <w:t>1100</w:t>
            </w:r>
          </w:p>
        </w:tc>
        <w:tc>
          <w:tcPr>
            <w:tcW w:w="864" w:type="dxa"/>
          </w:tcPr>
          <w:p w14:paraId="53A75829" w14:textId="77777777" w:rsidR="001C7857" w:rsidRDefault="001C7857" w:rsidP="008470F9">
            <w:r>
              <w:t>1150</w:t>
            </w:r>
          </w:p>
        </w:tc>
        <w:tc>
          <w:tcPr>
            <w:tcW w:w="864" w:type="dxa"/>
          </w:tcPr>
          <w:p w14:paraId="55EDFE60" w14:textId="77777777" w:rsidR="001C7857" w:rsidRDefault="001C7857" w:rsidP="008470F9">
            <w:r>
              <w:t>1200</w:t>
            </w:r>
          </w:p>
        </w:tc>
        <w:tc>
          <w:tcPr>
            <w:tcW w:w="864" w:type="dxa"/>
          </w:tcPr>
          <w:p w14:paraId="26448EC8" w14:textId="77777777" w:rsidR="001C7857" w:rsidRDefault="001C7857" w:rsidP="008470F9">
            <w:r>
              <w:t>1200</w:t>
            </w:r>
          </w:p>
        </w:tc>
        <w:tc>
          <w:tcPr>
            <w:tcW w:w="864" w:type="dxa"/>
          </w:tcPr>
          <w:p w14:paraId="2F264355" w14:textId="77777777" w:rsidR="001C7857" w:rsidRDefault="001C7857" w:rsidP="008470F9">
            <w:r>
              <w:t>1300</w:t>
            </w:r>
          </w:p>
        </w:tc>
      </w:tr>
      <w:tr w:rsidR="001C7857" w14:paraId="7AFACE8D" w14:textId="77777777" w:rsidTr="008470F9">
        <w:tc>
          <w:tcPr>
            <w:tcW w:w="2160" w:type="dxa"/>
          </w:tcPr>
          <w:p w14:paraId="7F7631D1" w14:textId="77777777" w:rsidR="001C7857" w:rsidRPr="006505C4" w:rsidRDefault="001C7857" w:rsidP="008470F9">
            <w:pPr>
              <w:rPr>
                <w:b/>
              </w:rPr>
            </w:pPr>
            <w:r w:rsidRPr="006505C4">
              <w:rPr>
                <w:b/>
              </w:rPr>
              <w:t>Beginning inventory</w:t>
            </w:r>
          </w:p>
        </w:tc>
        <w:tc>
          <w:tcPr>
            <w:tcW w:w="864" w:type="dxa"/>
          </w:tcPr>
          <w:p w14:paraId="74621981" w14:textId="77777777" w:rsidR="001C7857" w:rsidRDefault="001C7857" w:rsidP="008470F9"/>
        </w:tc>
        <w:tc>
          <w:tcPr>
            <w:tcW w:w="864" w:type="dxa"/>
          </w:tcPr>
          <w:p w14:paraId="7279705B" w14:textId="77777777" w:rsidR="001C7857" w:rsidRDefault="001C7857" w:rsidP="008470F9"/>
        </w:tc>
        <w:tc>
          <w:tcPr>
            <w:tcW w:w="864" w:type="dxa"/>
          </w:tcPr>
          <w:p w14:paraId="37D8550F" w14:textId="77777777" w:rsidR="001C7857" w:rsidRDefault="001C7857" w:rsidP="008470F9">
            <w:r>
              <w:t>1000</w:t>
            </w:r>
          </w:p>
        </w:tc>
        <w:tc>
          <w:tcPr>
            <w:tcW w:w="864" w:type="dxa"/>
          </w:tcPr>
          <w:p w14:paraId="0143FFFD" w14:textId="77777777" w:rsidR="001C7857" w:rsidRDefault="001C7857" w:rsidP="008470F9">
            <w:r>
              <w:t>1100</w:t>
            </w:r>
          </w:p>
        </w:tc>
        <w:tc>
          <w:tcPr>
            <w:tcW w:w="864" w:type="dxa"/>
          </w:tcPr>
          <w:p w14:paraId="28C030BA" w14:textId="77777777" w:rsidR="001C7857" w:rsidRDefault="001C7857" w:rsidP="008470F9">
            <w:r>
              <w:t>1150</w:t>
            </w:r>
          </w:p>
        </w:tc>
        <w:tc>
          <w:tcPr>
            <w:tcW w:w="864" w:type="dxa"/>
          </w:tcPr>
          <w:p w14:paraId="701A22AA" w14:textId="77777777" w:rsidR="001C7857" w:rsidRDefault="001C7857" w:rsidP="008470F9">
            <w:r>
              <w:t>1200</w:t>
            </w:r>
          </w:p>
        </w:tc>
        <w:tc>
          <w:tcPr>
            <w:tcW w:w="864" w:type="dxa"/>
          </w:tcPr>
          <w:p w14:paraId="35B0C9F5" w14:textId="77777777" w:rsidR="001C7857" w:rsidRDefault="001C7857" w:rsidP="008470F9">
            <w:r>
              <w:t>1300</w:t>
            </w:r>
          </w:p>
        </w:tc>
        <w:tc>
          <w:tcPr>
            <w:tcW w:w="864" w:type="dxa"/>
          </w:tcPr>
          <w:p w14:paraId="5A409757" w14:textId="77777777" w:rsidR="001C7857" w:rsidRDefault="001C7857" w:rsidP="008470F9">
            <w:r>
              <w:t>1300</w:t>
            </w:r>
          </w:p>
        </w:tc>
      </w:tr>
      <w:tr w:rsidR="001C7857" w14:paraId="7B657348" w14:textId="77777777" w:rsidTr="008470F9">
        <w:trPr>
          <w:trHeight w:val="647"/>
        </w:trPr>
        <w:tc>
          <w:tcPr>
            <w:tcW w:w="2160" w:type="dxa"/>
          </w:tcPr>
          <w:p w14:paraId="02D2F149" w14:textId="77777777" w:rsidR="001C7857" w:rsidRPr="006505C4" w:rsidRDefault="001C7857" w:rsidP="008470F9">
            <w:pPr>
              <w:rPr>
                <w:b/>
              </w:rPr>
            </w:pPr>
            <w:r w:rsidRPr="006505C4">
              <w:rPr>
                <w:b/>
              </w:rPr>
              <w:t>Production needed</w:t>
            </w:r>
          </w:p>
        </w:tc>
        <w:tc>
          <w:tcPr>
            <w:tcW w:w="864" w:type="dxa"/>
          </w:tcPr>
          <w:p w14:paraId="717F2CF2" w14:textId="77777777" w:rsidR="001C7857" w:rsidRDefault="001C7857" w:rsidP="008470F9"/>
        </w:tc>
        <w:tc>
          <w:tcPr>
            <w:tcW w:w="864" w:type="dxa"/>
          </w:tcPr>
          <w:p w14:paraId="36EC3F4C" w14:textId="77777777" w:rsidR="001C7857" w:rsidRDefault="001C7857" w:rsidP="008470F9"/>
        </w:tc>
        <w:tc>
          <w:tcPr>
            <w:tcW w:w="864" w:type="dxa"/>
          </w:tcPr>
          <w:p w14:paraId="20450913" w14:textId="77777777" w:rsidR="001C7857" w:rsidRDefault="001C7857" w:rsidP="008470F9">
            <w:r>
              <w:t>1100</w:t>
            </w:r>
          </w:p>
        </w:tc>
        <w:tc>
          <w:tcPr>
            <w:tcW w:w="864" w:type="dxa"/>
          </w:tcPr>
          <w:p w14:paraId="1379D5CD" w14:textId="77777777" w:rsidR="001C7857" w:rsidRDefault="001C7857" w:rsidP="008470F9">
            <w:r>
              <w:t>1150</w:t>
            </w:r>
          </w:p>
        </w:tc>
        <w:tc>
          <w:tcPr>
            <w:tcW w:w="864" w:type="dxa"/>
          </w:tcPr>
          <w:p w14:paraId="440BE048" w14:textId="77777777" w:rsidR="001C7857" w:rsidRDefault="001C7857" w:rsidP="008470F9">
            <w:r>
              <w:t>1200</w:t>
            </w:r>
          </w:p>
        </w:tc>
        <w:tc>
          <w:tcPr>
            <w:tcW w:w="864" w:type="dxa"/>
          </w:tcPr>
          <w:p w14:paraId="16A7F696" w14:textId="77777777" w:rsidR="001C7857" w:rsidRDefault="001C7857" w:rsidP="008470F9">
            <w:r>
              <w:t>1300</w:t>
            </w:r>
          </w:p>
        </w:tc>
        <w:tc>
          <w:tcPr>
            <w:tcW w:w="864" w:type="dxa"/>
          </w:tcPr>
          <w:p w14:paraId="44AB9675" w14:textId="77777777" w:rsidR="001C7857" w:rsidRDefault="001C7857" w:rsidP="008470F9">
            <w:r>
              <w:t>1300</w:t>
            </w:r>
          </w:p>
        </w:tc>
        <w:tc>
          <w:tcPr>
            <w:tcW w:w="864" w:type="dxa"/>
          </w:tcPr>
          <w:p w14:paraId="05B7E8AA" w14:textId="77777777" w:rsidR="001C7857" w:rsidRDefault="001C7857" w:rsidP="008470F9">
            <w:r>
              <w:t>1300</w:t>
            </w:r>
          </w:p>
        </w:tc>
      </w:tr>
      <w:tr w:rsidR="001C7857" w14:paraId="1700F749" w14:textId="77777777" w:rsidTr="008470F9">
        <w:trPr>
          <w:trHeight w:val="557"/>
        </w:trPr>
        <w:tc>
          <w:tcPr>
            <w:tcW w:w="2160" w:type="dxa"/>
          </w:tcPr>
          <w:p w14:paraId="7E0493D4" w14:textId="77777777" w:rsidR="001C7857" w:rsidRPr="006505C4" w:rsidRDefault="001C7857" w:rsidP="008470F9">
            <w:pPr>
              <w:rPr>
                <w:b/>
              </w:rPr>
            </w:pPr>
            <w:r w:rsidRPr="006505C4">
              <w:rPr>
                <w:b/>
              </w:rPr>
              <w:t>Ending Inventory</w:t>
            </w:r>
          </w:p>
        </w:tc>
        <w:tc>
          <w:tcPr>
            <w:tcW w:w="864" w:type="dxa"/>
          </w:tcPr>
          <w:p w14:paraId="10A823D4" w14:textId="77777777" w:rsidR="001C7857" w:rsidRDefault="001C7857" w:rsidP="008470F9"/>
        </w:tc>
        <w:tc>
          <w:tcPr>
            <w:tcW w:w="864" w:type="dxa"/>
          </w:tcPr>
          <w:p w14:paraId="1D734094" w14:textId="77777777" w:rsidR="001C7857" w:rsidRDefault="001C7857" w:rsidP="008470F9"/>
        </w:tc>
        <w:tc>
          <w:tcPr>
            <w:tcW w:w="864" w:type="dxa"/>
          </w:tcPr>
          <w:p w14:paraId="698128F5" w14:textId="77777777" w:rsidR="001C7857" w:rsidRDefault="001C7857" w:rsidP="008470F9">
            <w:r>
              <w:t>1100</w:t>
            </w:r>
          </w:p>
        </w:tc>
        <w:tc>
          <w:tcPr>
            <w:tcW w:w="864" w:type="dxa"/>
          </w:tcPr>
          <w:p w14:paraId="1B0D2BE1" w14:textId="77777777" w:rsidR="001C7857" w:rsidRDefault="001C7857" w:rsidP="008470F9">
            <w:r>
              <w:t>1150</w:t>
            </w:r>
          </w:p>
        </w:tc>
        <w:tc>
          <w:tcPr>
            <w:tcW w:w="864" w:type="dxa"/>
          </w:tcPr>
          <w:p w14:paraId="6359074A" w14:textId="77777777" w:rsidR="001C7857" w:rsidRDefault="001C7857" w:rsidP="008470F9">
            <w:r>
              <w:t>1200</w:t>
            </w:r>
          </w:p>
        </w:tc>
        <w:tc>
          <w:tcPr>
            <w:tcW w:w="864" w:type="dxa"/>
          </w:tcPr>
          <w:p w14:paraId="697996B2" w14:textId="77777777" w:rsidR="001C7857" w:rsidRDefault="001C7857" w:rsidP="008470F9">
            <w:r>
              <w:t>1300</w:t>
            </w:r>
          </w:p>
        </w:tc>
        <w:tc>
          <w:tcPr>
            <w:tcW w:w="864" w:type="dxa"/>
          </w:tcPr>
          <w:p w14:paraId="78970B52" w14:textId="77777777" w:rsidR="001C7857" w:rsidRDefault="001C7857" w:rsidP="008470F9">
            <w:r>
              <w:t>1300</w:t>
            </w:r>
          </w:p>
        </w:tc>
        <w:tc>
          <w:tcPr>
            <w:tcW w:w="864" w:type="dxa"/>
          </w:tcPr>
          <w:p w14:paraId="559A2EC4" w14:textId="77777777" w:rsidR="001C7857" w:rsidRDefault="001C7857" w:rsidP="008470F9">
            <w:r>
              <w:t>1300</w:t>
            </w:r>
          </w:p>
        </w:tc>
      </w:tr>
      <w:tr w:rsidR="001C7857" w14:paraId="1AF108AD" w14:textId="77777777" w:rsidTr="008470F9">
        <w:tc>
          <w:tcPr>
            <w:tcW w:w="2160" w:type="dxa"/>
          </w:tcPr>
          <w:p w14:paraId="1B1B7C72" w14:textId="77777777" w:rsidR="001C7857" w:rsidRPr="006505C4" w:rsidRDefault="001C7857" w:rsidP="008470F9">
            <w:pPr>
              <w:rPr>
                <w:b/>
              </w:rPr>
            </w:pPr>
            <w:r>
              <w:rPr>
                <w:b/>
              </w:rPr>
              <w:t>How many and when must B</w:t>
            </w:r>
            <w:r w:rsidRPr="006505C4">
              <w:rPr>
                <w:b/>
              </w:rPr>
              <w:t xml:space="preserve">s must be ordered at 2 per finished product; assume no safety </w:t>
            </w:r>
            <w:r w:rsidRPr="006505C4">
              <w:rPr>
                <w:b/>
              </w:rPr>
              <w:lastRenderedPageBreak/>
              <w:t>stock of Bs are desired</w:t>
            </w:r>
          </w:p>
        </w:tc>
        <w:tc>
          <w:tcPr>
            <w:tcW w:w="864" w:type="dxa"/>
          </w:tcPr>
          <w:p w14:paraId="0881DB7D" w14:textId="77777777" w:rsidR="001C7857" w:rsidRDefault="001C7857" w:rsidP="008470F9"/>
        </w:tc>
        <w:tc>
          <w:tcPr>
            <w:tcW w:w="864" w:type="dxa"/>
          </w:tcPr>
          <w:p w14:paraId="78CDF51E" w14:textId="77777777" w:rsidR="001C7857" w:rsidRDefault="001C7857" w:rsidP="008470F9">
            <w:r>
              <w:t>2200</w:t>
            </w:r>
          </w:p>
        </w:tc>
        <w:tc>
          <w:tcPr>
            <w:tcW w:w="864" w:type="dxa"/>
          </w:tcPr>
          <w:p w14:paraId="10416E45" w14:textId="77777777" w:rsidR="001C7857" w:rsidRDefault="001C7857" w:rsidP="008470F9">
            <w:r>
              <w:t>2300</w:t>
            </w:r>
          </w:p>
        </w:tc>
        <w:tc>
          <w:tcPr>
            <w:tcW w:w="864" w:type="dxa"/>
          </w:tcPr>
          <w:p w14:paraId="393015F9" w14:textId="77777777" w:rsidR="001C7857" w:rsidRDefault="001C7857" w:rsidP="008470F9">
            <w:r>
              <w:t>2400</w:t>
            </w:r>
          </w:p>
        </w:tc>
        <w:tc>
          <w:tcPr>
            <w:tcW w:w="864" w:type="dxa"/>
          </w:tcPr>
          <w:p w14:paraId="04C7C12F" w14:textId="77777777" w:rsidR="001C7857" w:rsidRDefault="001C7857" w:rsidP="008470F9">
            <w:r>
              <w:t>2600</w:t>
            </w:r>
          </w:p>
        </w:tc>
        <w:tc>
          <w:tcPr>
            <w:tcW w:w="864" w:type="dxa"/>
          </w:tcPr>
          <w:p w14:paraId="7E4AE5BD" w14:textId="77777777" w:rsidR="001C7857" w:rsidRDefault="001C7857" w:rsidP="008470F9">
            <w:r>
              <w:t>2600</w:t>
            </w:r>
          </w:p>
        </w:tc>
        <w:tc>
          <w:tcPr>
            <w:tcW w:w="864" w:type="dxa"/>
          </w:tcPr>
          <w:p w14:paraId="1A5C704F" w14:textId="77777777" w:rsidR="001C7857" w:rsidRDefault="001C7857" w:rsidP="008470F9">
            <w:r>
              <w:t>2600</w:t>
            </w:r>
          </w:p>
        </w:tc>
        <w:tc>
          <w:tcPr>
            <w:tcW w:w="864" w:type="dxa"/>
          </w:tcPr>
          <w:p w14:paraId="674D48DC" w14:textId="77777777" w:rsidR="001C7857" w:rsidRDefault="001C7857" w:rsidP="008470F9"/>
        </w:tc>
      </w:tr>
    </w:tbl>
    <w:p w14:paraId="2BE685C7" w14:textId="77777777" w:rsidR="001C7857" w:rsidRDefault="001C7857" w:rsidP="001C7857"/>
    <w:p w14:paraId="037A7988" w14:textId="77777777" w:rsidR="001C7857" w:rsidRDefault="001C7857">
      <w:pPr>
        <w:rPr>
          <w:b/>
          <w:lang w:val="en-US"/>
        </w:rPr>
      </w:pPr>
      <w:bookmarkStart w:id="0" w:name="_GoBack"/>
      <w:bookmarkEnd w:id="0"/>
    </w:p>
    <w:p w14:paraId="6C4D2219" w14:textId="516612D2" w:rsidR="001C7857" w:rsidRDefault="001C7857" w:rsidP="001C7857">
      <w:pPr>
        <w:jc w:val="center"/>
        <w:rPr>
          <w:b/>
          <w:lang w:val="en-US"/>
        </w:rPr>
      </w:pPr>
      <w:r>
        <w:rPr>
          <w:b/>
          <w:lang w:val="en-US"/>
        </w:rPr>
        <w:t>References</w:t>
      </w:r>
    </w:p>
    <w:p w14:paraId="53ECE545" w14:textId="327B9C04" w:rsidR="001C7857" w:rsidRDefault="001C7857" w:rsidP="001C7857">
      <w:pPr>
        <w:rPr>
          <w:rFonts w:ascii="Arial" w:hAnsi="Arial" w:cs="Arial"/>
          <w:color w:val="222222"/>
          <w:sz w:val="20"/>
          <w:szCs w:val="20"/>
          <w:shd w:val="clear" w:color="auto" w:fill="FFFFFF"/>
        </w:rPr>
      </w:pPr>
      <w:r>
        <w:rPr>
          <w:rFonts w:ascii="Arial" w:hAnsi="Arial" w:cs="Arial"/>
          <w:color w:val="222222"/>
          <w:sz w:val="20"/>
          <w:szCs w:val="20"/>
          <w:shd w:val="clear" w:color="auto" w:fill="FFFFFF"/>
        </w:rPr>
        <w:t>Cachon, G. P., &amp; Fisher, M. (2000). Supply chain inventory management and the value of shared information. </w:t>
      </w:r>
      <w:r>
        <w:rPr>
          <w:rFonts w:ascii="Arial" w:hAnsi="Arial" w:cs="Arial"/>
          <w:i/>
          <w:iCs/>
          <w:color w:val="222222"/>
          <w:sz w:val="20"/>
          <w:szCs w:val="20"/>
          <w:shd w:val="clear" w:color="auto" w:fill="FFFFFF"/>
        </w:rPr>
        <w:t>Management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w:t>
      </w:r>
      <w:r>
        <w:rPr>
          <w:rFonts w:ascii="Arial" w:hAnsi="Arial" w:cs="Arial"/>
          <w:color w:val="222222"/>
          <w:sz w:val="20"/>
          <w:szCs w:val="20"/>
          <w:shd w:val="clear" w:color="auto" w:fill="FFFFFF"/>
        </w:rPr>
        <w:t>(8), 1032-1048.</w:t>
      </w:r>
    </w:p>
    <w:p w14:paraId="4B1D170D" w14:textId="3F374D09" w:rsidR="001C7857" w:rsidRDefault="001C7857" w:rsidP="001C7857">
      <w:pPr>
        <w:rPr>
          <w:rFonts w:ascii="Arial" w:hAnsi="Arial" w:cs="Arial"/>
          <w:color w:val="222222"/>
          <w:sz w:val="20"/>
          <w:szCs w:val="20"/>
          <w:shd w:val="clear" w:color="auto" w:fill="FFFFFF"/>
        </w:rPr>
      </w:pPr>
      <w:r>
        <w:rPr>
          <w:rFonts w:ascii="Arial" w:hAnsi="Arial" w:cs="Arial"/>
          <w:color w:val="222222"/>
          <w:sz w:val="20"/>
          <w:szCs w:val="20"/>
          <w:shd w:val="clear" w:color="auto" w:fill="FFFFFF"/>
        </w:rPr>
        <w:t>Buurman, J. (2002). </w:t>
      </w:r>
      <w:r>
        <w:rPr>
          <w:rFonts w:ascii="Arial" w:hAnsi="Arial" w:cs="Arial"/>
          <w:i/>
          <w:iCs/>
          <w:color w:val="222222"/>
          <w:sz w:val="20"/>
          <w:szCs w:val="20"/>
          <w:shd w:val="clear" w:color="auto" w:fill="FFFFFF"/>
        </w:rPr>
        <w:t>Supply chain logistics management</w:t>
      </w:r>
      <w:r>
        <w:rPr>
          <w:rFonts w:ascii="Arial" w:hAnsi="Arial" w:cs="Arial"/>
          <w:color w:val="222222"/>
          <w:sz w:val="20"/>
          <w:szCs w:val="20"/>
          <w:shd w:val="clear" w:color="auto" w:fill="FFFFFF"/>
        </w:rPr>
        <w:t>. McGraw-Hill.</w:t>
      </w:r>
    </w:p>
    <w:p w14:paraId="47931F5F" w14:textId="77777777" w:rsidR="001C7857" w:rsidRPr="001C7857" w:rsidRDefault="001C7857" w:rsidP="001C7857">
      <w:pPr>
        <w:rPr>
          <w:lang w:val="en-US"/>
        </w:rPr>
      </w:pPr>
    </w:p>
    <w:sectPr w:rsidR="001C7857" w:rsidRPr="001C78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A26F0"/>
    <w:multiLevelType w:val="hybridMultilevel"/>
    <w:tmpl w:val="1534DCB2"/>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92"/>
    <w:rsid w:val="000F7692"/>
    <w:rsid w:val="001C78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612A"/>
  <w15:chartTrackingRefBased/>
  <w15:docId w15:val="{CA408131-6B6E-402D-941D-FD5B6EE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92"/>
    <w:rPr>
      <w:rFonts w:ascii="Segoe UI" w:hAnsi="Segoe UI" w:cs="Segoe UI"/>
      <w:sz w:val="18"/>
      <w:szCs w:val="18"/>
    </w:rPr>
  </w:style>
  <w:style w:type="character" w:styleId="Hyperlink">
    <w:name w:val="Hyperlink"/>
    <w:basedOn w:val="DefaultParagraphFont"/>
    <w:uiPriority w:val="99"/>
    <w:unhideWhenUsed/>
    <w:rsid w:val="000F7692"/>
    <w:rPr>
      <w:color w:val="0563C1" w:themeColor="hyperlink"/>
      <w:u w:val="single"/>
    </w:rPr>
  </w:style>
  <w:style w:type="character" w:styleId="UnresolvedMention">
    <w:name w:val="Unresolved Mention"/>
    <w:basedOn w:val="DefaultParagraphFont"/>
    <w:uiPriority w:val="99"/>
    <w:semiHidden/>
    <w:unhideWhenUsed/>
    <w:rsid w:val="000F7692"/>
    <w:rPr>
      <w:color w:val="605E5C"/>
      <w:shd w:val="clear" w:color="auto" w:fill="E1DFDD"/>
    </w:rPr>
  </w:style>
  <w:style w:type="paragraph" w:styleId="ListParagraph">
    <w:name w:val="List Paragraph"/>
    <w:basedOn w:val="Normal"/>
    <w:uiPriority w:val="34"/>
    <w:qFormat/>
    <w:rsid w:val="000F7692"/>
    <w:pPr>
      <w:ind w:left="720"/>
      <w:contextualSpacing/>
    </w:pPr>
  </w:style>
  <w:style w:type="table" w:styleId="TableGrid">
    <w:name w:val="Table Grid"/>
    <w:basedOn w:val="TableNormal"/>
    <w:uiPriority w:val="59"/>
    <w:rsid w:val="001C78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4391">
      <w:bodyDiv w:val="1"/>
      <w:marLeft w:val="0"/>
      <w:marRight w:val="0"/>
      <w:marTop w:val="0"/>
      <w:marBottom w:val="0"/>
      <w:divBdr>
        <w:top w:val="none" w:sz="0" w:space="0" w:color="auto"/>
        <w:left w:val="none" w:sz="0" w:space="0" w:color="auto"/>
        <w:bottom w:val="none" w:sz="0" w:space="0" w:color="auto"/>
        <w:right w:val="none" w:sz="0" w:space="0" w:color="auto"/>
      </w:divBdr>
    </w:div>
    <w:div w:id="2128624791">
      <w:bodyDiv w:val="1"/>
      <w:marLeft w:val="0"/>
      <w:marRight w:val="0"/>
      <w:marTop w:val="0"/>
      <w:marBottom w:val="0"/>
      <w:divBdr>
        <w:top w:val="none" w:sz="0" w:space="0" w:color="auto"/>
        <w:left w:val="none" w:sz="0" w:space="0" w:color="auto"/>
        <w:bottom w:val="none" w:sz="0" w:space="0" w:color="auto"/>
        <w:right w:val="none" w:sz="0" w:space="0" w:color="auto"/>
      </w:divBdr>
      <w:divsChild>
        <w:div w:id="1610694764">
          <w:marLeft w:val="0"/>
          <w:marRight w:val="0"/>
          <w:marTop w:val="0"/>
          <w:marBottom w:val="0"/>
          <w:divBdr>
            <w:top w:val="none" w:sz="0" w:space="0" w:color="auto"/>
            <w:left w:val="none" w:sz="0" w:space="0" w:color="auto"/>
            <w:bottom w:val="none" w:sz="0" w:space="0" w:color="auto"/>
            <w:right w:val="none" w:sz="0" w:space="0" w:color="auto"/>
          </w:divBdr>
        </w:div>
        <w:div w:id="15407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2019-05-02T15:17:00Z</dcterms:created>
  <dcterms:modified xsi:type="dcterms:W3CDTF">2019-05-02T15:32:00Z</dcterms:modified>
</cp:coreProperties>
</file>