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9B0B" w14:textId="40A8B8B9" w:rsidR="006A509C" w:rsidRPr="004E5ED8" w:rsidRDefault="006F02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5ED8">
        <w:rPr>
          <w:rFonts w:ascii="Times New Roman" w:hAnsi="Times New Roman" w:cs="Times New Roman"/>
          <w:sz w:val="24"/>
          <w:szCs w:val="24"/>
        </w:rPr>
        <w:t>HSY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reported sales revenue of $</w:t>
      </w:r>
      <w:r w:rsidR="006A509C" w:rsidRPr="004E5ED8">
        <w:rPr>
          <w:rFonts w:ascii="Times New Roman" w:hAnsi="Times New Roman" w:cs="Times New Roman"/>
          <w:sz w:val="24"/>
          <w:szCs w:val="24"/>
        </w:rPr>
        <w:t>7</w:t>
      </w:r>
      <w:r w:rsidR="006A509C" w:rsidRPr="004E5ED8">
        <w:rPr>
          <w:rFonts w:ascii="Times New Roman" w:hAnsi="Times New Roman" w:cs="Times New Roman"/>
          <w:sz w:val="24"/>
          <w:szCs w:val="24"/>
        </w:rPr>
        <w:t>.</w:t>
      </w:r>
      <w:r w:rsidR="006A509C" w:rsidRPr="004E5ED8">
        <w:rPr>
          <w:rFonts w:ascii="Times New Roman" w:hAnsi="Times New Roman" w:cs="Times New Roman"/>
          <w:sz w:val="24"/>
          <w:szCs w:val="24"/>
        </w:rPr>
        <w:t>8</w:t>
      </w:r>
      <w:r w:rsidR="006A509C" w:rsidRPr="004E5ED8">
        <w:rPr>
          <w:rFonts w:ascii="Times New Roman" w:hAnsi="Times New Roman" w:cs="Times New Roman"/>
          <w:sz w:val="24"/>
          <w:szCs w:val="24"/>
        </w:rPr>
        <w:t>08 billion for the year ending December of 201</w:t>
      </w:r>
      <w:r w:rsidR="006A509C" w:rsidRPr="004E5ED8">
        <w:rPr>
          <w:rFonts w:ascii="Times New Roman" w:hAnsi="Times New Roman" w:cs="Times New Roman"/>
          <w:sz w:val="24"/>
          <w:szCs w:val="24"/>
        </w:rPr>
        <w:t>8</w:t>
      </w:r>
      <w:r w:rsidR="006A509C" w:rsidRPr="004E5ED8">
        <w:rPr>
          <w:rFonts w:ascii="Times New Roman" w:hAnsi="Times New Roman" w:cs="Times New Roman"/>
          <w:sz w:val="24"/>
          <w:szCs w:val="24"/>
        </w:rPr>
        <w:t>,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while in 2017, the sales revenue was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$</w:t>
      </w:r>
      <w:r w:rsidR="006A509C" w:rsidRPr="004E5ED8">
        <w:rPr>
          <w:rFonts w:ascii="Times New Roman" w:hAnsi="Times New Roman" w:cs="Times New Roman"/>
          <w:sz w:val="24"/>
          <w:szCs w:val="24"/>
        </w:rPr>
        <w:t>7</w:t>
      </w:r>
      <w:r w:rsidR="006A509C" w:rsidRPr="004E5ED8">
        <w:rPr>
          <w:rFonts w:ascii="Times New Roman" w:hAnsi="Times New Roman" w:cs="Times New Roman"/>
          <w:sz w:val="24"/>
          <w:szCs w:val="24"/>
        </w:rPr>
        <w:t>.</w:t>
      </w:r>
      <w:r w:rsidR="006A509C" w:rsidRPr="004E5ED8">
        <w:rPr>
          <w:rFonts w:ascii="Times New Roman" w:hAnsi="Times New Roman" w:cs="Times New Roman"/>
          <w:sz w:val="24"/>
          <w:szCs w:val="24"/>
        </w:rPr>
        <w:t>515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billion.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This shows a slight increase in sales revenue.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</w:t>
      </w:r>
      <w:r w:rsidR="002237B6" w:rsidRPr="004E5ED8">
        <w:rPr>
          <w:rFonts w:ascii="Times New Roman" w:hAnsi="Times New Roman" w:cs="Times New Roman"/>
          <w:sz w:val="24"/>
          <w:szCs w:val="24"/>
        </w:rPr>
        <w:t>Inspire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of the economic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crisis since 2008, the sales revenue at </w:t>
      </w:r>
      <w:r w:rsidRPr="004E5ED8">
        <w:rPr>
          <w:rFonts w:ascii="Times New Roman" w:hAnsi="Times New Roman" w:cs="Times New Roman"/>
          <w:sz w:val="24"/>
          <w:szCs w:val="24"/>
        </w:rPr>
        <w:t>HSY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has been increasing.</w:t>
      </w:r>
      <w:r w:rsidR="006A509C" w:rsidRPr="004E5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25257" w14:textId="582F9CE8" w:rsidR="006A509C" w:rsidRPr="004E5ED8" w:rsidRDefault="006A509C" w:rsidP="006A509C">
      <w:p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sz w:val="24"/>
          <w:szCs w:val="24"/>
        </w:rPr>
        <w:t xml:space="preserve">The </w:t>
      </w:r>
      <w:r w:rsidR="002237B6" w:rsidRPr="004E5ED8">
        <w:rPr>
          <w:rFonts w:ascii="Times New Roman" w:hAnsi="Times New Roman" w:cs="Times New Roman"/>
          <w:sz w:val="24"/>
          <w:szCs w:val="24"/>
        </w:rPr>
        <w:t>financial</w:t>
      </w:r>
      <w:r w:rsidRPr="004E5ED8">
        <w:rPr>
          <w:rFonts w:ascii="Times New Roman" w:hAnsi="Times New Roman" w:cs="Times New Roman"/>
          <w:sz w:val="24"/>
          <w:szCs w:val="24"/>
        </w:rPr>
        <w:t xml:space="preserve"> ratio </w:t>
      </w:r>
      <w:r w:rsidRPr="004E5ED8">
        <w:rPr>
          <w:rFonts w:ascii="Times New Roman" w:hAnsi="Times New Roman" w:cs="Times New Roman"/>
          <w:sz w:val="24"/>
          <w:szCs w:val="24"/>
        </w:rPr>
        <w:t xml:space="preserve">shows that it </w:t>
      </w:r>
      <w:r w:rsidRPr="004E5ED8">
        <w:rPr>
          <w:rFonts w:ascii="Times New Roman" w:hAnsi="Times New Roman" w:cs="Times New Roman"/>
          <w:sz w:val="24"/>
          <w:szCs w:val="24"/>
        </w:rPr>
        <w:t xml:space="preserve">is higher than the median of its peer group: around 12.00. According to these financial ratios </w:t>
      </w:r>
      <w:r w:rsidR="006F023B" w:rsidRPr="004E5ED8">
        <w:rPr>
          <w:rFonts w:ascii="Times New Roman" w:hAnsi="Times New Roman" w:cs="Times New Roman"/>
          <w:sz w:val="24"/>
          <w:szCs w:val="24"/>
        </w:rPr>
        <w:t>HSY</w:t>
      </w:r>
      <w:r w:rsidRPr="004E5ED8">
        <w:rPr>
          <w:rFonts w:ascii="Times New Roman" w:hAnsi="Times New Roman" w:cs="Times New Roman"/>
          <w:sz w:val="24"/>
          <w:szCs w:val="24"/>
        </w:rPr>
        <w:t>'s valuation is above the market valuation of its peer group.</w:t>
      </w:r>
      <w:r w:rsidRPr="004E5ED8">
        <w:rPr>
          <w:rFonts w:ascii="Times New Roman" w:hAnsi="Times New Roman" w:cs="Times New Roman"/>
          <w:sz w:val="24"/>
          <w:szCs w:val="24"/>
        </w:rPr>
        <w:t xml:space="preserve"> While it</w:t>
      </w:r>
      <w:r w:rsidRPr="004E5ED8">
        <w:rPr>
          <w:rFonts w:ascii="Times New Roman" w:hAnsi="Times New Roman" w:cs="Times New Roman"/>
          <w:sz w:val="24"/>
          <w:szCs w:val="24"/>
        </w:rPr>
        <w:t xml:space="preserve"> is significantly higher than the average of its sector (Food Products): 9.42. According to these financial ratios </w:t>
      </w:r>
      <w:r w:rsidR="006F023B" w:rsidRPr="004E5ED8">
        <w:rPr>
          <w:rFonts w:ascii="Times New Roman" w:hAnsi="Times New Roman" w:cs="Times New Roman"/>
          <w:sz w:val="24"/>
          <w:szCs w:val="24"/>
        </w:rPr>
        <w:t>HSY</w:t>
      </w:r>
      <w:r w:rsidRPr="004E5ED8">
        <w:rPr>
          <w:rFonts w:ascii="Times New Roman" w:hAnsi="Times New Roman" w:cs="Times New Roman"/>
          <w:sz w:val="24"/>
          <w:szCs w:val="24"/>
        </w:rPr>
        <w:t>'s valuation is way above the market valuation of its sector.</w:t>
      </w:r>
      <w:r w:rsidRPr="004E5ED8">
        <w:rPr>
          <w:rFonts w:ascii="Times New Roman" w:hAnsi="Times New Roman" w:cs="Times New Roman"/>
          <w:sz w:val="24"/>
          <w:szCs w:val="24"/>
        </w:rPr>
        <w:t xml:space="preserve"> Also, it </w:t>
      </w:r>
      <w:r w:rsidRPr="004E5ED8">
        <w:rPr>
          <w:rFonts w:ascii="Times New Roman" w:hAnsi="Times New Roman" w:cs="Times New Roman"/>
          <w:sz w:val="24"/>
          <w:szCs w:val="24"/>
        </w:rPr>
        <w:t xml:space="preserve">is slightly lower than its historical 5-year average: 12.6. The (current) company valuation of </w:t>
      </w:r>
      <w:r w:rsidR="006F023B" w:rsidRPr="004E5ED8">
        <w:rPr>
          <w:rFonts w:ascii="Times New Roman" w:hAnsi="Times New Roman" w:cs="Times New Roman"/>
          <w:sz w:val="24"/>
          <w:szCs w:val="24"/>
        </w:rPr>
        <w:t>HSY</w:t>
      </w:r>
      <w:r w:rsidRPr="004E5ED8">
        <w:rPr>
          <w:rFonts w:ascii="Times New Roman" w:hAnsi="Times New Roman" w:cs="Times New Roman"/>
          <w:sz w:val="24"/>
          <w:szCs w:val="24"/>
        </w:rPr>
        <w:t xml:space="preserve"> is therefore consistent with its valuation average over the last five years.</w:t>
      </w:r>
    </w:p>
    <w:p w14:paraId="2E975A84" w14:textId="55C6A8C4" w:rsidR="00D309BD" w:rsidRPr="004E5ED8" w:rsidRDefault="006A509C">
      <w:p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sz w:val="24"/>
          <w:szCs w:val="24"/>
        </w:rPr>
        <w:t xml:space="preserve">In the past three years, </w:t>
      </w:r>
      <w:r w:rsidR="006F023B" w:rsidRPr="004E5ED8">
        <w:rPr>
          <w:rFonts w:ascii="Times New Roman" w:hAnsi="Times New Roman" w:cs="Times New Roman"/>
          <w:sz w:val="24"/>
          <w:szCs w:val="24"/>
        </w:rPr>
        <w:t>HSY</w:t>
      </w:r>
      <w:r w:rsidRPr="004E5ED8">
        <w:rPr>
          <w:rFonts w:ascii="Times New Roman" w:hAnsi="Times New Roman" w:cs="Times New Roman"/>
          <w:sz w:val="24"/>
          <w:szCs w:val="24"/>
        </w:rPr>
        <w:t xml:space="preserve">’s stock has been increasing in value. </w:t>
      </w:r>
      <w:r w:rsidRPr="004E5ED8">
        <w:rPr>
          <w:rFonts w:ascii="Times New Roman" w:hAnsi="Times New Roman" w:cs="Times New Roman"/>
          <w:sz w:val="24"/>
          <w:szCs w:val="24"/>
        </w:rPr>
        <w:t>2015 was the best performance year for the company</w:t>
      </w:r>
      <w:r w:rsidRPr="004E5ED8">
        <w:rPr>
          <w:rFonts w:ascii="Times New Roman" w:hAnsi="Times New Roman" w:cs="Times New Roman"/>
          <w:sz w:val="24"/>
          <w:szCs w:val="24"/>
        </w:rPr>
        <w:t>.</w:t>
      </w:r>
      <w:r w:rsidR="002237B6" w:rsidRPr="004E5ED8">
        <w:rPr>
          <w:rFonts w:ascii="Times New Roman" w:hAnsi="Times New Roman" w:cs="Times New Roman"/>
          <w:sz w:val="24"/>
          <w:szCs w:val="24"/>
        </w:rPr>
        <w:t xml:space="preserve"> However, a slight drop is being noticed in 2019.</w:t>
      </w:r>
      <w:r w:rsidRPr="004E5ED8">
        <w:rPr>
          <w:rFonts w:ascii="Times New Roman" w:hAnsi="Times New Roman" w:cs="Times New Roman"/>
          <w:sz w:val="24"/>
          <w:szCs w:val="24"/>
        </w:rPr>
        <w:t xml:space="preserve"> The current stock price fluctuates around $</w:t>
      </w:r>
      <w:r w:rsidR="002237B6" w:rsidRPr="004E5ED8">
        <w:rPr>
          <w:rFonts w:ascii="Times New Roman" w:hAnsi="Times New Roman" w:cs="Times New Roman"/>
          <w:sz w:val="24"/>
          <w:szCs w:val="24"/>
        </w:rPr>
        <w:t>105</w:t>
      </w:r>
      <w:r w:rsidRPr="004E5ED8">
        <w:rPr>
          <w:rFonts w:ascii="Times New Roman" w:hAnsi="Times New Roman" w:cs="Times New Roman"/>
          <w:sz w:val="24"/>
          <w:szCs w:val="24"/>
        </w:rPr>
        <w:t xml:space="preserve"> per share</w:t>
      </w:r>
      <w:r w:rsidR="002237B6" w:rsidRPr="004E5ED8">
        <w:rPr>
          <w:rFonts w:ascii="Times New Roman" w:hAnsi="Times New Roman" w:cs="Times New Roman"/>
          <w:sz w:val="24"/>
          <w:szCs w:val="24"/>
        </w:rPr>
        <w:t xml:space="preserve"> that is a drop of 2.94%</w:t>
      </w:r>
      <w:r w:rsidRPr="004E5ED8">
        <w:rPr>
          <w:rFonts w:ascii="Times New Roman" w:hAnsi="Times New Roman" w:cs="Times New Roman"/>
          <w:sz w:val="24"/>
          <w:szCs w:val="24"/>
        </w:rPr>
        <w:t xml:space="preserve">. </w:t>
      </w:r>
      <w:r w:rsidR="002237B6" w:rsidRPr="004E5ED8">
        <w:rPr>
          <w:rFonts w:ascii="Times New Roman" w:hAnsi="Times New Roman" w:cs="Times New Roman"/>
          <w:sz w:val="24"/>
          <w:szCs w:val="24"/>
        </w:rPr>
        <w:t>in 2018, the company</w:t>
      </w:r>
      <w:r w:rsidRPr="004E5ED8">
        <w:rPr>
          <w:rFonts w:ascii="Times New Roman" w:hAnsi="Times New Roman" w:cs="Times New Roman"/>
          <w:sz w:val="24"/>
          <w:szCs w:val="24"/>
        </w:rPr>
        <w:t xml:space="preserve"> paid $</w:t>
      </w:r>
      <w:r w:rsidR="002237B6" w:rsidRPr="004E5ED8">
        <w:rPr>
          <w:rFonts w:ascii="Times New Roman" w:hAnsi="Times New Roman" w:cs="Times New Roman"/>
          <w:sz w:val="24"/>
          <w:szCs w:val="24"/>
        </w:rPr>
        <w:t>2.79</w:t>
      </w:r>
      <w:r w:rsidRPr="004E5ED8">
        <w:rPr>
          <w:rFonts w:ascii="Times New Roman" w:hAnsi="Times New Roman" w:cs="Times New Roman"/>
          <w:sz w:val="24"/>
          <w:szCs w:val="24"/>
        </w:rPr>
        <w:t xml:space="preserve"> dividend per share. The</w:t>
      </w:r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  <w:r w:rsidRPr="004E5ED8">
        <w:rPr>
          <w:rFonts w:ascii="Times New Roman" w:hAnsi="Times New Roman" w:cs="Times New Roman"/>
          <w:sz w:val="24"/>
          <w:szCs w:val="24"/>
        </w:rPr>
        <w:t>gross profit margin is slightly higher in 201</w:t>
      </w:r>
      <w:r w:rsidR="002237B6" w:rsidRPr="004E5ED8">
        <w:rPr>
          <w:rFonts w:ascii="Times New Roman" w:hAnsi="Times New Roman" w:cs="Times New Roman"/>
          <w:sz w:val="24"/>
          <w:szCs w:val="24"/>
        </w:rPr>
        <w:t>8</w:t>
      </w:r>
      <w:r w:rsidRPr="004E5ED8">
        <w:rPr>
          <w:rFonts w:ascii="Times New Roman" w:hAnsi="Times New Roman" w:cs="Times New Roman"/>
          <w:sz w:val="24"/>
          <w:szCs w:val="24"/>
        </w:rPr>
        <w:t xml:space="preserve"> than </w:t>
      </w:r>
      <w:r w:rsidR="002237B6" w:rsidRPr="004E5ED8">
        <w:rPr>
          <w:rFonts w:ascii="Times New Roman" w:hAnsi="Times New Roman" w:cs="Times New Roman"/>
          <w:sz w:val="24"/>
          <w:szCs w:val="24"/>
        </w:rPr>
        <w:t>last year</w:t>
      </w:r>
      <w:r w:rsidRPr="004E5ED8">
        <w:rPr>
          <w:rFonts w:ascii="Times New Roman" w:hAnsi="Times New Roman" w:cs="Times New Roman"/>
          <w:sz w:val="24"/>
          <w:szCs w:val="24"/>
        </w:rPr>
        <w:t>, in which the cost of goods sold. In fact, the 201</w:t>
      </w:r>
      <w:r w:rsidR="002237B6" w:rsidRPr="004E5ED8">
        <w:rPr>
          <w:rFonts w:ascii="Times New Roman" w:hAnsi="Times New Roman" w:cs="Times New Roman"/>
          <w:sz w:val="24"/>
          <w:szCs w:val="24"/>
        </w:rPr>
        <w:t>8</w:t>
      </w:r>
      <w:r w:rsidRPr="004E5ED8">
        <w:rPr>
          <w:rFonts w:ascii="Times New Roman" w:hAnsi="Times New Roman" w:cs="Times New Roman"/>
          <w:sz w:val="24"/>
          <w:szCs w:val="24"/>
        </w:rPr>
        <w:t xml:space="preserve"> gross profit margin is </w:t>
      </w:r>
      <w:r w:rsidR="002237B6" w:rsidRPr="004E5ED8">
        <w:rPr>
          <w:rFonts w:ascii="Times New Roman" w:hAnsi="Times New Roman" w:cs="Times New Roman"/>
          <w:sz w:val="24"/>
          <w:szCs w:val="24"/>
        </w:rPr>
        <w:t>profitable as well</w:t>
      </w:r>
      <w:r w:rsidRPr="004E5E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8D687" w14:textId="77777777" w:rsidR="00057351" w:rsidRPr="00057351" w:rsidRDefault="00057351" w:rsidP="0005735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57351">
        <w:rPr>
          <w:rFonts w:ascii="Times New Roman" w:hAnsi="Times New Roman" w:cs="Times New Roman"/>
          <w:b/>
          <w:bCs/>
          <w:sz w:val="24"/>
          <w:szCs w:val="24"/>
          <w:lang/>
        </w:rPr>
        <w:t>Financial Ratios</w:t>
      </w:r>
    </w:p>
    <w:tbl>
      <w:tblPr>
        <w:tblW w:w="5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057351" w:rsidRPr="00057351" w14:paraId="131847F4" w14:textId="77777777" w:rsidTr="0005735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950" w:type="dxa"/>
              <w:tblBorders>
                <w:bottom w:val="dashed" w:sz="2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255"/>
              <w:gridCol w:w="1255"/>
            </w:tblGrid>
            <w:tr w:rsidR="00057351" w:rsidRPr="00057351" w14:paraId="0931849D" w14:textId="77777777"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093A17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Size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06518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2018e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72ABB1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2019e</w:t>
                  </w:r>
                </w:p>
              </w:tc>
            </w:tr>
            <w:tr w:rsidR="00057351" w:rsidRPr="00057351" w14:paraId="46420106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B9304F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Capitalization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7F2629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22 777 M$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E7B61C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-</w:t>
                  </w:r>
                </w:p>
              </w:tc>
            </w:tr>
            <w:tr w:rsidR="00057351" w:rsidRPr="00057351" w14:paraId="7B79610B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2E2D80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Entreprise Value (EV)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947E0A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26 688 M$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B406E6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26 507 M$</w:t>
                  </w:r>
                </w:p>
              </w:tc>
            </w:tr>
          </w:tbl>
          <w:p w14:paraId="7A8CEBBD" w14:textId="77777777" w:rsidR="00057351" w:rsidRPr="00057351" w:rsidRDefault="00057351" w:rsidP="00057351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/>
              </w:rPr>
            </w:pPr>
          </w:p>
          <w:tbl>
            <w:tblPr>
              <w:tblW w:w="4950" w:type="dxa"/>
              <w:tblBorders>
                <w:bottom w:val="dashed" w:sz="2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850"/>
              <w:gridCol w:w="850"/>
            </w:tblGrid>
            <w:tr w:rsidR="00057351" w:rsidRPr="00057351" w14:paraId="09D5F27F" w14:textId="77777777"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3C9E89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Valuation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9A9E66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2018e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BB8479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2019e</w:t>
                  </w:r>
                </w:p>
              </w:tc>
            </w:tr>
            <w:tr w:rsidR="00057351" w:rsidRPr="00057351" w14:paraId="29995167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C4B21F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P/E ratio (Price / EPS)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F2541C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20,6x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9191F5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19,2x</w:t>
                  </w:r>
                </w:p>
              </w:tc>
            </w:tr>
            <w:tr w:rsidR="00057351" w:rsidRPr="00057351" w14:paraId="6753072A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D49762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Capitalization / Revenue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C088EE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2,92x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51F5E4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2,86x</w:t>
                  </w:r>
                </w:p>
              </w:tc>
            </w:tr>
            <w:tr w:rsidR="00057351" w:rsidRPr="00057351" w14:paraId="79D76FA0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46C034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EV / Revenue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04884F2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3,42x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213412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3,33x</w:t>
                  </w:r>
                </w:p>
              </w:tc>
            </w:tr>
            <w:tr w:rsidR="00057351" w:rsidRPr="00057351" w14:paraId="59C5AB59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E24C34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EV / EBITDA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924320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14,2x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26137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13,6x</w:t>
                  </w:r>
                </w:p>
              </w:tc>
            </w:tr>
            <w:tr w:rsidR="00057351" w:rsidRPr="00057351" w14:paraId="3FB3FE30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4B5D7C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Yield (DPS / Price)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4E23F4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2,57%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C6338A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2,73%</w:t>
                  </w:r>
                </w:p>
              </w:tc>
            </w:tr>
            <w:tr w:rsidR="00057351" w:rsidRPr="00057351" w14:paraId="7B412432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2B551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Price to book (Price / BVPS)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6C7BDE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21,1x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D8E11E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18,2x</w:t>
                  </w:r>
                </w:p>
              </w:tc>
            </w:tr>
          </w:tbl>
          <w:p w14:paraId="0D168C60" w14:textId="77777777" w:rsidR="00057351" w:rsidRPr="00057351" w:rsidRDefault="00057351" w:rsidP="00057351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/>
              </w:rPr>
            </w:pPr>
          </w:p>
          <w:tbl>
            <w:tblPr>
              <w:tblW w:w="4950" w:type="dxa"/>
              <w:tblBorders>
                <w:bottom w:val="dashed" w:sz="2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750"/>
              <w:gridCol w:w="750"/>
            </w:tblGrid>
            <w:tr w:rsidR="00057351" w:rsidRPr="00057351" w14:paraId="206EA220" w14:textId="77777777"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13FC3E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Profitability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C0A74B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2018e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DEE11B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2019e</w:t>
                  </w:r>
                </w:p>
              </w:tc>
            </w:tr>
            <w:tr w:rsidR="00057351" w:rsidRPr="00057351" w14:paraId="2771FEA4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4E6CE2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Operating Margin (EBIT / Sales)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B3E9FA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20,4%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23E76D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21,0%</w:t>
                  </w:r>
                </w:p>
              </w:tc>
            </w:tr>
            <w:tr w:rsidR="00057351" w:rsidRPr="00057351" w14:paraId="2806D63D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429C57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operating Leverage (Delta EBIT / Delta Sales)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748961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0,73x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C70491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2,51x</w:t>
                  </w:r>
                </w:p>
              </w:tc>
            </w:tr>
            <w:tr w:rsidR="00057351" w:rsidRPr="00057351" w14:paraId="33DBDA4D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55B86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Net Margin (Net Profit / Revenue)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903AE2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14,0%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02FC66C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14,8%</w:t>
                  </w:r>
                </w:p>
              </w:tc>
            </w:tr>
            <w:tr w:rsidR="00057351" w:rsidRPr="00057351" w14:paraId="39EE9C84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52973D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lastRenderedPageBreak/>
                    <w:t>ROA (Net Profit / Asset)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80BBC7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18,5%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B0991C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17,3%</w:t>
                  </w:r>
                </w:p>
              </w:tc>
            </w:tr>
            <w:tr w:rsidR="00057351" w:rsidRPr="00057351" w14:paraId="4B1B7D02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F74986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ROE (Net Profit / Equities)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CC5DCA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114%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36EC7D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114%</w:t>
                  </w:r>
                </w:p>
              </w:tc>
            </w:tr>
            <w:tr w:rsidR="00057351" w:rsidRPr="00057351" w14:paraId="598FC362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978A7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Rate of Dividend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A80824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52,9%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4D324F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52,3%</w:t>
                  </w:r>
                </w:p>
              </w:tc>
            </w:tr>
          </w:tbl>
          <w:p w14:paraId="7B4779C3" w14:textId="77777777" w:rsidR="00057351" w:rsidRPr="00057351" w:rsidRDefault="00057351" w:rsidP="00057351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/>
              </w:rPr>
            </w:pPr>
          </w:p>
          <w:tbl>
            <w:tblPr>
              <w:tblW w:w="4950" w:type="dxa"/>
              <w:tblBorders>
                <w:bottom w:val="dashed" w:sz="2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750"/>
              <w:gridCol w:w="750"/>
            </w:tblGrid>
            <w:tr w:rsidR="00057351" w:rsidRPr="00057351" w14:paraId="1C63EA55" w14:textId="77777777"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173504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Balance Sheet Analysis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5981A5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2018e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CF4A5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2019e</w:t>
                  </w:r>
                </w:p>
              </w:tc>
            </w:tr>
            <w:tr w:rsidR="00057351" w:rsidRPr="00057351" w14:paraId="676C6A1A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217068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CAPEX / CA  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E22217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4,31%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742C42A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4,00%</w:t>
                  </w:r>
                </w:p>
              </w:tc>
            </w:tr>
            <w:tr w:rsidR="00057351" w:rsidRPr="00057351" w14:paraId="0FE113E0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52F6866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Cash Flow / Sales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C4DBAF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15,7%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2C9F1F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16,7%</w:t>
                  </w:r>
                </w:p>
              </w:tc>
            </w:tr>
            <w:tr w:rsidR="00057351" w:rsidRPr="00057351" w14:paraId="7F6CA940" w14:textId="7777777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C420E9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Capital Intensity (Assets / Sales)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2F6EC0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0,76x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B88900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0,86x</w:t>
                  </w:r>
                </w:p>
              </w:tc>
            </w:tr>
            <w:tr w:rsidR="00057351" w:rsidRPr="00057351" w14:paraId="51E5D768" w14:textId="77777777"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A5FDCE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Financial Leverage (Net Debt / EBITDA)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067D90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2,08x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90BB9DA" w14:textId="77777777" w:rsidR="00057351" w:rsidRPr="00057351" w:rsidRDefault="00057351" w:rsidP="000573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0573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/>
                    </w:rPr>
                    <w:t>1,91x</w:t>
                  </w:r>
                </w:p>
              </w:tc>
            </w:tr>
          </w:tbl>
          <w:p w14:paraId="79858A51" w14:textId="77777777" w:rsidR="00057351" w:rsidRPr="00057351" w:rsidRDefault="00057351" w:rsidP="0005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14:paraId="1A1C8044" w14:textId="127F5A8A" w:rsidR="00057351" w:rsidRPr="004E5ED8" w:rsidRDefault="00057351" w:rsidP="000573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121D8" w14:textId="7787572D" w:rsidR="004362D0" w:rsidRPr="004E5ED8" w:rsidRDefault="004362D0" w:rsidP="00057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D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8F44D58" w14:textId="2A97F04A" w:rsidR="004362D0" w:rsidRPr="004E5ED8" w:rsidRDefault="004362D0" w:rsidP="004362D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E5ED8">
          <w:rPr>
            <w:rStyle w:val="Hyperlink"/>
            <w:rFonts w:ascii="Times New Roman" w:hAnsi="Times New Roman" w:cs="Times New Roman"/>
            <w:sz w:val="24"/>
            <w:szCs w:val="24"/>
          </w:rPr>
          <w:t>http://finance.yahoo.com</w:t>
        </w:r>
      </w:hyperlink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7EC8F" w14:textId="54452D45" w:rsidR="004362D0" w:rsidRPr="004E5ED8" w:rsidRDefault="004362D0" w:rsidP="004362D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5ED8">
          <w:rPr>
            <w:rStyle w:val="Hyperlink"/>
            <w:rFonts w:ascii="Times New Roman" w:hAnsi="Times New Roman" w:cs="Times New Roman"/>
            <w:sz w:val="24"/>
            <w:szCs w:val="24"/>
          </w:rPr>
          <w:t>www.hoovers.com</w:t>
        </w:r>
      </w:hyperlink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84E77" w14:textId="53033B6C" w:rsidR="004362D0" w:rsidRPr="004E5ED8" w:rsidRDefault="004362D0" w:rsidP="004362D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5ED8">
          <w:rPr>
            <w:rStyle w:val="Hyperlink"/>
            <w:rFonts w:ascii="Times New Roman" w:hAnsi="Times New Roman" w:cs="Times New Roman"/>
            <w:sz w:val="24"/>
            <w:szCs w:val="24"/>
          </w:rPr>
          <w:t>http://globaledge.msu.edu/industries/</w:t>
        </w:r>
      </w:hyperlink>
      <w:r w:rsidRPr="004E5ED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4362D0" w:rsidRPr="004E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9C"/>
    <w:rsid w:val="00057351"/>
    <w:rsid w:val="002237B6"/>
    <w:rsid w:val="004362D0"/>
    <w:rsid w:val="004E5ED8"/>
    <w:rsid w:val="005F09F6"/>
    <w:rsid w:val="006A509C"/>
    <w:rsid w:val="006F023B"/>
    <w:rsid w:val="00B04CE0"/>
    <w:rsid w:val="00D309BD"/>
    <w:rsid w:val="00D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9E6A"/>
  <w15:chartTrackingRefBased/>
  <w15:docId w15:val="{E86AA2D2-33AC-47C8-A171-2E733C45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edge.msu.edu/industries/" TargetMode="External"/><Relationship Id="rId5" Type="http://schemas.openxmlformats.org/officeDocument/2006/relationships/hyperlink" Target="http://www.hoovers.com" TargetMode="External"/><Relationship Id="rId4" Type="http://schemas.openxmlformats.org/officeDocument/2006/relationships/hyperlink" Target="http://finance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8</cp:revision>
  <dcterms:created xsi:type="dcterms:W3CDTF">2019-01-25T00:35:00Z</dcterms:created>
  <dcterms:modified xsi:type="dcterms:W3CDTF">2019-01-25T00:53:00Z</dcterms:modified>
</cp:coreProperties>
</file>