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563" w:rsidRDefault="00CE3563" w:rsidP="00615F6C">
      <w:pPr>
        <w:ind w:left="720" w:hanging="360"/>
        <w:jc w:val="both"/>
      </w:pPr>
    </w:p>
    <w:p w:rsidR="00CE3563" w:rsidRDefault="00CE3563" w:rsidP="00CE3563">
      <w:pPr>
        <w:jc w:val="center"/>
        <w:rPr>
          <w:b/>
          <w:color w:val="000000"/>
          <w:shd w:val="clear" w:color="auto" w:fill="FFFFFF"/>
        </w:rPr>
      </w:pPr>
      <w:r>
        <w:rPr>
          <w:b/>
          <w:color w:val="000000"/>
          <w:shd w:val="clear" w:color="auto" w:fill="FFFFFF"/>
        </w:rPr>
        <w:t>Case Study</w:t>
      </w:r>
    </w:p>
    <w:p w:rsidR="009B0749" w:rsidRPr="0092393F" w:rsidRDefault="005B3775" w:rsidP="00CE3563">
      <w:pPr>
        <w:numPr>
          <w:ilvl w:val="0"/>
          <w:numId w:val="5"/>
        </w:numPr>
        <w:jc w:val="both"/>
        <w:rPr>
          <w:b/>
          <w:color w:val="000000"/>
          <w:shd w:val="clear" w:color="auto" w:fill="FFFFFF"/>
        </w:rPr>
      </w:pPr>
      <w:r w:rsidRPr="0092393F">
        <w:rPr>
          <w:b/>
          <w:color w:val="000000"/>
          <w:shd w:val="clear" w:color="auto" w:fill="FFFFFF"/>
        </w:rPr>
        <w:t>What key financial ratios will be affected by the adoption of FAS 141R and FAS 160? What will be the likely effect?</w:t>
      </w:r>
    </w:p>
    <w:p w:rsidR="004D7F18" w:rsidRPr="0092393F" w:rsidRDefault="009B0749" w:rsidP="002127D3">
      <w:pPr>
        <w:ind w:left="360" w:firstLine="360"/>
        <w:jc w:val="both"/>
        <w:rPr>
          <w:color w:val="000000"/>
        </w:rPr>
      </w:pPr>
      <w:r w:rsidRPr="0092393F">
        <w:rPr>
          <w:color w:val="000000"/>
        </w:rPr>
        <w:t xml:space="preserve">Once the FAS 141 R and FAS 160 are adopted, the likely impact can include the decreasing of any company’s ratio of debt to equity. There are also the chances that the ratio of debt to </w:t>
      </w:r>
      <w:r w:rsidR="00E25584">
        <w:rPr>
          <w:color w:val="000000"/>
        </w:rPr>
        <w:t xml:space="preserve">an </w:t>
      </w:r>
      <w:r w:rsidRPr="0092393F">
        <w:rPr>
          <w:color w:val="000000"/>
        </w:rPr>
        <w:t xml:space="preserve">asset may also decrease. The only reason behind this is that the increase in equity is because of the reclassification of the interest that is uncontrollable. In cases of the subsequent acquisitions, there could be the chances that the increase in the ratio of asset and equity be observed. This can happen when the market value experiences </w:t>
      </w:r>
      <w:r w:rsidR="00E25584">
        <w:rPr>
          <w:color w:val="000000"/>
        </w:rPr>
        <w:t>a</w:t>
      </w:r>
      <w:r w:rsidRPr="0092393F">
        <w:rPr>
          <w:color w:val="000000"/>
        </w:rPr>
        <w:t xml:space="preserve"> further decrease in its ratio.  </w:t>
      </w:r>
    </w:p>
    <w:p w:rsidR="004D7F18" w:rsidRPr="002127D3" w:rsidRDefault="004D7F18" w:rsidP="00CE3563">
      <w:pPr>
        <w:numPr>
          <w:ilvl w:val="0"/>
          <w:numId w:val="5"/>
        </w:numPr>
        <w:jc w:val="both"/>
        <w:rPr>
          <w:b/>
          <w:color w:val="000000"/>
          <w:shd w:val="clear" w:color="auto" w:fill="FFFFFF"/>
        </w:rPr>
      </w:pPr>
      <w:r w:rsidRPr="002127D3">
        <w:rPr>
          <w:b/>
          <w:color w:val="000000"/>
          <w:shd w:val="clear" w:color="auto" w:fill="FFFFFF"/>
        </w:rPr>
        <w:t>Could any of the recent and forthcoming changes affect the company's acquisition strategies and potentially its growth? </w:t>
      </w:r>
    </w:p>
    <w:p w:rsidR="00714E0C" w:rsidRPr="0092393F" w:rsidRDefault="004D7F18" w:rsidP="002127D3">
      <w:pPr>
        <w:ind w:left="360" w:firstLine="360"/>
        <w:jc w:val="both"/>
        <w:rPr>
          <w:color w:val="000000"/>
        </w:rPr>
      </w:pPr>
      <w:r w:rsidRPr="0092393F">
        <w:rPr>
          <w:color w:val="000000"/>
        </w:rPr>
        <w:t xml:space="preserve">The potential effect of the company’s acquisition strategies could include the addition of the values </w:t>
      </w:r>
      <w:r w:rsidR="00DE6C2E" w:rsidRPr="0092393F">
        <w:rPr>
          <w:color w:val="000000"/>
        </w:rPr>
        <w:t>in comparison to the</w:t>
      </w:r>
      <w:r w:rsidRPr="0092393F">
        <w:rPr>
          <w:color w:val="000000"/>
        </w:rPr>
        <w:t xml:space="preserve"> value of </w:t>
      </w:r>
      <w:r w:rsidR="00E25584">
        <w:rPr>
          <w:color w:val="000000"/>
        </w:rPr>
        <w:t xml:space="preserve">the </w:t>
      </w:r>
      <w:r w:rsidRPr="0092393F">
        <w:rPr>
          <w:color w:val="000000"/>
        </w:rPr>
        <w:t>full market. The repercussions of this will include the increasing trend in the goodwill</w:t>
      </w:r>
      <w:r w:rsidR="00DE6C2E" w:rsidRPr="0092393F">
        <w:rPr>
          <w:color w:val="000000"/>
        </w:rPr>
        <w:t xml:space="preserve"> and</w:t>
      </w:r>
      <w:r w:rsidRPr="0092393F">
        <w:rPr>
          <w:color w:val="000000"/>
        </w:rPr>
        <w:t xml:space="preserve"> the unlimited controls on the </w:t>
      </w:r>
      <w:r w:rsidR="00DE6C2E" w:rsidRPr="0092393F">
        <w:rPr>
          <w:color w:val="000000"/>
        </w:rPr>
        <w:t xml:space="preserve">interests, Further, in case if the assets are raised or in case if they are overvalued, there are chances that they can experience </w:t>
      </w:r>
      <w:r w:rsidR="00E25584">
        <w:rPr>
          <w:color w:val="000000"/>
        </w:rPr>
        <w:t xml:space="preserve">a </w:t>
      </w:r>
      <w:r w:rsidR="00DE6C2E" w:rsidRPr="0092393F">
        <w:rPr>
          <w:color w:val="000000"/>
        </w:rPr>
        <w:t>decrease in their full amount</w:t>
      </w:r>
      <w:r w:rsidR="00112996">
        <w:rPr>
          <w:color w:val="000000"/>
        </w:rPr>
        <w:fldChar w:fldCharType="begin"/>
      </w:r>
      <w:r w:rsidR="00112996">
        <w:rPr>
          <w:color w:val="000000"/>
        </w:rPr>
        <w:instrText xml:space="preserve"> ADDIN ZOTERO_ITEM CSL_CITATION {"citationID":"cBz1tAPh","properties":{"formattedCitation":"(Pounder 2010)","plainCitation":"(Pounder 2010)","noteIndex":0},"citationItems":[{"id":5,"uris":["http://zotero.org/users/local/pCT5fGyt/items/A43Y7TE4"],"uri":["http://zotero.org/users/local/pCT5fGyt/items/A43Y7TE4"],"itemData":{"id":5,"type":"article-journal","title":"A common framework for accounting standards","container-title":"Strategic Finance","page":"20–23","volume":"92","issue":"5","source":"Google Scholar","author":[{"family":"Pounder","given":"Bruce"}],"issued":{"date-parts":[["2010"]]}}}],"schema":"https://github.com/citation-style-language/schema/raw/master/csl-citation.json"} </w:instrText>
      </w:r>
      <w:r w:rsidR="00112996">
        <w:rPr>
          <w:color w:val="000000"/>
        </w:rPr>
        <w:fldChar w:fldCharType="separate"/>
      </w:r>
      <w:r w:rsidR="00112996" w:rsidRPr="00112996">
        <w:t>(Pounder 2010)</w:t>
      </w:r>
      <w:r w:rsidR="00112996">
        <w:rPr>
          <w:color w:val="000000"/>
        </w:rPr>
        <w:fldChar w:fldCharType="end"/>
      </w:r>
      <w:r w:rsidR="007D383C" w:rsidRPr="0092393F">
        <w:rPr>
          <w:color w:val="000000"/>
        </w:rPr>
        <w:t xml:space="preserve">. The acquisitions are </w:t>
      </w:r>
      <w:r w:rsidR="005F3455" w:rsidRPr="0092393F">
        <w:rPr>
          <w:color w:val="000000"/>
        </w:rPr>
        <w:t>generally</w:t>
      </w:r>
      <w:r w:rsidR="007D383C" w:rsidRPr="0092393F">
        <w:rPr>
          <w:color w:val="000000"/>
        </w:rPr>
        <w:t xml:space="preserve"> calculated </w:t>
      </w:r>
      <w:r w:rsidR="005F3455" w:rsidRPr="0092393F">
        <w:rPr>
          <w:color w:val="000000"/>
        </w:rPr>
        <w:t>because of</w:t>
      </w:r>
      <w:r w:rsidR="007D383C" w:rsidRPr="0092393F">
        <w:rPr>
          <w:color w:val="000000"/>
        </w:rPr>
        <w:t xml:space="preserve"> the amount being paid or the full amount. That is why the important cost is just linked with the </w:t>
      </w:r>
      <w:r w:rsidR="005F3455" w:rsidRPr="0092393F">
        <w:rPr>
          <w:color w:val="000000"/>
        </w:rPr>
        <w:t>acquisitions</w:t>
      </w:r>
      <w:r w:rsidR="007D383C" w:rsidRPr="0092393F">
        <w:rPr>
          <w:color w:val="000000"/>
        </w:rPr>
        <w:t xml:space="preserve">. These can then result in expenses, that will for sure </w:t>
      </w:r>
      <w:r w:rsidR="005F3455" w:rsidRPr="0092393F">
        <w:rPr>
          <w:color w:val="000000"/>
        </w:rPr>
        <w:t>decrees</w:t>
      </w:r>
      <w:r w:rsidR="007D383C" w:rsidRPr="0092393F">
        <w:rPr>
          <w:color w:val="000000"/>
        </w:rPr>
        <w:t xml:space="preserve"> the income, Similarly, if there is an entity which is trying to get over to the target of the earnings, this will then again have the effects on the decision about </w:t>
      </w:r>
      <w:r w:rsidR="00E25584">
        <w:rPr>
          <w:color w:val="000000"/>
        </w:rPr>
        <w:t xml:space="preserve">the </w:t>
      </w:r>
      <w:r w:rsidR="007D383C" w:rsidRPr="0092393F">
        <w:rPr>
          <w:color w:val="000000"/>
        </w:rPr>
        <w:t>acquisition.</w:t>
      </w:r>
    </w:p>
    <w:p w:rsidR="002127D3" w:rsidRPr="002127D3" w:rsidRDefault="00714E0C" w:rsidP="00CE3563">
      <w:pPr>
        <w:numPr>
          <w:ilvl w:val="0"/>
          <w:numId w:val="5"/>
        </w:numPr>
        <w:jc w:val="both"/>
        <w:rPr>
          <w:b/>
        </w:rPr>
      </w:pPr>
      <w:r w:rsidRPr="002127D3">
        <w:rPr>
          <w:b/>
          <w:color w:val="000000"/>
          <w:shd w:val="clear" w:color="auto" w:fill="FFFFFF"/>
        </w:rPr>
        <w:lastRenderedPageBreak/>
        <w:t xml:space="preserve">What were FASB's primary reasons for issuing FAS 141R and FAS 160? </w:t>
      </w:r>
    </w:p>
    <w:p w:rsidR="002A2A03" w:rsidRDefault="002607BD" w:rsidP="002127D3">
      <w:pPr>
        <w:ind w:left="360" w:firstLine="360"/>
        <w:jc w:val="both"/>
        <w:rPr>
          <w:color w:val="000000"/>
        </w:rPr>
      </w:pPr>
      <w:r w:rsidRPr="0092393F">
        <w:rPr>
          <w:color w:val="000000"/>
        </w:rPr>
        <w:t>As mentioned in the FAS 141r and in the FAS 160, the FASB has already issued. I</w:t>
      </w:r>
      <w:r w:rsidR="0092393F" w:rsidRPr="0092393F">
        <w:rPr>
          <w:color w:val="000000"/>
        </w:rPr>
        <w:t>t</w:t>
      </w:r>
      <w:r w:rsidRPr="0092393F">
        <w:rPr>
          <w:color w:val="000000"/>
        </w:rPr>
        <w:t xml:space="preserve"> </w:t>
      </w:r>
      <w:r w:rsidR="0092393F" w:rsidRPr="0092393F">
        <w:rPr>
          <w:color w:val="000000"/>
        </w:rPr>
        <w:t>includes</w:t>
      </w:r>
      <w:r w:rsidRPr="0092393F">
        <w:rPr>
          <w:color w:val="000000"/>
        </w:rPr>
        <w:t xml:space="preserve"> the minimum standards that can improve the relevancy in the standards that are maintained, the reliability standards- which are more likely to remain constant, and the comparison in the financial statements of the entities. Along with this, the FAS 141R, the FAS 160 and the revisions in the text of the IFRS 3 that </w:t>
      </w:r>
      <w:r w:rsidR="0092393F" w:rsidRPr="0092393F">
        <w:rPr>
          <w:color w:val="000000"/>
        </w:rPr>
        <w:t>were</w:t>
      </w:r>
      <w:r w:rsidRPr="0092393F">
        <w:rPr>
          <w:color w:val="000000"/>
        </w:rPr>
        <w:t xml:space="preserve"> present </w:t>
      </w:r>
      <w:r w:rsidR="0092393F" w:rsidRPr="0092393F">
        <w:rPr>
          <w:color w:val="000000"/>
        </w:rPr>
        <w:t xml:space="preserve">in FASB/IASB were projected to facilitate the convergences in the fields of accounting and finance. </w:t>
      </w:r>
    </w:p>
    <w:p w:rsidR="002127D3" w:rsidRPr="002127D3" w:rsidRDefault="002127D3" w:rsidP="00CE3563">
      <w:pPr>
        <w:numPr>
          <w:ilvl w:val="0"/>
          <w:numId w:val="5"/>
        </w:numPr>
        <w:jc w:val="both"/>
        <w:rPr>
          <w:b/>
        </w:rPr>
      </w:pPr>
      <w:r w:rsidRPr="002127D3">
        <w:rPr>
          <w:b/>
          <w:color w:val="000000"/>
          <w:shd w:val="clear" w:color="auto" w:fill="FFFFFF"/>
        </w:rPr>
        <w:t>What are qualifying SPE's? Do they exist under IFRS? What is the effect of FAS 166 eliminating the concept of qualifying SPEs on the convergence of accounting standards? </w:t>
      </w:r>
    </w:p>
    <w:p w:rsidR="002A2A03" w:rsidRDefault="002127D3" w:rsidP="009F7AEC">
      <w:pPr>
        <w:ind w:left="360" w:firstLine="360"/>
        <w:jc w:val="both"/>
      </w:pPr>
      <w:r>
        <w:t xml:space="preserve">The qualifying SPEs are the entities of special purposes. The important aspect of them </w:t>
      </w:r>
      <w:r w:rsidR="00E25584">
        <w:t>is</w:t>
      </w:r>
      <w:r>
        <w:t xml:space="preserve"> that they are very limited in their activities. They are also very limited in the type of </w:t>
      </w:r>
      <w:r w:rsidRPr="00E25584">
        <w:rPr>
          <w:noProof/>
        </w:rPr>
        <w:t>assets</w:t>
      </w:r>
      <w:r>
        <w:t xml:space="preserve"> they </w:t>
      </w:r>
      <w:r w:rsidRPr="00E25584">
        <w:t>ca</w:t>
      </w:r>
      <w:r w:rsidR="00E25584">
        <w:t>n</w:t>
      </w:r>
      <w:r>
        <w:t xml:space="preserve"> hold to. Experts opine that this entity is passive, and this is the reason why this </w:t>
      </w:r>
      <w:r w:rsidRPr="00E25584">
        <w:rPr>
          <w:noProof/>
        </w:rPr>
        <w:t>cannot</w:t>
      </w:r>
      <w:r>
        <w:t xml:space="preserve"> be engaged in the active decision-making process</w:t>
      </w:r>
      <w:r w:rsidR="00E40D53">
        <w:t>, according to the terms that were arranged and set forth in FAS 140</w:t>
      </w:r>
      <w:r w:rsidR="00112996">
        <w:fldChar w:fldCharType="begin"/>
      </w:r>
      <w:r w:rsidR="00112996">
        <w:instrText xml:space="preserve"> ADDIN ZOTERO_ITEM CSL_CITATION {"citationID":"ScaDFvzC","properties":{"formattedCitation":"(Pounder 2010)","plainCitation":"(Pounder 2010)","noteIndex":0},"citationItems":[{"id":5,"uris":["http://zotero.org/users/local/pCT5fGyt/items/A43Y7TE4"],"uri":["http://zotero.org/users/local/pCT5fGyt/items/A43Y7TE4"],"itemData":{"id":5,"type":"article-journal","title":"A common framework for accounting standards","container-title":"Strategic Finance","page":"20–23","volume":"92","issue":"5","source":"Google Scholar","author":[{"family":"Pounder","given":"Bruce"}],"issued":{"date-parts":[["2010"]]}}}],"schema":"https://github.com/citation-style-language/schema/raw/master/csl-citation.json"} </w:instrText>
      </w:r>
      <w:r w:rsidR="00112996">
        <w:fldChar w:fldCharType="separate"/>
      </w:r>
      <w:r w:rsidR="00112996" w:rsidRPr="00112996">
        <w:t>(Pounder 2010)</w:t>
      </w:r>
      <w:r w:rsidR="00112996">
        <w:fldChar w:fldCharType="end"/>
      </w:r>
      <w:r w:rsidR="00E40D53">
        <w:t>.</w:t>
      </w:r>
      <w:r w:rsidR="00CF2883">
        <w:t xml:space="preserve"> </w:t>
      </w:r>
      <w:r w:rsidR="007F5FDB">
        <w:t xml:space="preserve">As per the codification of the FASB, the qualifying SPEs are the trusts or a kind of legal entities that </w:t>
      </w:r>
      <w:r w:rsidR="007F5FDB" w:rsidRPr="00E25584">
        <w:rPr>
          <w:noProof/>
        </w:rPr>
        <w:t>fulfils</w:t>
      </w:r>
      <w:r w:rsidR="007F5FDB">
        <w:t xml:space="preserve"> the conditions that are placed in FAS 140. Such entities normally </w:t>
      </w:r>
      <w:r w:rsidR="009F7AEC">
        <w:t>involve</w:t>
      </w:r>
      <w:r w:rsidR="007F5FDB">
        <w:t xml:space="preserve"> the securitization of the mortgages. According to the </w:t>
      </w:r>
      <w:r w:rsidR="009F7AEC">
        <w:t>rules</w:t>
      </w:r>
      <w:r w:rsidR="007F5FDB">
        <w:t xml:space="preserve"> and regulations of the IASB, it does not </w:t>
      </w:r>
      <w:r w:rsidR="009F7AEC">
        <w:t>accept</w:t>
      </w:r>
      <w:r w:rsidR="007F5FDB">
        <w:t xml:space="preserve"> the idea of the qualification of the SPE. Therefore, the reduction and elimination of the SPEs, that are considered qualified facilitates the convergences in many areas of the </w:t>
      </w:r>
      <w:r w:rsidR="007F5FDB" w:rsidRPr="00E25584">
        <w:rPr>
          <w:noProof/>
        </w:rPr>
        <w:t>accounting</w:t>
      </w:r>
      <w:r w:rsidR="007F5FDB">
        <w:t xml:space="preserve">. </w:t>
      </w:r>
    </w:p>
    <w:p w:rsidR="009F7AEC" w:rsidRDefault="00F122C1" w:rsidP="00CE3563">
      <w:pPr>
        <w:numPr>
          <w:ilvl w:val="0"/>
          <w:numId w:val="5"/>
        </w:numPr>
        <w:jc w:val="both"/>
        <w:rPr>
          <w:b/>
        </w:rPr>
      </w:pPr>
      <w:r w:rsidRPr="00F122C1">
        <w:rPr>
          <w:b/>
        </w:rPr>
        <w:t>If the company adopts IFRS, what changes should management be aware of?</w:t>
      </w:r>
    </w:p>
    <w:p w:rsidR="00BA5484" w:rsidRDefault="00B17996" w:rsidP="00BA5484">
      <w:pPr>
        <w:ind w:left="360" w:firstLine="0"/>
        <w:jc w:val="both"/>
      </w:pPr>
      <w:r>
        <w:t xml:space="preserve">If the company adopts the IFRS and then an </w:t>
      </w:r>
      <w:r w:rsidR="00FB6065">
        <w:t>opportunity</w:t>
      </w:r>
      <w:r>
        <w:t xml:space="preserve"> is available for the employees to get </w:t>
      </w:r>
      <w:r w:rsidR="00E25584">
        <w:t xml:space="preserve">the </w:t>
      </w:r>
      <w:r w:rsidRPr="00E25584">
        <w:rPr>
          <w:noProof/>
        </w:rPr>
        <w:t>train</w:t>
      </w:r>
      <w:r>
        <w:t xml:space="preserve"> over to that, then </w:t>
      </w:r>
      <w:r w:rsidR="00FB6065">
        <w:t xml:space="preserve">there </w:t>
      </w:r>
      <w:r>
        <w:t xml:space="preserve">exist </w:t>
      </w:r>
      <w:r w:rsidR="00CF558F">
        <w:t>opportunities</w:t>
      </w:r>
      <w:r>
        <w:t xml:space="preserve"> that the </w:t>
      </w:r>
      <w:r w:rsidR="00CF558F">
        <w:t xml:space="preserve">company will offer maximum </w:t>
      </w:r>
      <w:r w:rsidR="00CF558F">
        <w:lastRenderedPageBreak/>
        <w:t xml:space="preserve">opportunities for its staff to grow. </w:t>
      </w:r>
      <w:r w:rsidR="00FB6065">
        <w:t>Also,</w:t>
      </w:r>
      <w:r w:rsidR="00CF558F">
        <w:t xml:space="preserve"> there </w:t>
      </w:r>
      <w:r w:rsidR="00CF558F" w:rsidRPr="00E25584">
        <w:rPr>
          <w:noProof/>
        </w:rPr>
        <w:t>exist</w:t>
      </w:r>
      <w:r w:rsidR="00E25584">
        <w:rPr>
          <w:noProof/>
        </w:rPr>
        <w:t>s</w:t>
      </w:r>
      <w:r w:rsidR="00CF558F">
        <w:t xml:space="preserve"> </w:t>
      </w:r>
      <w:r w:rsidR="00E25584">
        <w:t xml:space="preserve">a </w:t>
      </w:r>
      <w:r w:rsidR="00CF558F" w:rsidRPr="00E25584">
        <w:rPr>
          <w:noProof/>
        </w:rPr>
        <w:t>wide</w:t>
      </w:r>
      <w:r w:rsidR="00CF558F">
        <w:t xml:space="preserve"> potential for the company to grow. </w:t>
      </w:r>
      <w:r w:rsidR="00FB6065">
        <w:t xml:space="preserve">If the staff has the knowledge and skills of both the US GAAP and the IFRS, it can provide ample opportunities in the host country and abroad. </w:t>
      </w:r>
      <w:r>
        <w:t xml:space="preserve"> </w:t>
      </w:r>
      <w:r w:rsidR="00FB6065">
        <w:t>The professionals that have the working experience and the knowledge of both the accounting modules will be placed high in the demands through the world. As there are many chances that the US companies are ready for the adoption of the IFRS</w:t>
      </w:r>
      <w:r w:rsidR="00112996">
        <w:fldChar w:fldCharType="begin"/>
      </w:r>
      <w:r w:rsidR="00112996">
        <w:instrText xml:space="preserve"> ADDIN ZOTERO_ITEM CSL_CITATION {"citationID":"A1pJ0v9w","properties":{"formattedCitation":"(Foundation 2009)","plainCitation":"(Foundation 2009)","noteIndex":0},"citationItems":[{"id":6,"uris":["http://zotero.org/users/local/pCT5fGyt/items/UIA2TD24"],"uri":["http://zotero.org/users/local/pCT5fGyt/items/UIA2TD24"],"itemData":{"id":6,"type":"book","title":"FASB accounting standards codification","publisher":"FASB","source":"Google Scholar","author":[{"family":"Foundation","given":"Financial Accounting Standards Board Financial Accounting"}],"issued":{"date-parts":[["2009"]]}}}],"schema":"https://github.com/citation-style-language/schema/raw/master/csl-citation.json"} </w:instrText>
      </w:r>
      <w:r w:rsidR="00112996">
        <w:fldChar w:fldCharType="separate"/>
      </w:r>
      <w:r w:rsidR="00112996" w:rsidRPr="00112996">
        <w:t>(Foundation 2009)</w:t>
      </w:r>
      <w:r w:rsidR="00112996">
        <w:fldChar w:fldCharType="end"/>
      </w:r>
      <w:r w:rsidR="00FB6065">
        <w:t xml:space="preserve">. So, the professionals of </w:t>
      </w:r>
      <w:r w:rsidR="00FB6065" w:rsidRPr="00E25584">
        <w:rPr>
          <w:noProof/>
        </w:rPr>
        <w:t>accounting</w:t>
      </w:r>
      <w:r w:rsidR="00FB6065">
        <w:t xml:space="preserve"> who have both the knowledge about the </w:t>
      </w:r>
      <w:r w:rsidR="00FB6065" w:rsidRPr="00E25584">
        <w:rPr>
          <w:noProof/>
        </w:rPr>
        <w:t>IFRS</w:t>
      </w:r>
      <w:r w:rsidR="00FB6065">
        <w:t xml:space="preserve"> will also have </w:t>
      </w:r>
      <w:r w:rsidR="00FB6065" w:rsidRPr="00E25584">
        <w:rPr>
          <w:noProof/>
        </w:rPr>
        <w:t>significant</w:t>
      </w:r>
      <w:r w:rsidR="00FB6065">
        <w:t xml:space="preserve"> knowledge of the global market knowledge.</w:t>
      </w:r>
    </w:p>
    <w:p w:rsidR="00BA5484" w:rsidRDefault="00BA5484" w:rsidP="00CE3563">
      <w:pPr>
        <w:numPr>
          <w:ilvl w:val="0"/>
          <w:numId w:val="5"/>
        </w:numPr>
        <w:jc w:val="both"/>
        <w:rPr>
          <w:b/>
        </w:rPr>
      </w:pPr>
      <w:r w:rsidRPr="00BA5484">
        <w:rPr>
          <w:b/>
        </w:rPr>
        <w:t xml:space="preserve">What are the </w:t>
      </w:r>
      <w:r w:rsidRPr="00E25584">
        <w:rPr>
          <w:b/>
          <w:noProof/>
        </w:rPr>
        <w:t>princip</w:t>
      </w:r>
      <w:r w:rsidR="00E25584">
        <w:rPr>
          <w:b/>
          <w:noProof/>
        </w:rPr>
        <w:t>al</w:t>
      </w:r>
      <w:r w:rsidRPr="00BA5484">
        <w:rPr>
          <w:b/>
        </w:rPr>
        <w:t xml:space="preserve"> differences between IFRS and the US GAAP?</w:t>
      </w:r>
    </w:p>
    <w:p w:rsidR="00BA5484" w:rsidRDefault="001768BC" w:rsidP="00615F6C">
      <w:pPr>
        <w:ind w:left="360" w:firstLine="0"/>
        <w:jc w:val="both"/>
      </w:pPr>
      <w:r>
        <w:t xml:space="preserve">The </w:t>
      </w:r>
      <w:r w:rsidRPr="00E25584">
        <w:rPr>
          <w:noProof/>
        </w:rPr>
        <w:t>prin</w:t>
      </w:r>
      <w:r w:rsidR="00ED2E42" w:rsidRPr="00E25584">
        <w:rPr>
          <w:noProof/>
        </w:rPr>
        <w:t>cip</w:t>
      </w:r>
      <w:r w:rsidR="00E25584">
        <w:rPr>
          <w:noProof/>
        </w:rPr>
        <w:t>al</w:t>
      </w:r>
      <w:r w:rsidR="00ED2E42">
        <w:t xml:space="preserve"> difference between the IFRS and the US GAAP are as follow</w:t>
      </w:r>
    </w:p>
    <w:p w:rsidR="00ED2E42" w:rsidRDefault="00ED2E42" w:rsidP="00615F6C">
      <w:pPr>
        <w:ind w:left="360" w:firstLine="0"/>
        <w:jc w:val="both"/>
        <w:rPr>
          <w:color w:val="000000"/>
          <w:shd w:val="clear" w:color="auto" w:fill="FFFFFF"/>
        </w:rPr>
      </w:pPr>
      <w:r w:rsidRPr="00ED2E42">
        <w:rPr>
          <w:i/>
        </w:rPr>
        <w:t>Inventory</w:t>
      </w:r>
      <w:r>
        <w:rPr>
          <w:i/>
        </w:rPr>
        <w:t xml:space="preserve">: </w:t>
      </w:r>
      <w:r w:rsidRPr="00ED2E42">
        <w:rPr>
          <w:color w:val="000000"/>
          <w:shd w:val="clear" w:color="auto" w:fill="FFFFFF"/>
        </w:rPr>
        <w:t xml:space="preserve">As the </w:t>
      </w:r>
      <w:r w:rsidRPr="00ED2E42">
        <w:rPr>
          <w:color w:val="000000"/>
          <w:shd w:val="clear" w:color="auto" w:fill="FFFFFF"/>
        </w:rPr>
        <w:t xml:space="preserve">U.S. GAAP </w:t>
      </w:r>
      <w:r w:rsidRPr="00ED2E42">
        <w:rPr>
          <w:color w:val="000000"/>
          <w:shd w:val="clear" w:color="auto" w:fill="FFFFFF"/>
        </w:rPr>
        <w:t xml:space="preserve">allows </w:t>
      </w:r>
      <w:r w:rsidRPr="00ED2E42">
        <w:rPr>
          <w:color w:val="000000"/>
          <w:shd w:val="clear" w:color="auto" w:fill="FFFFFF"/>
        </w:rPr>
        <w:t>the us</w:t>
      </w:r>
      <w:r w:rsidRPr="00ED2E42">
        <w:rPr>
          <w:color w:val="000000"/>
          <w:shd w:val="clear" w:color="auto" w:fill="FFFFFF"/>
        </w:rPr>
        <w:t>age</w:t>
      </w:r>
      <w:r w:rsidRPr="00ED2E42">
        <w:rPr>
          <w:color w:val="000000"/>
          <w:shd w:val="clear" w:color="auto" w:fill="FFFFFF"/>
        </w:rPr>
        <w:t xml:space="preserve"> of LIFO invento</w:t>
      </w:r>
      <w:r w:rsidRPr="00ED2E42">
        <w:rPr>
          <w:color w:val="000000"/>
          <w:shd w:val="clear" w:color="auto" w:fill="FFFFFF"/>
        </w:rPr>
        <w:t xml:space="preserve">ries for the </w:t>
      </w:r>
      <w:r w:rsidRPr="00ED2E42">
        <w:rPr>
          <w:color w:val="000000"/>
          <w:shd w:val="clear" w:color="auto" w:fill="FFFFFF"/>
        </w:rPr>
        <w:t xml:space="preserve">cost flow assumption, IFRS </w:t>
      </w:r>
      <w:r w:rsidR="00E25584">
        <w:rPr>
          <w:color w:val="000000"/>
          <w:shd w:val="clear" w:color="auto" w:fill="FFFFFF"/>
        </w:rPr>
        <w:t>e</w:t>
      </w:r>
      <w:r w:rsidRPr="00E25584">
        <w:rPr>
          <w:noProof/>
          <w:color w:val="000000"/>
          <w:shd w:val="clear" w:color="auto" w:fill="FFFFFF"/>
        </w:rPr>
        <w:t>specially</w:t>
      </w:r>
      <w:r w:rsidRPr="00ED2E42">
        <w:rPr>
          <w:color w:val="000000"/>
          <w:shd w:val="clear" w:color="auto" w:fill="FFFFFF"/>
        </w:rPr>
        <w:t xml:space="preserve"> do not allow the </w:t>
      </w:r>
      <w:r w:rsidRPr="00ED2E42">
        <w:rPr>
          <w:color w:val="000000"/>
          <w:shd w:val="clear" w:color="auto" w:fill="FFFFFF"/>
        </w:rPr>
        <w:t xml:space="preserve">use of LIFO. </w:t>
      </w:r>
      <w:r w:rsidRPr="00ED2E42">
        <w:rPr>
          <w:color w:val="000000"/>
          <w:shd w:val="clear" w:color="auto" w:fill="FFFFFF"/>
        </w:rPr>
        <w:t>Also</w:t>
      </w:r>
      <w:r w:rsidRPr="00ED2E42">
        <w:rPr>
          <w:color w:val="000000"/>
          <w:shd w:val="clear" w:color="auto" w:fill="FFFFFF"/>
        </w:rPr>
        <w:t xml:space="preserve">, the </w:t>
      </w:r>
      <w:r w:rsidRPr="00ED2E42">
        <w:rPr>
          <w:color w:val="000000"/>
          <w:shd w:val="clear" w:color="auto" w:fill="FFFFFF"/>
        </w:rPr>
        <w:t xml:space="preserve">minimum </w:t>
      </w:r>
      <w:r w:rsidRPr="00ED2E42">
        <w:rPr>
          <w:color w:val="000000"/>
          <w:shd w:val="clear" w:color="auto" w:fill="FFFFFF"/>
        </w:rPr>
        <w:t>of cost or</w:t>
      </w:r>
      <w:r w:rsidRPr="00ED2E42">
        <w:rPr>
          <w:color w:val="000000"/>
          <w:shd w:val="clear" w:color="auto" w:fill="FFFFFF"/>
        </w:rPr>
        <w:t xml:space="preserve"> the rules of the</w:t>
      </w:r>
      <w:r w:rsidRPr="00ED2E42">
        <w:rPr>
          <w:color w:val="000000"/>
          <w:shd w:val="clear" w:color="auto" w:fill="FFFFFF"/>
        </w:rPr>
        <w:t xml:space="preserve"> market (LOCM) </w:t>
      </w:r>
      <w:r w:rsidR="00E25584">
        <w:rPr>
          <w:noProof/>
          <w:color w:val="000000"/>
          <w:shd w:val="clear" w:color="auto" w:fill="FFFFFF"/>
        </w:rPr>
        <w:t>is</w:t>
      </w:r>
      <w:r w:rsidRPr="00ED2E42">
        <w:rPr>
          <w:color w:val="000000"/>
          <w:shd w:val="clear" w:color="auto" w:fill="FFFFFF"/>
        </w:rPr>
        <w:t xml:space="preserve"> </w:t>
      </w:r>
      <w:r w:rsidRPr="00ED2E42">
        <w:rPr>
          <w:color w:val="000000"/>
          <w:shd w:val="clear" w:color="auto" w:fill="FFFFFF"/>
        </w:rPr>
        <w:t xml:space="preserve">applied </w:t>
      </w:r>
      <w:r w:rsidRPr="00ED2E42">
        <w:rPr>
          <w:color w:val="000000"/>
          <w:shd w:val="clear" w:color="auto" w:fill="FFFFFF"/>
        </w:rPr>
        <w:t xml:space="preserve">uncommonly in </w:t>
      </w:r>
      <w:r w:rsidRPr="00ED2E42">
        <w:rPr>
          <w:color w:val="000000"/>
          <w:shd w:val="clear" w:color="auto" w:fill="FFFFFF"/>
        </w:rPr>
        <w:t xml:space="preserve">IFRS. </w:t>
      </w:r>
      <w:r w:rsidRPr="00ED2E42">
        <w:rPr>
          <w:color w:val="000000"/>
          <w:shd w:val="clear" w:color="auto" w:fill="FFFFFF"/>
        </w:rPr>
        <w:t>Whereas</w:t>
      </w:r>
      <w:r w:rsidRPr="00ED2E42">
        <w:rPr>
          <w:color w:val="000000"/>
          <w:shd w:val="clear" w:color="auto" w:fill="FFFFFF"/>
        </w:rPr>
        <w:t xml:space="preserve"> </w:t>
      </w:r>
      <w:r w:rsidRPr="00ED2E42">
        <w:rPr>
          <w:color w:val="000000"/>
          <w:shd w:val="clear" w:color="auto" w:fill="FFFFFF"/>
        </w:rPr>
        <w:t xml:space="preserve">in </w:t>
      </w:r>
      <w:r w:rsidRPr="00ED2E42">
        <w:rPr>
          <w:color w:val="000000"/>
          <w:shd w:val="clear" w:color="auto" w:fill="FFFFFF"/>
        </w:rPr>
        <w:t xml:space="preserve">U.S. GAAP, </w:t>
      </w:r>
      <w:r w:rsidRPr="00ED2E42">
        <w:rPr>
          <w:color w:val="000000"/>
          <w:shd w:val="clear" w:color="auto" w:fill="FFFFFF"/>
        </w:rPr>
        <w:t xml:space="preserve">changing </w:t>
      </w:r>
      <w:r w:rsidRPr="00ED2E42">
        <w:rPr>
          <w:color w:val="000000"/>
          <w:shd w:val="clear" w:color="auto" w:fill="FFFFFF"/>
        </w:rPr>
        <w:t xml:space="preserve">cost </w:t>
      </w:r>
      <w:r w:rsidRPr="00ED2E42">
        <w:rPr>
          <w:color w:val="000000"/>
          <w:shd w:val="clear" w:color="auto" w:fill="FFFFFF"/>
        </w:rPr>
        <w:t xml:space="preserve">normally makes the value in the </w:t>
      </w:r>
      <w:r w:rsidRPr="00ED2E42">
        <w:rPr>
          <w:color w:val="000000"/>
          <w:shd w:val="clear" w:color="auto" w:fill="FFFFFF"/>
        </w:rPr>
        <w:t>market</w:t>
      </w:r>
      <w:r w:rsidRPr="00ED2E42">
        <w:rPr>
          <w:color w:val="000000"/>
          <w:shd w:val="clear" w:color="auto" w:fill="FFFFFF"/>
        </w:rPr>
        <w:t>,</w:t>
      </w:r>
      <w:r w:rsidRPr="00ED2E42">
        <w:rPr>
          <w:color w:val="000000"/>
          <w:shd w:val="clear" w:color="auto" w:fill="FFFFFF"/>
        </w:rPr>
        <w:t xml:space="preserve"> </w:t>
      </w:r>
      <w:r w:rsidRPr="00ED2E42">
        <w:rPr>
          <w:color w:val="000000"/>
          <w:shd w:val="clear" w:color="auto" w:fill="FFFFFF"/>
        </w:rPr>
        <w:t xml:space="preserve">In </w:t>
      </w:r>
      <w:r w:rsidRPr="00ED2E42">
        <w:rPr>
          <w:color w:val="000000"/>
          <w:shd w:val="clear" w:color="auto" w:fill="FFFFFF"/>
        </w:rPr>
        <w:t xml:space="preserve">IFRS, </w:t>
      </w:r>
      <w:r w:rsidRPr="00ED2E42">
        <w:rPr>
          <w:color w:val="000000"/>
          <w:shd w:val="clear" w:color="auto" w:fill="FFFFFF"/>
        </w:rPr>
        <w:t xml:space="preserve">the value of the </w:t>
      </w:r>
      <w:r w:rsidRPr="00ED2E42">
        <w:rPr>
          <w:color w:val="000000"/>
          <w:shd w:val="clear" w:color="auto" w:fill="FFFFFF"/>
        </w:rPr>
        <w:t xml:space="preserve">market is </w:t>
      </w:r>
      <w:r w:rsidRPr="00ED2E42">
        <w:rPr>
          <w:color w:val="000000"/>
          <w:shd w:val="clear" w:color="auto" w:fill="FFFFFF"/>
        </w:rPr>
        <w:t xml:space="preserve">decided </w:t>
      </w:r>
      <w:r w:rsidRPr="00ED2E42">
        <w:rPr>
          <w:color w:val="000000"/>
          <w:shd w:val="clear" w:color="auto" w:fill="FFFFFF"/>
        </w:rPr>
        <w:t xml:space="preserve">as inventories' </w:t>
      </w:r>
      <w:r w:rsidRPr="00ED2E42">
        <w:rPr>
          <w:color w:val="000000"/>
          <w:shd w:val="clear" w:color="auto" w:fill="FFFFFF"/>
        </w:rPr>
        <w:t>total realizable</w:t>
      </w:r>
      <w:r w:rsidRPr="00ED2E42">
        <w:rPr>
          <w:color w:val="000000"/>
          <w:shd w:val="clear" w:color="auto" w:fill="FFFFFF"/>
        </w:rPr>
        <w:t xml:space="preserve"> value. </w:t>
      </w:r>
      <w:r w:rsidRPr="00ED2E42">
        <w:rPr>
          <w:color w:val="000000"/>
          <w:shd w:val="clear" w:color="auto" w:fill="FFFFFF"/>
        </w:rPr>
        <w:t>In short, i</w:t>
      </w:r>
      <w:r w:rsidRPr="00ED2E42">
        <w:rPr>
          <w:color w:val="000000"/>
          <w:shd w:val="clear" w:color="auto" w:fill="FFFFFF"/>
        </w:rPr>
        <w:t xml:space="preserve">nventory </w:t>
      </w:r>
      <w:r w:rsidRPr="00ED2E42">
        <w:rPr>
          <w:color w:val="000000"/>
          <w:shd w:val="clear" w:color="auto" w:fill="FFFFFF"/>
        </w:rPr>
        <w:t>scripts</w:t>
      </w:r>
      <w:r w:rsidRPr="00ED2E42">
        <w:rPr>
          <w:color w:val="000000"/>
          <w:shd w:val="clear" w:color="auto" w:fill="FFFFFF"/>
        </w:rPr>
        <w:t xml:space="preserve">-downs </w:t>
      </w:r>
      <w:r w:rsidRPr="00ED2E42">
        <w:rPr>
          <w:color w:val="000000"/>
          <w:shd w:val="clear" w:color="auto" w:fill="FFFFFF"/>
        </w:rPr>
        <w:t xml:space="preserve">in the light of the </w:t>
      </w:r>
      <w:r w:rsidRPr="00ED2E42">
        <w:rPr>
          <w:color w:val="000000"/>
          <w:shd w:val="clear" w:color="auto" w:fill="FFFFFF"/>
        </w:rPr>
        <w:t>LOCM rule</w:t>
      </w:r>
      <w:r w:rsidRPr="00ED2E42">
        <w:rPr>
          <w:color w:val="000000"/>
          <w:shd w:val="clear" w:color="auto" w:fill="FFFFFF"/>
        </w:rPr>
        <w:t>, which</w:t>
      </w:r>
      <w:r w:rsidRPr="00ED2E42">
        <w:rPr>
          <w:color w:val="000000"/>
          <w:shd w:val="clear" w:color="auto" w:fill="FFFFFF"/>
        </w:rPr>
        <w:t xml:space="preserve"> can be </w:t>
      </w:r>
      <w:r w:rsidRPr="00ED2E42">
        <w:rPr>
          <w:color w:val="000000"/>
          <w:shd w:val="clear" w:color="auto" w:fill="FFFFFF"/>
        </w:rPr>
        <w:t>traced back</w:t>
      </w:r>
      <w:r w:rsidRPr="00ED2E42">
        <w:rPr>
          <w:color w:val="000000"/>
          <w:shd w:val="clear" w:color="auto" w:fill="FFFFFF"/>
        </w:rPr>
        <w:t xml:space="preserve"> under IFRS; </w:t>
      </w:r>
      <w:r w:rsidRPr="00ED2E42">
        <w:rPr>
          <w:color w:val="000000"/>
          <w:shd w:val="clear" w:color="auto" w:fill="FFFFFF"/>
        </w:rPr>
        <w:t xml:space="preserve">while it is not allowed in the </w:t>
      </w:r>
      <w:r w:rsidRPr="00ED2E42">
        <w:rPr>
          <w:color w:val="000000"/>
          <w:shd w:val="clear" w:color="auto" w:fill="FFFFFF"/>
        </w:rPr>
        <w:t>U.S. GAAP.</w:t>
      </w:r>
    </w:p>
    <w:p w:rsidR="00CD59AC" w:rsidRDefault="00E15138" w:rsidP="00615F6C">
      <w:pPr>
        <w:ind w:left="360" w:firstLine="0"/>
        <w:jc w:val="both"/>
        <w:rPr>
          <w:color w:val="000000"/>
          <w:shd w:val="clear" w:color="auto" w:fill="FFFFFF"/>
        </w:rPr>
      </w:pPr>
      <w:r w:rsidRPr="00E15138">
        <w:rPr>
          <w:i/>
          <w:color w:val="000000"/>
          <w:shd w:val="clear" w:color="auto" w:fill="FFFFFF"/>
        </w:rPr>
        <w:t>Items Classification</w:t>
      </w:r>
      <w:r w:rsidRPr="00E15138">
        <w:rPr>
          <w:color w:val="000000"/>
          <w:shd w:val="clear" w:color="auto" w:fill="FFFFFF"/>
        </w:rPr>
        <w:t xml:space="preserve">: </w:t>
      </w:r>
      <w:r w:rsidRPr="00E15138">
        <w:rPr>
          <w:color w:val="000000"/>
          <w:shd w:val="clear" w:color="auto" w:fill="FFFFFF"/>
        </w:rPr>
        <w:t>The classification</w:t>
      </w:r>
      <w:r w:rsidRPr="00E15138">
        <w:rPr>
          <w:color w:val="000000"/>
          <w:shd w:val="clear" w:color="auto" w:fill="FFFFFF"/>
        </w:rPr>
        <w:t xml:space="preserve"> and arrangement</w:t>
      </w:r>
      <w:r w:rsidRPr="00E15138">
        <w:rPr>
          <w:color w:val="000000"/>
          <w:shd w:val="clear" w:color="auto" w:fill="FFFFFF"/>
        </w:rPr>
        <w:t xml:space="preserve"> of </w:t>
      </w:r>
      <w:r w:rsidRPr="00E15138">
        <w:rPr>
          <w:color w:val="000000"/>
          <w:shd w:val="clear" w:color="auto" w:fill="FFFFFF"/>
        </w:rPr>
        <w:t xml:space="preserve">the </w:t>
      </w:r>
      <w:r w:rsidRPr="00E15138">
        <w:rPr>
          <w:color w:val="000000"/>
          <w:shd w:val="clear" w:color="auto" w:fill="FFFFFF"/>
        </w:rPr>
        <w:t>extraordinary items,</w:t>
      </w:r>
      <w:r w:rsidRPr="00E15138">
        <w:rPr>
          <w:color w:val="000000"/>
          <w:shd w:val="clear" w:color="auto" w:fill="FFFFFF"/>
        </w:rPr>
        <w:t xml:space="preserve"> is not present under IFRS. Whereas </w:t>
      </w:r>
      <w:r w:rsidR="00DF13F8" w:rsidRPr="00E15138">
        <w:rPr>
          <w:color w:val="000000"/>
          <w:shd w:val="clear" w:color="auto" w:fill="FFFFFF"/>
        </w:rPr>
        <w:t>considering</w:t>
      </w:r>
      <w:r w:rsidRPr="00E15138">
        <w:rPr>
          <w:color w:val="000000"/>
          <w:shd w:val="clear" w:color="auto" w:fill="FFFFFF"/>
        </w:rPr>
        <w:t xml:space="preserve"> the US. GAAP, it is a valid and retraceable statement of the income</w:t>
      </w:r>
      <w:r w:rsidR="00CE3563">
        <w:rPr>
          <w:color w:val="000000"/>
          <w:shd w:val="clear" w:color="auto" w:fill="FFFFFF"/>
        </w:rPr>
        <w:fldChar w:fldCharType="begin"/>
      </w:r>
      <w:r w:rsidR="00CE3563">
        <w:rPr>
          <w:color w:val="000000"/>
          <w:shd w:val="clear" w:color="auto" w:fill="FFFFFF"/>
        </w:rPr>
        <w:instrText xml:space="preserve"> ADDIN ZOTERO_ITEM CSL_CITATION {"citationID":"O38eJGpb","properties":{"formattedCitation":"(Pounder 2010)","plainCitation":"(Pounder 2010)","noteIndex":0},"citationItems":[{"id":5,"uris":["http://zotero.org/users/local/pCT5fGyt/items/A43Y7TE4"],"uri":["http://zotero.org/users/local/pCT5fGyt/items/A43Y7TE4"],"itemData":{"id":5,"type":"article-journal","title":"A common framework for accounting standards","container-title":"Strategic Finance","page":"20–23","volume":"92","issue":"5","source":"Google Scholar","author":[{"family":"Pounder","given":"Bruce"}],"issued":{"date-parts":[["2010"]]}}}],"schema":"https://github.com/citation-style-language/schema/raw/master/csl-citation.json"} </w:instrText>
      </w:r>
      <w:r w:rsidR="00CE3563">
        <w:rPr>
          <w:color w:val="000000"/>
          <w:shd w:val="clear" w:color="auto" w:fill="FFFFFF"/>
        </w:rPr>
        <w:fldChar w:fldCharType="separate"/>
      </w:r>
      <w:r w:rsidR="00CE3563" w:rsidRPr="00CE3563">
        <w:t>(Pounder 2010)</w:t>
      </w:r>
      <w:r w:rsidR="00CE3563">
        <w:rPr>
          <w:color w:val="000000"/>
          <w:shd w:val="clear" w:color="auto" w:fill="FFFFFF"/>
        </w:rPr>
        <w:fldChar w:fldCharType="end"/>
      </w:r>
      <w:r w:rsidRPr="00E15138">
        <w:rPr>
          <w:color w:val="000000"/>
          <w:shd w:val="clear" w:color="auto" w:fill="FFFFFF"/>
        </w:rPr>
        <w:t>.</w:t>
      </w:r>
    </w:p>
    <w:p w:rsidR="00CD59AC" w:rsidRDefault="00CD59AC" w:rsidP="00615F6C">
      <w:pPr>
        <w:ind w:left="360" w:firstLine="0"/>
        <w:jc w:val="both"/>
        <w:rPr>
          <w:color w:val="000000"/>
          <w:shd w:val="clear" w:color="auto" w:fill="FFFFFF"/>
        </w:rPr>
      </w:pPr>
      <w:r w:rsidRPr="00FF2E6B">
        <w:rPr>
          <w:i/>
          <w:color w:val="000000"/>
          <w:shd w:val="clear" w:color="auto" w:fill="FFFFFF"/>
        </w:rPr>
        <w:t>Property and equipment’s:</w:t>
      </w:r>
      <w:r w:rsidRPr="00FF2E6B">
        <w:rPr>
          <w:color w:val="000000"/>
          <w:shd w:val="clear" w:color="auto" w:fill="FFFFFF"/>
        </w:rPr>
        <w:t xml:space="preserve"> IFRS </w:t>
      </w:r>
      <w:r w:rsidR="00FF2E6B" w:rsidRPr="00FF2E6B">
        <w:rPr>
          <w:color w:val="000000"/>
          <w:shd w:val="clear" w:color="auto" w:fill="FFFFFF"/>
        </w:rPr>
        <w:t>have</w:t>
      </w:r>
      <w:r w:rsidRPr="00FF2E6B">
        <w:rPr>
          <w:color w:val="000000"/>
          <w:shd w:val="clear" w:color="auto" w:fill="FFFFFF"/>
        </w:rPr>
        <w:t xml:space="preserve"> a choice in </w:t>
      </w:r>
      <w:r w:rsidR="00FF2E6B" w:rsidRPr="00FF2E6B">
        <w:rPr>
          <w:color w:val="000000"/>
          <w:shd w:val="clear" w:color="auto" w:fill="FFFFFF"/>
        </w:rPr>
        <w:t>t</w:t>
      </w:r>
      <w:r w:rsidRPr="00FF2E6B">
        <w:rPr>
          <w:color w:val="000000"/>
          <w:shd w:val="clear" w:color="auto" w:fill="FFFFFF"/>
        </w:rPr>
        <w:t xml:space="preserve">he validation of the </w:t>
      </w:r>
      <w:r w:rsidR="00FF2E6B" w:rsidRPr="00FF2E6B">
        <w:rPr>
          <w:color w:val="000000"/>
          <w:shd w:val="clear" w:color="auto" w:fill="FFFFFF"/>
        </w:rPr>
        <w:t>long-preserved</w:t>
      </w:r>
      <w:r w:rsidRPr="00FF2E6B">
        <w:rPr>
          <w:color w:val="000000"/>
          <w:shd w:val="clear" w:color="auto" w:fill="FFFFFF"/>
        </w:rPr>
        <w:t xml:space="preserve"> assets</w:t>
      </w:r>
      <w:r w:rsidR="00FF2E6B" w:rsidRPr="00FF2E6B">
        <w:rPr>
          <w:color w:val="000000"/>
          <w:shd w:val="clear" w:color="auto" w:fill="FFFFFF"/>
        </w:rPr>
        <w:t xml:space="preserve">. In this also, the companies can set the market value at any place in time and according to the market value. The other choice for it is the cost which is normally less while </w:t>
      </w:r>
      <w:r w:rsidR="00E25584">
        <w:rPr>
          <w:color w:val="000000"/>
          <w:shd w:val="clear" w:color="auto" w:fill="FFFFFF"/>
        </w:rPr>
        <w:t xml:space="preserve">the </w:t>
      </w:r>
      <w:r w:rsidR="00FF2E6B" w:rsidRPr="00E25584">
        <w:rPr>
          <w:noProof/>
          <w:color w:val="000000"/>
          <w:shd w:val="clear" w:color="auto" w:fill="FFFFFF"/>
        </w:rPr>
        <w:lastRenderedPageBreak/>
        <w:t>accumulation</w:t>
      </w:r>
      <w:r w:rsidR="00FF2E6B" w:rsidRPr="00FF2E6B">
        <w:rPr>
          <w:color w:val="000000"/>
          <w:shd w:val="clear" w:color="auto" w:fill="FFFFFF"/>
        </w:rPr>
        <w:t xml:space="preserve"> of the depreciation. Whereas in the US. GAAP, currently it is not permitted to reconsider the value of the market. </w:t>
      </w:r>
    </w:p>
    <w:p w:rsidR="00CE3563" w:rsidRDefault="00CE3563" w:rsidP="00615F6C">
      <w:pPr>
        <w:ind w:left="360" w:firstLine="0"/>
        <w:jc w:val="both"/>
        <w:rPr>
          <w:color w:val="000000"/>
          <w:shd w:val="clear" w:color="auto" w:fill="FFFFFF"/>
        </w:rPr>
      </w:pPr>
    </w:p>
    <w:p w:rsidR="00CE3563" w:rsidRDefault="00CE3563" w:rsidP="00615F6C">
      <w:pPr>
        <w:ind w:left="360" w:firstLine="0"/>
        <w:jc w:val="both"/>
        <w:rPr>
          <w:color w:val="000000"/>
          <w:shd w:val="clear" w:color="auto" w:fill="FFFFFF"/>
        </w:rPr>
      </w:pPr>
    </w:p>
    <w:p w:rsidR="00CE3563" w:rsidRDefault="00CE3563" w:rsidP="00615F6C">
      <w:pPr>
        <w:ind w:left="360" w:firstLine="0"/>
        <w:jc w:val="both"/>
        <w:rPr>
          <w:color w:val="000000"/>
          <w:shd w:val="clear" w:color="auto" w:fill="FFFFFF"/>
        </w:rPr>
      </w:pPr>
    </w:p>
    <w:p w:rsidR="00CE3563" w:rsidRDefault="00CE3563" w:rsidP="00615F6C">
      <w:pPr>
        <w:ind w:left="360" w:firstLine="0"/>
        <w:jc w:val="both"/>
        <w:rPr>
          <w:color w:val="000000"/>
          <w:shd w:val="clear" w:color="auto" w:fill="FFFFFF"/>
        </w:rPr>
      </w:pPr>
    </w:p>
    <w:p w:rsidR="00CE3563" w:rsidRDefault="00CE3563" w:rsidP="00615F6C">
      <w:pPr>
        <w:ind w:left="360" w:firstLine="0"/>
        <w:jc w:val="both"/>
        <w:rPr>
          <w:color w:val="000000"/>
          <w:shd w:val="clear" w:color="auto" w:fill="FFFFFF"/>
        </w:rPr>
      </w:pPr>
    </w:p>
    <w:p w:rsidR="00CE3563" w:rsidRDefault="00CE3563" w:rsidP="00615F6C">
      <w:pPr>
        <w:ind w:left="360" w:firstLine="0"/>
        <w:jc w:val="both"/>
        <w:rPr>
          <w:color w:val="000000"/>
          <w:shd w:val="clear" w:color="auto" w:fill="FFFFFF"/>
        </w:rPr>
      </w:pPr>
    </w:p>
    <w:p w:rsidR="00CE3563" w:rsidRDefault="00CE3563" w:rsidP="00615F6C">
      <w:pPr>
        <w:ind w:left="360" w:firstLine="0"/>
        <w:jc w:val="both"/>
        <w:rPr>
          <w:color w:val="000000"/>
          <w:shd w:val="clear" w:color="auto" w:fill="FFFFFF"/>
        </w:rPr>
      </w:pPr>
    </w:p>
    <w:p w:rsidR="00CE3563" w:rsidRDefault="00CE3563" w:rsidP="00615F6C">
      <w:pPr>
        <w:ind w:left="360" w:firstLine="0"/>
        <w:jc w:val="both"/>
        <w:rPr>
          <w:color w:val="000000"/>
          <w:shd w:val="clear" w:color="auto" w:fill="FFFFFF"/>
        </w:rPr>
      </w:pPr>
    </w:p>
    <w:p w:rsidR="00CE3563" w:rsidRDefault="00CE3563" w:rsidP="00615F6C">
      <w:pPr>
        <w:ind w:left="360" w:firstLine="0"/>
        <w:jc w:val="both"/>
        <w:rPr>
          <w:color w:val="000000"/>
          <w:shd w:val="clear" w:color="auto" w:fill="FFFFFF"/>
        </w:rPr>
      </w:pPr>
    </w:p>
    <w:p w:rsidR="00CE3563" w:rsidRDefault="00CE3563" w:rsidP="00615F6C">
      <w:pPr>
        <w:ind w:left="360" w:firstLine="0"/>
        <w:jc w:val="both"/>
        <w:rPr>
          <w:color w:val="000000"/>
          <w:shd w:val="clear" w:color="auto" w:fill="FFFFFF"/>
        </w:rPr>
      </w:pPr>
    </w:p>
    <w:p w:rsidR="00CE3563" w:rsidRDefault="00CE3563" w:rsidP="00615F6C">
      <w:pPr>
        <w:ind w:left="360" w:firstLine="0"/>
        <w:jc w:val="both"/>
        <w:rPr>
          <w:color w:val="000000"/>
          <w:shd w:val="clear" w:color="auto" w:fill="FFFFFF"/>
        </w:rPr>
      </w:pPr>
    </w:p>
    <w:p w:rsidR="00CE3563" w:rsidRDefault="00CE3563" w:rsidP="00615F6C">
      <w:pPr>
        <w:ind w:left="360" w:firstLine="0"/>
        <w:jc w:val="both"/>
        <w:rPr>
          <w:color w:val="000000"/>
          <w:shd w:val="clear" w:color="auto" w:fill="FFFFFF"/>
        </w:rPr>
      </w:pPr>
    </w:p>
    <w:p w:rsidR="00CE3563" w:rsidRDefault="00CE3563" w:rsidP="00615F6C">
      <w:pPr>
        <w:ind w:left="360" w:firstLine="0"/>
        <w:jc w:val="both"/>
        <w:rPr>
          <w:color w:val="000000"/>
          <w:shd w:val="clear" w:color="auto" w:fill="FFFFFF"/>
        </w:rPr>
      </w:pPr>
    </w:p>
    <w:p w:rsidR="00CE3563" w:rsidRDefault="00CE3563" w:rsidP="00615F6C">
      <w:pPr>
        <w:ind w:left="360" w:firstLine="0"/>
        <w:jc w:val="both"/>
        <w:rPr>
          <w:color w:val="000000"/>
          <w:shd w:val="clear" w:color="auto" w:fill="FFFFFF"/>
        </w:rPr>
      </w:pPr>
    </w:p>
    <w:p w:rsidR="00CE3563" w:rsidRDefault="00CE3563" w:rsidP="00615F6C">
      <w:pPr>
        <w:ind w:left="360" w:firstLine="0"/>
        <w:jc w:val="both"/>
        <w:rPr>
          <w:color w:val="000000"/>
          <w:shd w:val="clear" w:color="auto" w:fill="FFFFFF"/>
        </w:rPr>
      </w:pPr>
    </w:p>
    <w:p w:rsidR="00CE3563" w:rsidRDefault="00CE3563" w:rsidP="00615F6C">
      <w:pPr>
        <w:ind w:left="360" w:firstLine="0"/>
        <w:jc w:val="both"/>
        <w:rPr>
          <w:color w:val="000000"/>
          <w:shd w:val="clear" w:color="auto" w:fill="FFFFFF"/>
        </w:rPr>
      </w:pPr>
    </w:p>
    <w:p w:rsidR="00CE3563" w:rsidRDefault="00CE3563" w:rsidP="00615F6C">
      <w:pPr>
        <w:ind w:left="360" w:firstLine="0"/>
        <w:jc w:val="both"/>
        <w:rPr>
          <w:color w:val="000000"/>
          <w:shd w:val="clear" w:color="auto" w:fill="FFFFFF"/>
        </w:rPr>
      </w:pPr>
    </w:p>
    <w:p w:rsidR="00CE3563" w:rsidRDefault="00CE3563" w:rsidP="00615F6C">
      <w:pPr>
        <w:ind w:left="360" w:firstLine="0"/>
        <w:jc w:val="both"/>
        <w:rPr>
          <w:color w:val="000000"/>
          <w:shd w:val="clear" w:color="auto" w:fill="FFFFFF"/>
        </w:rPr>
      </w:pPr>
    </w:p>
    <w:p w:rsidR="00CE3563" w:rsidRDefault="00CE3563" w:rsidP="00615F6C">
      <w:pPr>
        <w:ind w:left="360" w:firstLine="0"/>
        <w:jc w:val="both"/>
        <w:rPr>
          <w:color w:val="000000"/>
          <w:shd w:val="clear" w:color="auto" w:fill="FFFFFF"/>
        </w:rPr>
      </w:pPr>
    </w:p>
    <w:p w:rsidR="00CE3563" w:rsidRDefault="00CE3563" w:rsidP="00615F6C">
      <w:pPr>
        <w:ind w:left="360" w:firstLine="0"/>
        <w:jc w:val="both"/>
        <w:rPr>
          <w:color w:val="000000"/>
          <w:shd w:val="clear" w:color="auto" w:fill="FFFFFF"/>
        </w:rPr>
      </w:pPr>
    </w:p>
    <w:p w:rsidR="00CE3563" w:rsidRDefault="00CE3563" w:rsidP="00615F6C">
      <w:pPr>
        <w:ind w:left="360" w:firstLine="0"/>
        <w:jc w:val="both"/>
        <w:rPr>
          <w:color w:val="000000"/>
          <w:shd w:val="clear" w:color="auto" w:fill="FFFFFF"/>
        </w:rPr>
      </w:pPr>
    </w:p>
    <w:p w:rsidR="00CE3563" w:rsidRPr="00FF2E6B" w:rsidRDefault="00CE3563" w:rsidP="00CE3563">
      <w:pPr>
        <w:pStyle w:val="Heading1"/>
        <w:rPr>
          <w:rFonts w:cs="Times New Roman"/>
          <w:szCs w:val="24"/>
          <w:shd w:val="clear" w:color="auto" w:fill="FFFFFF"/>
        </w:rPr>
      </w:pPr>
      <w:r>
        <w:rPr>
          <w:shd w:val="clear" w:color="auto" w:fill="FFFFFF"/>
        </w:rPr>
        <w:lastRenderedPageBreak/>
        <w:t>References</w:t>
      </w:r>
    </w:p>
    <w:p w:rsidR="00CD59AC" w:rsidRDefault="00CD59AC" w:rsidP="00ED2E42">
      <w:pPr>
        <w:ind w:left="720" w:firstLine="0"/>
        <w:jc w:val="both"/>
        <w:rPr>
          <w:rFonts w:ascii="Arial" w:hAnsi="Arial" w:cs="Arial"/>
          <w:color w:val="000000"/>
          <w:sz w:val="20"/>
          <w:szCs w:val="20"/>
          <w:shd w:val="clear" w:color="auto" w:fill="FFFFFF"/>
        </w:rPr>
      </w:pPr>
    </w:p>
    <w:p w:rsidR="00112996" w:rsidRPr="00112996" w:rsidRDefault="00112996" w:rsidP="00112996">
      <w:pPr>
        <w:pStyle w:val="Bibliography"/>
      </w:pPr>
      <w:r>
        <w:fldChar w:fldCharType="begin"/>
      </w:r>
      <w:r>
        <w:instrText xml:space="preserve"> ADDIN ZOTERO_BIBL {"uncited":[],"omitted":[],"custom":[]} CSL_BIBLIOGRAPHY </w:instrText>
      </w:r>
      <w:r>
        <w:fldChar w:fldCharType="separate"/>
      </w:r>
      <w:r w:rsidRPr="00112996">
        <w:t xml:space="preserve">Foundation, Financial Accounting Standards Board Financial Accounting. 2009. </w:t>
      </w:r>
      <w:r w:rsidRPr="00112996">
        <w:rPr>
          <w:iCs/>
        </w:rPr>
        <w:t>FASB Accounting Standards Codification</w:t>
      </w:r>
      <w:r w:rsidRPr="00112996">
        <w:t>. FASB.</w:t>
      </w:r>
    </w:p>
    <w:p w:rsidR="00112996" w:rsidRPr="00112996" w:rsidRDefault="00112996" w:rsidP="00112996">
      <w:pPr>
        <w:pStyle w:val="Bibliography"/>
      </w:pPr>
      <w:r w:rsidRPr="00112996">
        <w:t xml:space="preserve">Pounder, Bruce. 2010. “A Common Framework for Accounting Standards.” </w:t>
      </w:r>
      <w:r w:rsidRPr="00112996">
        <w:rPr>
          <w:iCs/>
        </w:rPr>
        <w:t>Strategic Finance</w:t>
      </w:r>
      <w:r w:rsidRPr="00112996">
        <w:t xml:space="preserve"> 92(5): 20–23.</w:t>
      </w:r>
    </w:p>
    <w:p w:rsidR="00E15138" w:rsidRPr="00E15138" w:rsidRDefault="00112996" w:rsidP="00ED2E42">
      <w:pPr>
        <w:ind w:left="720" w:firstLine="0"/>
        <w:jc w:val="both"/>
        <w:rPr>
          <w:i/>
        </w:rPr>
      </w:pPr>
      <w:r>
        <w:rPr>
          <w:i/>
        </w:rPr>
        <w:fldChar w:fldCharType="end"/>
      </w:r>
      <w:bookmarkStart w:id="0" w:name="_GoBack"/>
      <w:bookmarkEnd w:id="0"/>
    </w:p>
    <w:sectPr w:rsidR="00E15138" w:rsidRPr="00E15138">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3DB" w:rsidRDefault="00E013DB">
      <w:pPr>
        <w:spacing w:line="240" w:lineRule="auto"/>
      </w:pPr>
      <w:r>
        <w:separator/>
      </w:r>
    </w:p>
  </w:endnote>
  <w:endnote w:type="continuationSeparator" w:id="0">
    <w:p w:rsidR="00E013DB" w:rsidRDefault="00E01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3DB" w:rsidRDefault="00E013DB">
      <w:pPr>
        <w:spacing w:line="240" w:lineRule="auto"/>
      </w:pPr>
      <w:r>
        <w:separator/>
      </w:r>
    </w:p>
  </w:footnote>
  <w:footnote w:type="continuationSeparator" w:id="0">
    <w:p w:rsidR="00E013DB" w:rsidRDefault="00E013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8</w:t>
    </w:r>
    <w:r>
      <w:rPr>
        <w:rStyle w:val="PageNumber"/>
      </w:rPr>
      <w:fldChar w:fldCharType="end"/>
    </w:r>
  </w:p>
  <w:p w:rsidR="002A2A03" w:rsidRDefault="002A2A03">
    <w:pPr>
      <w:pStyle w:val="Header"/>
      <w:ind w:right="360" w:firstLine="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1</w:t>
    </w:r>
    <w:r>
      <w:rPr>
        <w:rStyle w:val="PageNumber"/>
      </w:rPr>
      <w:fldChar w:fldCharType="end"/>
    </w:r>
  </w:p>
  <w:p w:rsidR="002A2A03" w:rsidRDefault="002A2A03">
    <w:pPr>
      <w:ind w:right="360" w:firstLine="0"/>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50E8"/>
    <w:multiLevelType w:val="hybridMultilevel"/>
    <w:tmpl w:val="C5144B6C"/>
    <w:lvl w:ilvl="0" w:tplc="4BC2CA3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B7E552F"/>
    <w:multiLevelType w:val="hybridMultilevel"/>
    <w:tmpl w:val="E4228A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2CF0C8C"/>
    <w:multiLevelType w:val="hybridMultilevel"/>
    <w:tmpl w:val="F670E390"/>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3" w15:restartNumberingAfterBreak="0">
    <w:nsid w:val="48290E7B"/>
    <w:multiLevelType w:val="hybridMultilevel"/>
    <w:tmpl w:val="EFBEEB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227250B"/>
    <w:multiLevelType w:val="hybridMultilevel"/>
    <w:tmpl w:val="952E6E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0NTO0NDA3MjAyMTRW0lEKTi0uzszPAykwrgUAOMk+riwAAAA="/>
  </w:docVars>
  <w:rsids>
    <w:rsidRoot w:val="00CF29F0"/>
    <w:rsid w:val="0000793A"/>
    <w:rsid w:val="000B0A32"/>
    <w:rsid w:val="00112996"/>
    <w:rsid w:val="001768BC"/>
    <w:rsid w:val="001A0A79"/>
    <w:rsid w:val="002127D3"/>
    <w:rsid w:val="002607BD"/>
    <w:rsid w:val="002A2A03"/>
    <w:rsid w:val="00374CA1"/>
    <w:rsid w:val="00423506"/>
    <w:rsid w:val="004D7F18"/>
    <w:rsid w:val="00553ACF"/>
    <w:rsid w:val="005B3775"/>
    <w:rsid w:val="005F3455"/>
    <w:rsid w:val="00615F6C"/>
    <w:rsid w:val="00703880"/>
    <w:rsid w:val="00714E0C"/>
    <w:rsid w:val="00747900"/>
    <w:rsid w:val="007D383C"/>
    <w:rsid w:val="007F5FDB"/>
    <w:rsid w:val="008515D8"/>
    <w:rsid w:val="0092393F"/>
    <w:rsid w:val="009B0749"/>
    <w:rsid w:val="009F7AEC"/>
    <w:rsid w:val="00A52DCF"/>
    <w:rsid w:val="00A74981"/>
    <w:rsid w:val="00A94D1D"/>
    <w:rsid w:val="00B17996"/>
    <w:rsid w:val="00BA5484"/>
    <w:rsid w:val="00C26E0E"/>
    <w:rsid w:val="00C352EF"/>
    <w:rsid w:val="00C67138"/>
    <w:rsid w:val="00C86659"/>
    <w:rsid w:val="00CB6211"/>
    <w:rsid w:val="00CD59AC"/>
    <w:rsid w:val="00CE3563"/>
    <w:rsid w:val="00CF2883"/>
    <w:rsid w:val="00CF29F0"/>
    <w:rsid w:val="00CF558F"/>
    <w:rsid w:val="00DE6C2E"/>
    <w:rsid w:val="00DF13F8"/>
    <w:rsid w:val="00E013DB"/>
    <w:rsid w:val="00E15138"/>
    <w:rsid w:val="00E25584"/>
    <w:rsid w:val="00E40D53"/>
    <w:rsid w:val="00ED2E42"/>
    <w:rsid w:val="00EF00CA"/>
    <w:rsid w:val="00F122C1"/>
    <w:rsid w:val="00FB6065"/>
    <w:rsid w:val="00FF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9BEB9"/>
  <w15:docId w15:val="{CF950997-CD2B-4401-808E-1B6887B4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112996"/>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8588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Aqib Shoukat Paracha</cp:lastModifiedBy>
  <cp:revision>27</cp:revision>
  <dcterms:created xsi:type="dcterms:W3CDTF">2010-03-04T15:14:00Z</dcterms:created>
  <dcterms:modified xsi:type="dcterms:W3CDTF">2019-04-05T18:17:00Z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id="CtOGhg4d"/&gt;&lt;style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