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996A53">
      <w:pPr>
        <w:pStyle w:val="Title"/>
      </w:pPr>
      <w:r w:rsidRPr="00996A53">
        <w:t>Managing a Compliant and Diverse Workplace</w:t>
      </w:r>
    </w:p>
    <w:p w:rsidR="00B823AA" w:rsidRDefault="00996A53" w:rsidP="00B823AA">
      <w:pPr>
        <w:pStyle w:val="Title2"/>
      </w:pPr>
      <w:r>
        <w:t>J</w:t>
      </w:r>
      <w:r w:rsidRPr="00996A53">
        <w:t>ohn A. Wilson</w:t>
      </w:r>
    </w:p>
    <w:p w:rsidR="00E81978" w:rsidRDefault="004E5905"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D04DD2">
          <w:pPr>
            <w:pStyle w:val="Title"/>
          </w:pPr>
          <w:r>
            <w:t>Author Note</w:t>
          </w:r>
        </w:p>
      </w:sdtContent>
    </w:sdt>
    <w:p w:rsidR="00E81978" w:rsidRDefault="00E81978" w:rsidP="00B823AA">
      <w:pPr>
        <w:pStyle w:val="Title2"/>
      </w:pPr>
    </w:p>
    <w:p w:rsidR="000F4997" w:rsidRDefault="000F4997" w:rsidP="000F4997"/>
    <w:p w:rsidR="000F4997" w:rsidRDefault="000F4997" w:rsidP="000F4997"/>
    <w:p w:rsidR="000F4997" w:rsidRDefault="000F4997" w:rsidP="000F4997"/>
    <w:p w:rsidR="000F4997" w:rsidRDefault="000F4997" w:rsidP="000F4997"/>
    <w:p w:rsidR="000F4997" w:rsidRDefault="000F4997" w:rsidP="000F4997"/>
    <w:p w:rsidR="000F4997" w:rsidRDefault="000F4997" w:rsidP="000F4997"/>
    <w:p w:rsidR="000F4997" w:rsidRDefault="000F4997" w:rsidP="000F4997"/>
    <w:p w:rsidR="000F4997" w:rsidRDefault="000F4997" w:rsidP="000F4997"/>
    <w:p w:rsidR="000F4997" w:rsidRDefault="000F4997" w:rsidP="000F4997"/>
    <w:p w:rsidR="000F4997" w:rsidRDefault="000F4997" w:rsidP="000F4997"/>
    <w:p w:rsidR="000304D1" w:rsidRDefault="00996A53" w:rsidP="00996A53">
      <w:pPr>
        <w:pStyle w:val="Title"/>
        <w:tabs>
          <w:tab w:val="center" w:pos="4680"/>
        </w:tabs>
        <w:jc w:val="left"/>
      </w:pPr>
      <w:r>
        <w:lastRenderedPageBreak/>
        <w:tab/>
      </w:r>
      <w:r w:rsidR="00D04DD2" w:rsidRPr="000F4997">
        <w:t>Managing a Compliant and Diverse Workplace</w:t>
      </w:r>
    </w:p>
    <w:p w:rsidR="00BD4E71" w:rsidRPr="00BD4E71" w:rsidRDefault="00D04DD2" w:rsidP="00BD4E71">
      <w:r>
        <w:t>An ideal working environment is epitomized by a culture that demonstrates courtesy and equality to all the members of a community regardless of their identity</w:t>
      </w:r>
      <w:r w:rsidR="00A214FE">
        <w:t>, national origin</w:t>
      </w:r>
      <w:r>
        <w:t>, and status. The ideal culture is free of any discrimination, abuse, and harassment at the workplace.</w:t>
      </w:r>
      <w:r w:rsidR="00A214FE">
        <w:t xml:space="preserve"> Organizations that do not take care of the laws and regulations protecting employees against discrimination may face lawsuits that are not in favor of the organization in the long run. </w:t>
      </w:r>
      <w:r w:rsidR="00654B6E">
        <w:t xml:space="preserve">Claims regarding harassment at workplace, failure to provide reasonable accommodation to disabled employees and work-life balance are important concerns raised by employees of numerous organizations. This paper seeks to highlight concerns regarding these issues and </w:t>
      </w:r>
      <w:r w:rsidR="00996A53">
        <w:t xml:space="preserve">the </w:t>
      </w:r>
      <w:r w:rsidR="00654B6E">
        <w:t>related regulations as guidelines to avoid such situations.</w:t>
      </w:r>
    </w:p>
    <w:p w:rsidR="000F4997" w:rsidRDefault="00D04DD2" w:rsidP="000304D1">
      <w:pPr>
        <w:pStyle w:val="Heading1"/>
      </w:pPr>
      <w:r>
        <w:t>Impacts of Workp</w:t>
      </w:r>
      <w:r w:rsidR="00FE0FEF">
        <w:t xml:space="preserve">lace Harassment on EEO </w:t>
      </w:r>
    </w:p>
    <w:p w:rsidR="000304D1" w:rsidRDefault="00D04DD2" w:rsidP="000304D1">
      <w:r>
        <w:t xml:space="preserve">Workplace harassment and bullying is a form of </w:t>
      </w:r>
      <w:r w:rsidR="00A55068">
        <w:t>discrimination, which</w:t>
      </w:r>
      <w:r>
        <w:t xml:space="preserve"> involves unwelcomed, offensive, abusive and embarrassing behavior towards an individual or a group,</w:t>
      </w:r>
      <w:r w:rsidR="00ED7DF3">
        <w:t xml:space="preserve"> because of some real or perceived characteristics including sexuality, disability, and </w:t>
      </w:r>
      <w:r w:rsidR="00ED7DF3" w:rsidRPr="00ED7DF3">
        <w:t>ethnicity</w:t>
      </w:r>
      <w:r w:rsidR="00ED7DF3">
        <w:t xml:space="preserve">. </w:t>
      </w:r>
      <w:r w:rsidR="00A55068">
        <w:t>It can take the form of practical jokes, bullying, calling names, pinching or taunting and displaying offensive content in the form of pictures and posters. Harassment and bullying in the workplace are serious offenses that hurt the organization's ability to promote a work culture of equal employment</w:t>
      </w:r>
      <w:r w:rsidR="009909AC">
        <w:t xml:space="preserve"> opportunity for all</w:t>
      </w:r>
      <w:sdt>
        <w:sdtPr>
          <w:id w:val="1963542300"/>
          <w:citation/>
        </w:sdtPr>
        <w:sdtContent>
          <w:r w:rsidR="00D62B47">
            <w:fldChar w:fldCharType="begin"/>
          </w:r>
          <w:r w:rsidR="00D62B47">
            <w:instrText xml:space="preserve">CITATION Bol05 \l 1033 </w:instrText>
          </w:r>
          <w:r w:rsidR="00D62B47">
            <w:fldChar w:fldCharType="separate"/>
          </w:r>
          <w:r w:rsidR="00D62B47">
            <w:rPr>
              <w:noProof/>
            </w:rPr>
            <w:t xml:space="preserve"> (Boland, 2005)</w:t>
          </w:r>
          <w:r w:rsidR="00D62B47">
            <w:fldChar w:fldCharType="end"/>
          </w:r>
        </w:sdtContent>
      </w:sdt>
      <w:r w:rsidR="00A55068">
        <w:t xml:space="preserve">. </w:t>
      </w:r>
    </w:p>
    <w:p w:rsidR="00A55068" w:rsidRDefault="00D04DD2" w:rsidP="000304D1">
      <w:r>
        <w:t xml:space="preserve">EEO means promoting and creating a workplace that is free of any form of discrimination based on sex, which also accounts for sexual harassment. It applies to all the people in the organization. The EEO deals with </w:t>
      </w:r>
      <w:r w:rsidRPr="00A55068">
        <w:t>discrimination</w:t>
      </w:r>
      <w:r>
        <w:t xml:space="preserve">, harassment, and affirmative action, and every organization is responsible for creating a workplace that is free of any kind of discrimination and unfair practices. </w:t>
      </w:r>
      <w:r w:rsidR="00F178C3">
        <w:t xml:space="preserve">Harassment negatively affects the organization's ability to creating a safe </w:t>
      </w:r>
      <w:r w:rsidR="00F178C3">
        <w:lastRenderedPageBreak/>
        <w:t xml:space="preserve">workplace. </w:t>
      </w:r>
      <w:r>
        <w:t xml:space="preserve">A plaintiff can take the case of harassment and bullying at the workplace </w:t>
      </w:r>
      <w:r w:rsidR="00F178C3">
        <w:t xml:space="preserve">according to the EEOC. An employee can take the claim to the court of law if there is no anti-harassment policy at the workplace. If the employee has been punished for filing the complaint, they can take the claim to a court of law. If the employer </w:t>
      </w:r>
      <w:r w:rsidR="00E95642">
        <w:t>does not have</w:t>
      </w:r>
      <w:r w:rsidR="00F178C3">
        <w:t xml:space="preserve"> any good investigation process and if the leadership or higher management is not committe</w:t>
      </w:r>
      <w:r w:rsidR="00E95642">
        <w:t>d to creating a safe workplace, a</w:t>
      </w:r>
      <w:r w:rsidR="00F178C3">
        <w:t>ll these factors can take the plaintiff to the court of law</w:t>
      </w:r>
      <w:sdt>
        <w:sdtPr>
          <w:id w:val="-262139501"/>
          <w:citation/>
        </w:sdtPr>
        <w:sdtContent>
          <w:r w:rsidR="00E95642">
            <w:fldChar w:fldCharType="begin"/>
          </w:r>
          <w:r w:rsidR="00E95642">
            <w:instrText xml:space="preserve"> CITATION EEO18 \l 1033 </w:instrText>
          </w:r>
          <w:r w:rsidR="00E95642">
            <w:fldChar w:fldCharType="separate"/>
          </w:r>
          <w:r w:rsidR="00E95642">
            <w:rPr>
              <w:noProof/>
            </w:rPr>
            <w:t xml:space="preserve"> (EEOC, 2018)</w:t>
          </w:r>
          <w:r w:rsidR="00E95642">
            <w:fldChar w:fldCharType="end"/>
          </w:r>
        </w:sdtContent>
      </w:sdt>
      <w:r w:rsidR="00F178C3">
        <w:t xml:space="preserve">. </w:t>
      </w:r>
      <w:r w:rsidR="00E95642">
        <w:t>The l</w:t>
      </w:r>
      <w:r w:rsidR="00F178C3">
        <w:t>aw requires the person to go through the policies and procedures an organization has defined in case of harassment and bullying.</w:t>
      </w:r>
    </w:p>
    <w:p w:rsidR="00A55068" w:rsidRDefault="00D04DD2" w:rsidP="000304D1">
      <w:r>
        <w:t xml:space="preserve">An organization can eliminate these elements by making a defining and clear policy that highlights </w:t>
      </w:r>
      <w:r w:rsidR="00F178C3">
        <w:t>the examples of what constitutes such conduct.</w:t>
      </w:r>
      <w:r w:rsidR="00A15350">
        <w:t xml:space="preserve"> The policy must also ensure employees that they will not be retaliated on making complaints.</w:t>
      </w:r>
      <w:r w:rsidR="00F178C3">
        <w:t xml:space="preserve"> Having a clear reporting procedure is also essential to facilitate employees in reporting such behaviors at the workplace. </w:t>
      </w:r>
      <w:r w:rsidR="009A5493">
        <w:t xml:space="preserve">An organization must have a clearly defined procedure for investigating the issue so that the victim can be protected. </w:t>
      </w:r>
    </w:p>
    <w:p w:rsidR="00ED7DF3" w:rsidRDefault="00D04DD2" w:rsidP="004542AF">
      <w:pPr>
        <w:pStyle w:val="Heading1"/>
      </w:pPr>
      <w:r>
        <w:t>Reasonable Accommodation of Disability and Plaintiff</w:t>
      </w:r>
      <w:r w:rsidR="00996A53">
        <w:t>’s</w:t>
      </w:r>
      <w:r>
        <w:t xml:space="preserve"> </w:t>
      </w:r>
      <w:r w:rsidR="00996A53">
        <w:t>Claims</w:t>
      </w:r>
      <w:r>
        <w:t xml:space="preserve"> </w:t>
      </w:r>
    </w:p>
    <w:p w:rsidR="004E59F7" w:rsidRDefault="00D04DD2" w:rsidP="004E59F7">
      <w:r>
        <w:t xml:space="preserve">The Americans Disability Act </w:t>
      </w:r>
      <w:r w:rsidRPr="00B17317">
        <w:t>1990</w:t>
      </w:r>
      <w:r>
        <w:t xml:space="preserve"> is a civil law, which disallows an organization to discriminate against the employees with disabilities in all the areas of life including schools transportation and jobs, etc. This law ensures public accommodations</w:t>
      </w:r>
      <w:r w:rsidR="004A22BF">
        <w:t xml:space="preserve"> of disabling employees to promote equal employment opportunity at the workplace. Employers are obliged to provide reasonable accommodation to disabled employees, who qualify </w:t>
      </w:r>
      <w:r w:rsidR="006A7000">
        <w:t>a</w:t>
      </w:r>
      <w:r w:rsidR="004A22BF">
        <w:t xml:space="preserve"> certain job, to permit them to </w:t>
      </w:r>
      <w:r w:rsidR="006A7000">
        <w:t>perform</w:t>
      </w:r>
      <w:r w:rsidR="004A22BF">
        <w:t xml:space="preserve"> necessary job functions. </w:t>
      </w:r>
      <w:r w:rsidR="006A7000">
        <w:t xml:space="preserve">Reasonable accommodation involves making necessary changes to a position or a workplace to enable disable employees to perform their job duties. This includes making the height of tables and chairs suitable, installing telecommunications for </w:t>
      </w:r>
      <w:r w:rsidR="006A7000">
        <w:lastRenderedPageBreak/>
        <w:t>deaf or allowing a worker flexible work week so that they can receive medical treatments timely. Other few possible accommodations involve hiring a temporary specialist, offering unpaid leaves and relocating employees. There are unlimited possibilities for reasonable accommodation.</w:t>
      </w:r>
    </w:p>
    <w:p w:rsidR="000572E2" w:rsidRDefault="00D04DD2" w:rsidP="004E59F7">
      <w:r>
        <w:t xml:space="preserve">A plaintiff can make a claim regarding the </w:t>
      </w:r>
      <w:r w:rsidR="0024476D">
        <w:t xml:space="preserve">failure to accommodate under the </w:t>
      </w:r>
      <w:r w:rsidR="0024476D" w:rsidRPr="0024476D">
        <w:t>Americans Disability Act 1990</w:t>
      </w:r>
      <w:r w:rsidR="0024476D">
        <w:t xml:space="preserve">. In order to establish a claim under this Act, the plaintiff has </w:t>
      </w:r>
      <w:r w:rsidR="0019666C">
        <w:t>to demonstrate certain elements. The first thing he/she has to validate is that plaintiff is a person with a disability under the meaning of disability in Title I of ADA, and the employer covered by the law also took notice of his/her disability</w:t>
      </w:r>
      <w:sdt>
        <w:sdtPr>
          <w:id w:val="1084111783"/>
          <w:citation/>
        </w:sdtPr>
        <w:sdtContent>
          <w:r w:rsidR="00E95642">
            <w:fldChar w:fldCharType="begin"/>
          </w:r>
          <w:r w:rsidR="00E95642">
            <w:instrText xml:space="preserve"> CITATION DRE97 \l 1033 </w:instrText>
          </w:r>
          <w:r w:rsidR="00E95642">
            <w:fldChar w:fldCharType="separate"/>
          </w:r>
          <w:r w:rsidR="00E95642">
            <w:rPr>
              <w:noProof/>
            </w:rPr>
            <w:t xml:space="preserve"> (DREDF, 1997)</w:t>
          </w:r>
          <w:r w:rsidR="00E95642">
            <w:fldChar w:fldCharType="end"/>
          </w:r>
        </w:sdtContent>
      </w:sdt>
      <w:r w:rsidR="0019666C">
        <w:t>. Plaintiff could have performed job responsibilities of the job under issue if he/she would have been provided with reasonable accommodation and the employer denied to provide such accommodations. Only those employees who qualify for the essential job functions</w:t>
      </w:r>
      <w:r w:rsidR="0051314D">
        <w:t xml:space="preserve"> are protected against discrimination under ADA. Employers are not required to hire or retain the employees unable to perform necessary job tasks. The qualified employee must prove that they have the necessary skills, degrees, license, and qualification for the job</w:t>
      </w:r>
      <w:r w:rsidR="001E7BA2">
        <w:t xml:space="preserve"> and can perform essential duties</w:t>
      </w:r>
      <w:r w:rsidR="0068150C">
        <w:t>. A job duty is e</w:t>
      </w:r>
      <w:r w:rsidR="0051314D">
        <w:t xml:space="preserve">ssential if the </w:t>
      </w:r>
      <w:r w:rsidR="001E7BA2">
        <w:t xml:space="preserve">job exists to </w:t>
      </w:r>
      <w:r w:rsidR="0068150C">
        <w:t>execute</w:t>
      </w:r>
      <w:r w:rsidR="001E7BA2">
        <w:t xml:space="preserve"> that function, only a few </w:t>
      </w:r>
      <w:r w:rsidR="0068150C">
        <w:t>people</w:t>
      </w:r>
      <w:r w:rsidR="001E7BA2">
        <w:t xml:space="preserve"> can </w:t>
      </w:r>
      <w:r w:rsidR="0068150C">
        <w:t>complete</w:t>
      </w:r>
      <w:r w:rsidR="001E7BA2">
        <w:t xml:space="preserve"> that task, the function requires the hiring of experts or specialized people to perform that function</w:t>
      </w:r>
      <w:sdt>
        <w:sdtPr>
          <w:id w:val="300662267"/>
          <w:citation/>
        </w:sdtPr>
        <w:sdtContent>
          <w:r w:rsidR="00E95642">
            <w:fldChar w:fldCharType="begin"/>
          </w:r>
          <w:r w:rsidR="00E95642">
            <w:instrText xml:space="preserve"> CITATION Eng15 \l 1033 </w:instrText>
          </w:r>
          <w:r w:rsidR="00E95642">
            <w:fldChar w:fldCharType="separate"/>
          </w:r>
          <w:r w:rsidR="00E95642">
            <w:rPr>
              <w:noProof/>
            </w:rPr>
            <w:t xml:space="preserve"> (England, 2015)</w:t>
          </w:r>
          <w:r w:rsidR="00E95642">
            <w:fldChar w:fldCharType="end"/>
          </w:r>
        </w:sdtContent>
      </w:sdt>
      <w:r w:rsidR="001E7BA2">
        <w:t xml:space="preserve">. These factors are used by the EEOC to evaluate if the job function is essential </w:t>
      </w:r>
      <w:r w:rsidR="00F92339">
        <w:t>or not</w:t>
      </w:r>
      <w:r w:rsidR="001E7BA2">
        <w:t xml:space="preserve">.  </w:t>
      </w:r>
    </w:p>
    <w:p w:rsidR="003A1781" w:rsidRDefault="00D04DD2" w:rsidP="003A1781">
      <w:pPr>
        <w:pStyle w:val="Heading1"/>
      </w:pPr>
      <w:r w:rsidRPr="003A1781">
        <w:t>Bona Fide Occupational Qualification Law</w:t>
      </w:r>
      <w:r>
        <w:t xml:space="preserve"> and Religious Organizations</w:t>
      </w:r>
    </w:p>
    <w:p w:rsidR="00DF199E" w:rsidRPr="00FE0FEF" w:rsidRDefault="00D04DD2" w:rsidP="00DF199E">
      <w:r>
        <w:t xml:space="preserve">The </w:t>
      </w:r>
      <w:r w:rsidRPr="003A1781">
        <w:t>Bona Fide Occupational Qualification</w:t>
      </w:r>
      <w:r>
        <w:t xml:space="preserve"> is the business capabilities that employers are allowed to consider while making any decisions about recruitment, selection, and promotion of employees. </w:t>
      </w:r>
      <w:r w:rsidRPr="003A1781">
        <w:t xml:space="preserve">The qualification </w:t>
      </w:r>
      <w:r>
        <w:t>must</w:t>
      </w:r>
      <w:r w:rsidRPr="003A1781">
        <w:t xml:space="preserve"> </w:t>
      </w:r>
      <w:r>
        <w:t xml:space="preserve">be </w:t>
      </w:r>
      <w:r w:rsidRPr="003A1781">
        <w:t>relate</w:t>
      </w:r>
      <w:r>
        <w:t>d</w:t>
      </w:r>
      <w:r w:rsidRPr="003A1781">
        <w:t xml:space="preserve"> to an essential job </w:t>
      </w:r>
      <w:r>
        <w:t>function</w:t>
      </w:r>
      <w:r w:rsidRPr="003A1781">
        <w:t xml:space="preserve"> and is considered compulsory for the operation of the specific enterprise. The BNOQ allow hiring of employees based on religion, sex, age, and national occupation if these </w:t>
      </w:r>
      <w:r w:rsidR="00823F4A" w:rsidRPr="003A1781">
        <w:t>features</w:t>
      </w:r>
      <w:r w:rsidRPr="003A1781">
        <w:t xml:space="preserve"> are a bona fide occupational </w:t>
      </w:r>
      <w:r w:rsidRPr="003A1781">
        <w:lastRenderedPageBreak/>
        <w:t xml:space="preserve">qualification. This is a special case in the Title VII of the Civil Rights Act of 1964 that </w:t>
      </w:r>
      <w:r w:rsidR="00823F4A" w:rsidRPr="003A1781">
        <w:t>safeguards</w:t>
      </w:r>
      <w:r w:rsidRPr="003A1781">
        <w:t xml:space="preserve"> employees from </w:t>
      </w:r>
      <w:r w:rsidR="00823F4A" w:rsidRPr="003A1781">
        <w:t>discernment</w:t>
      </w:r>
      <w:r w:rsidRPr="003A1781">
        <w:t xml:space="preserve"> and exploitation dependent on religion, sex, age, national origin and color of their skin at the </w:t>
      </w:r>
      <w:r w:rsidR="0020271C" w:rsidRPr="003A1781">
        <w:t>place of work</w:t>
      </w:r>
      <w:r w:rsidRPr="003A1781">
        <w:t xml:space="preserve">. </w:t>
      </w:r>
      <w:r w:rsidR="00C979C4">
        <w:t xml:space="preserve">However, different religious organizations such as churches, temples, and mosques do not typically rely on this BFOQ defense because of the exception permitted in the Title VII which allow them to </w:t>
      </w:r>
      <w:r w:rsidR="005143F0">
        <w:t>have a preference on their co-religionist</w:t>
      </w:r>
      <w:r w:rsidR="00D62B47">
        <w:t>s</w:t>
      </w:r>
      <w:sdt>
        <w:sdtPr>
          <w:id w:val="717478649"/>
          <w:citation/>
        </w:sdtPr>
        <w:sdtContent>
          <w:r w:rsidR="00D62B47">
            <w:fldChar w:fldCharType="begin"/>
          </w:r>
          <w:r w:rsidR="00D62B47">
            <w:instrText xml:space="preserve"> CITATION Mic04 \l 1033 </w:instrText>
          </w:r>
          <w:r w:rsidR="00D62B47">
            <w:fldChar w:fldCharType="separate"/>
          </w:r>
          <w:r w:rsidR="00D62B47">
            <w:rPr>
              <w:noProof/>
            </w:rPr>
            <w:t xml:space="preserve"> (Zimmer, 2004)</w:t>
          </w:r>
          <w:r w:rsidR="00D62B47">
            <w:fldChar w:fldCharType="end"/>
          </w:r>
        </w:sdtContent>
      </w:sdt>
      <w:r w:rsidR="005143F0">
        <w:t xml:space="preserve">. </w:t>
      </w:r>
      <w:r>
        <w:t xml:space="preserve">A religious organization can be distinguished on the following factors, its articles of joining that demonstrate a religious reason, working each day with some religious center and on </w:t>
      </w:r>
      <w:r w:rsidRPr="00FE0FEF">
        <w:t>the off chance that it is a revenue making an organization.</w:t>
      </w:r>
    </w:p>
    <w:p w:rsidR="0024476D" w:rsidRDefault="00D04DD2" w:rsidP="00FE0FEF">
      <w:r w:rsidRPr="00FE0FEF">
        <w:t xml:space="preserve">A "BFOQ" represents Bona Fide Occupational Qualification and </w:t>
      </w:r>
      <w:r w:rsidR="00DF199E" w:rsidRPr="00FE0FEF">
        <w:t>differs</w:t>
      </w:r>
      <w:r w:rsidRPr="00FE0FEF">
        <w:t xml:space="preserve"> from the right to discriminate as it </w:t>
      </w:r>
      <w:r w:rsidR="00DF199E" w:rsidRPr="00FE0FEF">
        <w:t>permits</w:t>
      </w:r>
      <w:r w:rsidRPr="00FE0FEF">
        <w:t xml:space="preserve"> </w:t>
      </w:r>
      <w:r w:rsidR="00DF199E" w:rsidRPr="00FE0FEF">
        <w:t xml:space="preserve">an organization to separate out the employees based on religion, sex or national origin if </w:t>
      </w:r>
      <w:r w:rsidR="00FE0FEF">
        <w:t>the jo</w:t>
      </w:r>
      <w:r w:rsidR="00DF199E" w:rsidRPr="00FE0FEF">
        <w:t xml:space="preserve">b position </w:t>
      </w:r>
      <w:r w:rsidR="00FE0FEF" w:rsidRPr="00FE0FEF">
        <w:t>entirely</w:t>
      </w:r>
      <w:r w:rsidR="00DF199E" w:rsidRPr="00FE0FEF">
        <w:t xml:space="preserve"> requires </w:t>
      </w:r>
      <w:r w:rsidR="00FE0FEF" w:rsidRPr="00FE0FEF">
        <w:t xml:space="preserve">any of these ensured classes. For instance, a female attire designer may not hire a male fashion designer because it would </w:t>
      </w:r>
      <w:r w:rsidRPr="00FE0FEF">
        <w:t xml:space="preserve">not bode well for the </w:t>
      </w:r>
      <w:r w:rsidR="00FE0FEF" w:rsidRPr="00FE0FEF">
        <w:t>profession</w:t>
      </w:r>
      <w:r w:rsidRPr="00FE0FEF">
        <w:t xml:space="preserve">.  Same is the cases with a religious </w:t>
      </w:r>
      <w:r w:rsidR="00FE0FEF" w:rsidRPr="00FE0FEF">
        <w:t>organization</w:t>
      </w:r>
      <w:r w:rsidRPr="00FE0FEF">
        <w:t>, a Jew cannot be hired as a father of the Church.</w:t>
      </w:r>
      <w:r w:rsidR="00FE0FEF" w:rsidRPr="00FE0FEF">
        <w:t xml:space="preserve"> A Catholic school can deny hiring a non-Catholic teacher as</w:t>
      </w:r>
      <w:r w:rsidRPr="00FE0FEF">
        <w:t xml:space="preserve"> it's a Bona Fide Occupational Qualification (ready to show Catholicism) and the </w:t>
      </w:r>
      <w:r w:rsidR="00FE0FEF" w:rsidRPr="00FE0FEF">
        <w:t>institute</w:t>
      </w:r>
      <w:r w:rsidRPr="00FE0FEF">
        <w:t xml:space="preserve"> holds the </w:t>
      </w:r>
      <w:r w:rsidR="00FE0FEF" w:rsidRPr="00FE0FEF">
        <w:t>freedom</w:t>
      </w:r>
      <w:r w:rsidRPr="00FE0FEF">
        <w:t xml:space="preserve"> to separate.</w:t>
      </w:r>
    </w:p>
    <w:p w:rsidR="00FE0FEF" w:rsidRDefault="00D04DD2" w:rsidP="00E20177">
      <w:pPr>
        <w:pStyle w:val="Heading1"/>
      </w:pPr>
      <w:r>
        <w:t>FMLA</w:t>
      </w:r>
      <w:r w:rsidR="003B57F7">
        <w:t>, Pregnancy Discrimination Act</w:t>
      </w:r>
      <w:r>
        <w:t>, and common Managerial Mistakes</w:t>
      </w:r>
    </w:p>
    <w:p w:rsidR="003B57F7" w:rsidRDefault="00D04DD2" w:rsidP="003B57F7">
      <w:r>
        <w:t xml:space="preserve">Laws and regulations seek to allow employees to maintain a balance between the family and work responsibilities. </w:t>
      </w:r>
      <w:r w:rsidR="00220896">
        <w:t xml:space="preserve">Pregnancy Discrimination Act and the </w:t>
      </w:r>
      <w:r w:rsidR="00220896" w:rsidRPr="00220896">
        <w:t>Family and Medical Leave Act (FMLA)</w:t>
      </w:r>
      <w:r w:rsidR="00220896">
        <w:t xml:space="preserve"> are examples of such laws. </w:t>
      </w:r>
      <w:r w:rsidR="00AA63F1">
        <w:t>Title VII of the Civil Rights Act prohibits organizations from sex discrimination on the basis of pregnancy and childbirth</w:t>
      </w:r>
      <w:sdt>
        <w:sdtPr>
          <w:id w:val="1344051084"/>
          <w:citation/>
        </w:sdtPr>
        <w:sdtContent>
          <w:r w:rsidR="00E95642">
            <w:fldChar w:fldCharType="begin"/>
          </w:r>
          <w:r w:rsidR="00E95642">
            <w:instrText xml:space="preserve"> CITATION Eng15 \l 1033 </w:instrText>
          </w:r>
          <w:r w:rsidR="00E95642">
            <w:fldChar w:fldCharType="separate"/>
          </w:r>
          <w:r w:rsidR="00E95642">
            <w:rPr>
              <w:noProof/>
            </w:rPr>
            <w:t xml:space="preserve"> (England, 2015)</w:t>
          </w:r>
          <w:r w:rsidR="00E95642">
            <w:fldChar w:fldCharType="end"/>
          </w:r>
        </w:sdtContent>
      </w:sdt>
      <w:r w:rsidR="00AA63F1">
        <w:t xml:space="preserve">. The FMLA, on the other hand, allows employees to take the time off from work to take care of their family without having fear of losing their jobs. Serious health issues of any of the family member make </w:t>
      </w:r>
      <w:r w:rsidR="00AA63F1">
        <w:lastRenderedPageBreak/>
        <w:t>an employee eligible for some paid leaves</w:t>
      </w:r>
      <w:r w:rsidR="005827F5">
        <w:t xml:space="preserve">. The PDA and FMLA are though unrelated to each, one is linked with discrimination while the other is associated with leaves, </w:t>
      </w:r>
      <w:r w:rsidR="00E372D2">
        <w:t>and however</w:t>
      </w:r>
      <w:r w:rsidR="005827F5">
        <w:t xml:space="preserve">, PDA may also require taking leave for </w:t>
      </w:r>
      <w:r w:rsidR="00E372D2">
        <w:t>pregnancy. FMLA requires that an employer has to offer unpaid leaves to employees for a medical reason that may be pr</w:t>
      </w:r>
      <w:r w:rsidR="00F41916">
        <w:t xml:space="preserve">egnancy such as paternal leaves. </w:t>
      </w:r>
      <w:r w:rsidR="00E372D2">
        <w:t xml:space="preserve"> </w:t>
      </w:r>
    </w:p>
    <w:p w:rsidR="00F46704" w:rsidRPr="003B57F7" w:rsidRDefault="00D04DD2" w:rsidP="00E62B28">
      <w:r>
        <w:t xml:space="preserve">With regard to FMLA and PDA managers can make several mistakes that may land them in court. One such mistake is taking action against an employee that may return from FMLA leaves. </w:t>
      </w:r>
      <w:r w:rsidR="00E62B28">
        <w:t xml:space="preserve">Since FMLA states that employee coming back after leaves must be subjected to the same job and equal pay. </w:t>
      </w:r>
      <w:r>
        <w:t>Saying unreasonable things when employees</w:t>
      </w:r>
      <w:r w:rsidR="00E62B28">
        <w:t xml:space="preserve"> request FMLA leaves can also make an organization face lawsuit because FMLA encourages the employee </w:t>
      </w:r>
      <w:r w:rsidR="00823B48">
        <w:t>to make their health the priority</w:t>
      </w:r>
      <w:sdt>
        <w:sdtPr>
          <w:id w:val="362479305"/>
          <w:citation/>
        </w:sdtPr>
        <w:sdtContent>
          <w:r w:rsidR="00D62B47">
            <w:fldChar w:fldCharType="begin"/>
          </w:r>
          <w:r w:rsidR="00D62B47">
            <w:instrText xml:space="preserve">CITATION Zei \l 1033 </w:instrText>
          </w:r>
          <w:r w:rsidR="00D62B47">
            <w:fldChar w:fldCharType="separate"/>
          </w:r>
          <w:r w:rsidR="00D62B47">
            <w:rPr>
              <w:noProof/>
            </w:rPr>
            <w:t xml:space="preserve"> (Zeidner, 2018)</w:t>
          </w:r>
          <w:r w:rsidR="00D62B47">
            <w:fldChar w:fldCharType="end"/>
          </w:r>
        </w:sdtContent>
      </w:sdt>
      <w:r w:rsidR="00E62B28">
        <w:t>.</w:t>
      </w:r>
      <w:r>
        <w:t xml:space="preserve"> </w:t>
      </w:r>
      <w:r w:rsidR="00554C80">
        <w:t>Another mistake is making</w:t>
      </w:r>
      <w:r>
        <w:t xml:space="preserve"> assumptions that certain ailments and medical conditions do not specifically need FMLA leaves</w:t>
      </w:r>
      <w:r w:rsidR="00554C80">
        <w:t>, however, ailments like flu can also be considered severe</w:t>
      </w:r>
      <w:r>
        <w:t xml:space="preserve">. </w:t>
      </w:r>
      <w:r w:rsidR="00554C80">
        <w:t>In addition, revealing</w:t>
      </w:r>
      <w:r w:rsidR="001876D4">
        <w:t xml:space="preserve"> the private medical information of an employee and punishing employee in case of unexpected FMLA leave</w:t>
      </w:r>
      <w:r w:rsidR="00554C80">
        <w:t xml:space="preserve"> are some blunders which may land managers to the court, therefore, supervisors handling FMLA must be aware of these issues</w:t>
      </w:r>
      <w:r w:rsidR="001876D4">
        <w:t xml:space="preserve">. </w:t>
      </w:r>
    </w:p>
    <w:p w:rsidR="000304D1" w:rsidRDefault="00D04DD2" w:rsidP="000304D1">
      <w:pPr>
        <w:pStyle w:val="Heading1"/>
      </w:pPr>
      <w:r>
        <w:t xml:space="preserve">Conclusion </w:t>
      </w:r>
    </w:p>
    <w:p w:rsidR="009417DC" w:rsidRDefault="00D04DD2" w:rsidP="009417DC">
      <w:r>
        <w:t>To sum up, the U</w:t>
      </w:r>
      <w:r w:rsidR="001A36A2">
        <w:t>.</w:t>
      </w:r>
      <w:r>
        <w:t>S</w:t>
      </w:r>
      <w:r w:rsidR="001A36A2">
        <w:t>.</w:t>
      </w:r>
      <w:r>
        <w:t xml:space="preserve"> government has made different laws to </w:t>
      </w:r>
      <w:r w:rsidR="0044720D">
        <w:t>guard</w:t>
      </w:r>
      <w:r>
        <w:t xml:space="preserve"> employees against </w:t>
      </w:r>
      <w:r w:rsidR="0044720D">
        <w:t>discernment</w:t>
      </w:r>
      <w:r>
        <w:t xml:space="preserve">. The Civil Rights Act of 1964 </w:t>
      </w:r>
      <w:r w:rsidR="00260008">
        <w:t xml:space="preserve">is the landmark which bans discrimination of employees. Title VII specifically related to </w:t>
      </w:r>
      <w:r w:rsidR="00E14B77" w:rsidRPr="00E14B77">
        <w:t>equal employment opportunity</w:t>
      </w:r>
      <w:r w:rsidR="00E14B77">
        <w:t xml:space="preserve"> is the quick guide for employers to avoid age, pregnancy, disability and gender discrimination. </w:t>
      </w:r>
      <w:r w:rsidR="00C2330D">
        <w:t>Law also allows employers to discriminate in specific cases such and based on a specific trait that is BFOQ essential to perform typical job duties.</w:t>
      </w:r>
      <w:r w:rsidR="00C44B53">
        <w:t xml:space="preserve"> Managers must also avoid making blunders regarding family and pregnancy leaves by taking care of the conditions outlined in FMLA and PDA acts. </w:t>
      </w:r>
    </w:p>
    <w:p w:rsidR="001C1559" w:rsidRDefault="001C1559">
      <w:r>
        <w:br w:type="page"/>
      </w:r>
    </w:p>
    <w:sdt>
      <w:sdtPr>
        <w:id w:val="130982813"/>
        <w:docPartObj>
          <w:docPartGallery w:val="Bibliographies"/>
          <w:docPartUnique/>
        </w:docPartObj>
      </w:sdtPr>
      <w:sdtEndPr>
        <w:rPr>
          <w:rFonts w:asciiTheme="minorHAnsi" w:eastAsiaTheme="minorEastAsia" w:hAnsiTheme="minorHAnsi" w:cstheme="minorBidi"/>
          <w:b w:val="0"/>
          <w:bCs w:val="0"/>
        </w:rPr>
      </w:sdtEndPr>
      <w:sdtContent>
        <w:p w:rsidR="001C1559" w:rsidRDefault="001C1559">
          <w:pPr>
            <w:pStyle w:val="Heading1"/>
          </w:pPr>
          <w:r>
            <w:t>References</w:t>
          </w:r>
        </w:p>
        <w:sdt>
          <w:sdtPr>
            <w:id w:val="-573587230"/>
            <w:bibliography/>
          </w:sdtPr>
          <w:sdtContent>
            <w:p w:rsidR="001C1559" w:rsidRDefault="001C1559" w:rsidP="001C1559">
              <w:pPr>
                <w:pStyle w:val="Bibliography"/>
                <w:rPr>
                  <w:noProof/>
                </w:rPr>
              </w:pPr>
              <w:r>
                <w:fldChar w:fldCharType="begin"/>
              </w:r>
              <w:r>
                <w:instrText xml:space="preserve"> BIBLIOGRAPHY </w:instrText>
              </w:r>
              <w:r>
                <w:fldChar w:fldCharType="separate"/>
              </w:r>
              <w:r>
                <w:rPr>
                  <w:noProof/>
                </w:rPr>
                <w:t xml:space="preserve">Boland, M. L. (2005). </w:t>
              </w:r>
              <w:r>
                <w:rPr>
                  <w:i/>
                  <w:iCs/>
                  <w:noProof/>
                </w:rPr>
                <w:t>Sexual Harassment in the Workplace</w:t>
              </w:r>
              <w:r>
                <w:rPr>
                  <w:noProof/>
                </w:rPr>
                <w:t xml:space="preserve"> (1st ed.). Naperville, IL: Sourcebooks, Inc.</w:t>
              </w:r>
            </w:p>
            <w:p w:rsidR="001C1559" w:rsidRDefault="001C1559" w:rsidP="001C1559">
              <w:pPr>
                <w:pStyle w:val="Bibliography"/>
                <w:rPr>
                  <w:noProof/>
                </w:rPr>
              </w:pPr>
              <w:r>
                <w:rPr>
                  <w:noProof/>
                </w:rPr>
                <w:t xml:space="preserve">DREDF. (1997). </w:t>
              </w:r>
              <w:r>
                <w:rPr>
                  <w:i/>
                  <w:iCs/>
                  <w:noProof/>
                </w:rPr>
                <w:t>Restoring Regard For The “Regarded As” Prong</w:t>
              </w:r>
              <w:r>
                <w:rPr>
                  <w:noProof/>
                </w:rPr>
                <w:t>. Retrieved May 19, 2019, from Disability Rights Education &amp; Defense Fund: https://dredf.org/news/publications/restoring-regard-for-the-regarded-as-prong/</w:t>
              </w:r>
            </w:p>
            <w:p w:rsidR="001C1559" w:rsidRDefault="001C1559" w:rsidP="001C1559">
              <w:pPr>
                <w:pStyle w:val="Bibliography"/>
                <w:rPr>
                  <w:noProof/>
                </w:rPr>
              </w:pPr>
              <w:r>
                <w:rPr>
                  <w:noProof/>
                </w:rPr>
                <w:t xml:space="preserve">EEOC. (2018). </w:t>
              </w:r>
              <w:r>
                <w:rPr>
                  <w:i/>
                  <w:iCs/>
                  <w:noProof/>
                </w:rPr>
                <w:t>Harassment</w:t>
              </w:r>
              <w:r>
                <w:rPr>
                  <w:noProof/>
                </w:rPr>
                <w:t>. Retrieved May 19, 2019, from U.S. Equal Employment Opportunity Commission: https://www.eeoc.gov/laws/types/harassment.cfm</w:t>
              </w:r>
            </w:p>
            <w:p w:rsidR="001C1559" w:rsidRDefault="001C1559" w:rsidP="001C1559">
              <w:pPr>
                <w:pStyle w:val="Bibliography"/>
                <w:rPr>
                  <w:noProof/>
                </w:rPr>
              </w:pPr>
              <w:r>
                <w:rPr>
                  <w:noProof/>
                </w:rPr>
                <w:t xml:space="preserve">England, D. C. (2015). </w:t>
              </w:r>
              <w:r>
                <w:rPr>
                  <w:i/>
                  <w:iCs/>
                  <w:noProof/>
                </w:rPr>
                <w:t>The essential guide to handling workplace harassment &amp; discrimination</w:t>
              </w:r>
              <w:r>
                <w:rPr>
                  <w:noProof/>
                </w:rPr>
                <w:t xml:space="preserve"> (3rd ed.). Berkeley, CA: Nolo.</w:t>
              </w:r>
            </w:p>
            <w:p w:rsidR="001C1559" w:rsidRDefault="001C1559" w:rsidP="001C1559">
              <w:pPr>
                <w:pStyle w:val="Bibliography"/>
                <w:rPr>
                  <w:noProof/>
                </w:rPr>
              </w:pPr>
              <w:r>
                <w:rPr>
                  <w:noProof/>
                </w:rPr>
                <w:t xml:space="preserve">Zeidner, R. (2018). Untangling the Fmla. </w:t>
              </w:r>
              <w:r>
                <w:rPr>
                  <w:i/>
                  <w:iCs/>
                  <w:noProof/>
                </w:rPr>
                <w:t>HR Magazine, 63</w:t>
              </w:r>
              <w:r>
                <w:rPr>
                  <w:noProof/>
                </w:rPr>
                <w:t>(2), 28-33. Retrieved from https://eds.b.ebscohost.com/eds/viewarticle/render?data=dGJyMPPp44rp2%2fdV0%2bnjisfk5Ie46fKK3%2b%2fjiqzj34HspON88aPqgfTbvk2tp7dHsKavUZ6nuEuvsLNOnrfLPvLo34bx1%2bGM5%2bXsgeKzr0m0q7BQs6aySqTi34bls%2bOGpNrgVeDq5j7y1%2bVVv8Skeeyzr0q2qbJOsKuwPuTl8IXf6ruI4tzEjer</w:t>
              </w:r>
            </w:p>
            <w:p w:rsidR="001C1559" w:rsidRDefault="001C1559" w:rsidP="001C1559">
              <w:pPr>
                <w:pStyle w:val="Bibliography"/>
                <w:rPr>
                  <w:noProof/>
                </w:rPr>
              </w:pPr>
              <w:r>
                <w:rPr>
                  <w:noProof/>
                </w:rPr>
                <w:t xml:space="preserve">Zimmer, M. J. (2004). Religious Discrimination under Title VII. </w:t>
              </w:r>
              <w:r>
                <w:rPr>
                  <w:i/>
                  <w:iCs/>
                  <w:noProof/>
                </w:rPr>
                <w:t>Employment Discrimination, 2</w:t>
              </w:r>
              <w:r>
                <w:rPr>
                  <w:noProof/>
                </w:rPr>
                <w:t>, 539-577.</w:t>
              </w:r>
            </w:p>
            <w:p w:rsidR="001C1559" w:rsidRDefault="001C1559" w:rsidP="001C1559">
              <w:r>
                <w:rPr>
                  <w:b/>
                  <w:bCs/>
                  <w:noProof/>
                </w:rPr>
                <w:fldChar w:fldCharType="end"/>
              </w:r>
            </w:p>
          </w:sdtContent>
        </w:sdt>
      </w:sdtContent>
    </w:sdt>
    <w:p w:rsidR="001C1559" w:rsidRPr="009417DC" w:rsidRDefault="001C1559" w:rsidP="009417DC">
      <w:bookmarkStart w:id="0" w:name="_GoBack"/>
      <w:bookmarkEnd w:id="0"/>
    </w:p>
    <w:sectPr w:rsidR="001C1559" w:rsidRPr="009417DC">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905" w:rsidRDefault="004E5905">
      <w:pPr>
        <w:spacing w:line="240" w:lineRule="auto"/>
      </w:pPr>
      <w:r>
        <w:separator/>
      </w:r>
    </w:p>
  </w:endnote>
  <w:endnote w:type="continuationSeparator" w:id="0">
    <w:p w:rsidR="004E5905" w:rsidRDefault="004E59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905" w:rsidRDefault="004E5905">
      <w:pPr>
        <w:spacing w:line="240" w:lineRule="auto"/>
      </w:pPr>
      <w:r>
        <w:separator/>
      </w:r>
    </w:p>
  </w:footnote>
  <w:footnote w:type="continuationSeparator" w:id="0">
    <w:p w:rsidR="004E5905" w:rsidRDefault="004E59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996A53">
    <w:pPr>
      <w:pStyle w:val="Header"/>
    </w:pPr>
    <w:r>
      <w:rPr>
        <w:rStyle w:val="Strong"/>
      </w:rPr>
      <w:t>WORKPLACE DIVERSITY</w:t>
    </w:r>
    <w:r w:rsidR="00D04DD2">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C1559">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D04DD2">
    <w:pPr>
      <w:pStyle w:val="Header"/>
      <w:rPr>
        <w:rStyle w:val="Strong"/>
      </w:rPr>
    </w:pPr>
    <w:r>
      <w:t xml:space="preserve">Running head: </w:t>
    </w:r>
    <w:r w:rsidR="00996A53">
      <w:t>WORKPLACE DIVERSITY</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C1559">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343257A"/>
    <w:multiLevelType w:val="multilevel"/>
    <w:tmpl w:val="C046C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BCD4324"/>
    <w:multiLevelType w:val="hybridMultilevel"/>
    <w:tmpl w:val="21D07D66"/>
    <w:lvl w:ilvl="0" w:tplc="F6E450D0">
      <w:start w:val="1"/>
      <w:numFmt w:val="bullet"/>
      <w:lvlText w:val=""/>
      <w:lvlJc w:val="left"/>
      <w:pPr>
        <w:tabs>
          <w:tab w:val="num" w:pos="1800"/>
        </w:tabs>
        <w:ind w:left="1800" w:hanging="360"/>
      </w:pPr>
      <w:rPr>
        <w:rFonts w:ascii="Symbol" w:hAnsi="Symbol" w:hint="default"/>
      </w:rPr>
    </w:lvl>
    <w:lvl w:ilvl="1" w:tplc="96BE71B0" w:tentative="1">
      <w:start w:val="1"/>
      <w:numFmt w:val="bullet"/>
      <w:lvlText w:val="o"/>
      <w:lvlJc w:val="left"/>
      <w:pPr>
        <w:tabs>
          <w:tab w:val="num" w:pos="1800"/>
        </w:tabs>
        <w:ind w:left="1800" w:hanging="360"/>
      </w:pPr>
      <w:rPr>
        <w:rFonts w:ascii="Courier New" w:hAnsi="Courier New" w:hint="default"/>
      </w:rPr>
    </w:lvl>
    <w:lvl w:ilvl="2" w:tplc="EF7E6BFC" w:tentative="1">
      <w:start w:val="1"/>
      <w:numFmt w:val="bullet"/>
      <w:lvlText w:val=""/>
      <w:lvlJc w:val="left"/>
      <w:pPr>
        <w:tabs>
          <w:tab w:val="num" w:pos="2520"/>
        </w:tabs>
        <w:ind w:left="2520" w:hanging="360"/>
      </w:pPr>
      <w:rPr>
        <w:rFonts w:ascii="Wingdings" w:hAnsi="Wingdings" w:hint="default"/>
      </w:rPr>
    </w:lvl>
    <w:lvl w:ilvl="3" w:tplc="419E99A6" w:tentative="1">
      <w:start w:val="1"/>
      <w:numFmt w:val="bullet"/>
      <w:lvlText w:val=""/>
      <w:lvlJc w:val="left"/>
      <w:pPr>
        <w:tabs>
          <w:tab w:val="num" w:pos="3240"/>
        </w:tabs>
        <w:ind w:left="3240" w:hanging="360"/>
      </w:pPr>
      <w:rPr>
        <w:rFonts w:ascii="Symbol" w:hAnsi="Symbol" w:hint="default"/>
      </w:rPr>
    </w:lvl>
    <w:lvl w:ilvl="4" w:tplc="24287240" w:tentative="1">
      <w:start w:val="1"/>
      <w:numFmt w:val="bullet"/>
      <w:lvlText w:val="o"/>
      <w:lvlJc w:val="left"/>
      <w:pPr>
        <w:tabs>
          <w:tab w:val="num" w:pos="3960"/>
        </w:tabs>
        <w:ind w:left="3960" w:hanging="360"/>
      </w:pPr>
      <w:rPr>
        <w:rFonts w:ascii="Courier New" w:hAnsi="Courier New" w:hint="default"/>
      </w:rPr>
    </w:lvl>
    <w:lvl w:ilvl="5" w:tplc="A60CA66C" w:tentative="1">
      <w:start w:val="1"/>
      <w:numFmt w:val="bullet"/>
      <w:lvlText w:val=""/>
      <w:lvlJc w:val="left"/>
      <w:pPr>
        <w:tabs>
          <w:tab w:val="num" w:pos="4680"/>
        </w:tabs>
        <w:ind w:left="4680" w:hanging="360"/>
      </w:pPr>
      <w:rPr>
        <w:rFonts w:ascii="Wingdings" w:hAnsi="Wingdings" w:hint="default"/>
      </w:rPr>
    </w:lvl>
    <w:lvl w:ilvl="6" w:tplc="2A5A3C74" w:tentative="1">
      <w:start w:val="1"/>
      <w:numFmt w:val="bullet"/>
      <w:lvlText w:val=""/>
      <w:lvlJc w:val="left"/>
      <w:pPr>
        <w:tabs>
          <w:tab w:val="num" w:pos="5400"/>
        </w:tabs>
        <w:ind w:left="5400" w:hanging="360"/>
      </w:pPr>
      <w:rPr>
        <w:rFonts w:ascii="Symbol" w:hAnsi="Symbol" w:hint="default"/>
      </w:rPr>
    </w:lvl>
    <w:lvl w:ilvl="7" w:tplc="85DCC442" w:tentative="1">
      <w:start w:val="1"/>
      <w:numFmt w:val="bullet"/>
      <w:lvlText w:val="o"/>
      <w:lvlJc w:val="left"/>
      <w:pPr>
        <w:tabs>
          <w:tab w:val="num" w:pos="6120"/>
        </w:tabs>
        <w:ind w:left="6120" w:hanging="360"/>
      </w:pPr>
      <w:rPr>
        <w:rFonts w:ascii="Courier New" w:hAnsi="Courier New" w:hint="default"/>
      </w:rPr>
    </w:lvl>
    <w:lvl w:ilvl="8" w:tplc="A244B982" w:tentative="1">
      <w:start w:val="1"/>
      <w:numFmt w:val="bullet"/>
      <w:lvlText w:val=""/>
      <w:lvlJc w:val="left"/>
      <w:pPr>
        <w:tabs>
          <w:tab w:val="num" w:pos="6840"/>
        </w:tabs>
        <w:ind w:left="6840" w:hanging="360"/>
      </w:pPr>
      <w:rPr>
        <w:rFonts w:ascii="Wingdings" w:hAnsi="Wingdings" w:hint="default"/>
      </w:r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1"/>
  </w:num>
  <w:num w:numId="15">
    <w:abstractNumId w:val="14"/>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304D1"/>
    <w:rsid w:val="000572E2"/>
    <w:rsid w:val="000A40AE"/>
    <w:rsid w:val="000D3F41"/>
    <w:rsid w:val="000F4997"/>
    <w:rsid w:val="001612E1"/>
    <w:rsid w:val="001876D4"/>
    <w:rsid w:val="0019666C"/>
    <w:rsid w:val="001A36A2"/>
    <w:rsid w:val="001C1559"/>
    <w:rsid w:val="001E7BA2"/>
    <w:rsid w:val="0020271C"/>
    <w:rsid w:val="00220896"/>
    <w:rsid w:val="0024476D"/>
    <w:rsid w:val="00260008"/>
    <w:rsid w:val="00355DCA"/>
    <w:rsid w:val="003A1781"/>
    <w:rsid w:val="003B57F7"/>
    <w:rsid w:val="0044720D"/>
    <w:rsid w:val="004542AF"/>
    <w:rsid w:val="004724D7"/>
    <w:rsid w:val="004A22BF"/>
    <w:rsid w:val="004E5905"/>
    <w:rsid w:val="004E59F7"/>
    <w:rsid w:val="0051314D"/>
    <w:rsid w:val="005143F0"/>
    <w:rsid w:val="00551A02"/>
    <w:rsid w:val="005534FA"/>
    <w:rsid w:val="00554C80"/>
    <w:rsid w:val="005827F5"/>
    <w:rsid w:val="005B3A43"/>
    <w:rsid w:val="005C39B5"/>
    <w:rsid w:val="005D3A03"/>
    <w:rsid w:val="00654B6E"/>
    <w:rsid w:val="0068150C"/>
    <w:rsid w:val="006A7000"/>
    <w:rsid w:val="006D099C"/>
    <w:rsid w:val="00722BDE"/>
    <w:rsid w:val="00752C9C"/>
    <w:rsid w:val="008002C0"/>
    <w:rsid w:val="008165EC"/>
    <w:rsid w:val="00823B48"/>
    <w:rsid w:val="00823F4A"/>
    <w:rsid w:val="008C5323"/>
    <w:rsid w:val="008C744F"/>
    <w:rsid w:val="008D477A"/>
    <w:rsid w:val="00923E01"/>
    <w:rsid w:val="009417DC"/>
    <w:rsid w:val="009909AC"/>
    <w:rsid w:val="00996A53"/>
    <w:rsid w:val="009A5493"/>
    <w:rsid w:val="009A6A3B"/>
    <w:rsid w:val="009C52FE"/>
    <w:rsid w:val="00A15350"/>
    <w:rsid w:val="00A214FE"/>
    <w:rsid w:val="00A55068"/>
    <w:rsid w:val="00AA63F1"/>
    <w:rsid w:val="00B17317"/>
    <w:rsid w:val="00B42635"/>
    <w:rsid w:val="00B823AA"/>
    <w:rsid w:val="00B916BC"/>
    <w:rsid w:val="00BA45DB"/>
    <w:rsid w:val="00BD4E71"/>
    <w:rsid w:val="00BF4184"/>
    <w:rsid w:val="00C0601E"/>
    <w:rsid w:val="00C2330D"/>
    <w:rsid w:val="00C31D30"/>
    <w:rsid w:val="00C44B53"/>
    <w:rsid w:val="00C979C4"/>
    <w:rsid w:val="00CD6E39"/>
    <w:rsid w:val="00CF6E91"/>
    <w:rsid w:val="00D04DD2"/>
    <w:rsid w:val="00D62B47"/>
    <w:rsid w:val="00D85B68"/>
    <w:rsid w:val="00DF199E"/>
    <w:rsid w:val="00E14B77"/>
    <w:rsid w:val="00E20177"/>
    <w:rsid w:val="00E372D2"/>
    <w:rsid w:val="00E6004D"/>
    <w:rsid w:val="00E62B28"/>
    <w:rsid w:val="00E81978"/>
    <w:rsid w:val="00E95642"/>
    <w:rsid w:val="00ED7DF3"/>
    <w:rsid w:val="00EE5314"/>
    <w:rsid w:val="00F178C3"/>
    <w:rsid w:val="00F379B7"/>
    <w:rsid w:val="00F37E41"/>
    <w:rsid w:val="00F41916"/>
    <w:rsid w:val="00F46704"/>
    <w:rsid w:val="00F525FA"/>
    <w:rsid w:val="00F8381E"/>
    <w:rsid w:val="00F92339"/>
    <w:rsid w:val="00FE0FEF"/>
    <w:rsid w:val="00FE664E"/>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3B57F7"/>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81339">
      <w:bodyDiv w:val="1"/>
      <w:marLeft w:val="0"/>
      <w:marRight w:val="0"/>
      <w:marTop w:val="0"/>
      <w:marBottom w:val="0"/>
      <w:divBdr>
        <w:top w:val="none" w:sz="0" w:space="0" w:color="auto"/>
        <w:left w:val="none" w:sz="0" w:space="0" w:color="auto"/>
        <w:bottom w:val="none" w:sz="0" w:space="0" w:color="auto"/>
        <w:right w:val="none" w:sz="0" w:space="0" w:color="auto"/>
      </w:divBdr>
    </w:div>
    <w:div w:id="391271649">
      <w:bodyDiv w:val="1"/>
      <w:marLeft w:val="0"/>
      <w:marRight w:val="0"/>
      <w:marTop w:val="0"/>
      <w:marBottom w:val="0"/>
      <w:divBdr>
        <w:top w:val="none" w:sz="0" w:space="0" w:color="auto"/>
        <w:left w:val="none" w:sz="0" w:space="0" w:color="auto"/>
        <w:bottom w:val="none" w:sz="0" w:space="0" w:color="auto"/>
        <w:right w:val="none" w:sz="0" w:space="0" w:color="auto"/>
      </w:divBdr>
    </w:div>
    <w:div w:id="549734776">
      <w:bodyDiv w:val="1"/>
      <w:marLeft w:val="0"/>
      <w:marRight w:val="0"/>
      <w:marTop w:val="0"/>
      <w:marBottom w:val="0"/>
      <w:divBdr>
        <w:top w:val="none" w:sz="0" w:space="0" w:color="auto"/>
        <w:left w:val="none" w:sz="0" w:space="0" w:color="auto"/>
        <w:bottom w:val="none" w:sz="0" w:space="0" w:color="auto"/>
        <w:right w:val="none" w:sz="0" w:space="0" w:color="auto"/>
      </w:divBdr>
    </w:div>
    <w:div w:id="995838461">
      <w:bodyDiv w:val="1"/>
      <w:marLeft w:val="0"/>
      <w:marRight w:val="0"/>
      <w:marTop w:val="0"/>
      <w:marBottom w:val="0"/>
      <w:divBdr>
        <w:top w:val="none" w:sz="0" w:space="0" w:color="auto"/>
        <w:left w:val="none" w:sz="0" w:space="0" w:color="auto"/>
        <w:bottom w:val="none" w:sz="0" w:space="0" w:color="auto"/>
        <w:right w:val="none" w:sz="0" w:space="0" w:color="auto"/>
      </w:divBdr>
    </w:div>
    <w:div w:id="1222670251">
      <w:bodyDiv w:val="1"/>
      <w:marLeft w:val="0"/>
      <w:marRight w:val="0"/>
      <w:marTop w:val="0"/>
      <w:marBottom w:val="0"/>
      <w:divBdr>
        <w:top w:val="none" w:sz="0" w:space="0" w:color="auto"/>
        <w:left w:val="none" w:sz="0" w:space="0" w:color="auto"/>
        <w:bottom w:val="none" w:sz="0" w:space="0" w:color="auto"/>
        <w:right w:val="none" w:sz="0" w:space="0" w:color="auto"/>
      </w:divBdr>
    </w:div>
    <w:div w:id="1293445093">
      <w:bodyDiv w:val="1"/>
      <w:marLeft w:val="0"/>
      <w:marRight w:val="0"/>
      <w:marTop w:val="0"/>
      <w:marBottom w:val="0"/>
      <w:divBdr>
        <w:top w:val="none" w:sz="0" w:space="0" w:color="auto"/>
        <w:left w:val="none" w:sz="0" w:space="0" w:color="auto"/>
        <w:bottom w:val="none" w:sz="0" w:space="0" w:color="auto"/>
        <w:right w:val="none" w:sz="0" w:space="0" w:color="auto"/>
      </w:divBdr>
    </w:div>
    <w:div w:id="1707172914">
      <w:bodyDiv w:val="1"/>
      <w:marLeft w:val="0"/>
      <w:marRight w:val="0"/>
      <w:marTop w:val="0"/>
      <w:marBottom w:val="0"/>
      <w:divBdr>
        <w:top w:val="none" w:sz="0" w:space="0" w:color="auto"/>
        <w:left w:val="none" w:sz="0" w:space="0" w:color="auto"/>
        <w:bottom w:val="none" w:sz="0" w:space="0" w:color="auto"/>
        <w:right w:val="none" w:sz="0" w:space="0" w:color="auto"/>
      </w:divBdr>
    </w:div>
    <w:div w:id="1756633054">
      <w:bodyDiv w:val="1"/>
      <w:marLeft w:val="0"/>
      <w:marRight w:val="0"/>
      <w:marTop w:val="0"/>
      <w:marBottom w:val="0"/>
      <w:divBdr>
        <w:top w:val="none" w:sz="0" w:space="0" w:color="auto"/>
        <w:left w:val="none" w:sz="0" w:space="0" w:color="auto"/>
        <w:bottom w:val="none" w:sz="0" w:space="0" w:color="auto"/>
        <w:right w:val="none" w:sz="0" w:space="0" w:color="auto"/>
      </w:divBdr>
    </w:div>
    <w:div w:id="1786653386">
      <w:bodyDiv w:val="1"/>
      <w:marLeft w:val="0"/>
      <w:marRight w:val="0"/>
      <w:marTop w:val="0"/>
      <w:marBottom w:val="0"/>
      <w:divBdr>
        <w:top w:val="none" w:sz="0" w:space="0" w:color="auto"/>
        <w:left w:val="none" w:sz="0" w:space="0" w:color="auto"/>
        <w:bottom w:val="none" w:sz="0" w:space="0" w:color="auto"/>
        <w:right w:val="none" w:sz="0" w:space="0" w:color="auto"/>
      </w:divBdr>
    </w:div>
    <w:div w:id="1905294158">
      <w:bodyDiv w:val="1"/>
      <w:marLeft w:val="0"/>
      <w:marRight w:val="0"/>
      <w:marTop w:val="0"/>
      <w:marBottom w:val="0"/>
      <w:divBdr>
        <w:top w:val="none" w:sz="0" w:space="0" w:color="auto"/>
        <w:left w:val="none" w:sz="0" w:space="0" w:color="auto"/>
        <w:bottom w:val="none" w:sz="0" w:space="0" w:color="auto"/>
        <w:right w:val="none" w:sz="0" w:space="0" w:color="auto"/>
      </w:divBdr>
    </w:div>
    <w:div w:id="1992322329">
      <w:bodyDiv w:val="1"/>
      <w:marLeft w:val="0"/>
      <w:marRight w:val="0"/>
      <w:marTop w:val="0"/>
      <w:marBottom w:val="0"/>
      <w:divBdr>
        <w:top w:val="none" w:sz="0" w:space="0" w:color="auto"/>
        <w:left w:val="none" w:sz="0" w:space="0" w:color="auto"/>
        <w:bottom w:val="none" w:sz="0" w:space="0" w:color="auto"/>
        <w:right w:val="none" w:sz="0" w:space="0" w:color="auto"/>
      </w:divBdr>
    </w:div>
    <w:div w:id="211717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9B3AA2">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9B3AA2">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321589"/>
    <w:rsid w:val="00722BDE"/>
    <w:rsid w:val="00867EDC"/>
    <w:rsid w:val="009B3AA2"/>
    <w:rsid w:val="00A91B7B"/>
    <w:rsid w:val="00B466CB"/>
    <w:rsid w:val="00CC319A"/>
    <w:rsid w:val="00D1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EEO18</b:Tag>
    <b:SourceType>InternetSite</b:SourceType>
    <b:Guid>{E393E976-9B6E-45A6-968B-F189C7D747E6}</b:Guid>
    <b:Title>Harassment</b:Title>
    <b:Year>2018</b:Year>
    <b:Author>
      <b:Author>
        <b:Corporate>EEOC</b:Corporate>
      </b:Author>
    </b:Author>
    <b:InternetSiteTitle>U.S. Equal Employment Opportunity Commission</b:InternetSiteTitle>
    <b:URL>https://www.eeoc.gov/laws/types/harassment.cfm</b:URL>
    <b:YearAccessed>2019</b:YearAccessed>
    <b:MonthAccessed>May</b:MonthAccessed>
    <b:DayAccessed>19</b:DayAccessed>
    <b:RefOrder>2</b:RefOrder>
  </b:Source>
  <b:Source>
    <b:Tag>Eng15</b:Tag>
    <b:SourceType>Book</b:SourceType>
    <b:Guid>{CAA064F5-89DA-4268-A28E-0A57C7231E51}</b:Guid>
    <b:Title>The essential guide to handling workplace harassment &amp; discrimination</b:Title>
    <b:Year>2015</b:Year>
    <b:Author>
      <b:Author>
        <b:NameList>
          <b:Person>
            <b:Last>England</b:Last>
            <b:First>Deborah</b:First>
            <b:Middle>C</b:Middle>
          </b:Person>
        </b:NameList>
      </b:Author>
    </b:Author>
    <b:City>Berkeley, CA</b:City>
    <b:Publisher>Nolo</b:Publisher>
    <b:Edition>3rd</b:Edition>
    <b:RefOrder>4</b:RefOrder>
  </b:Source>
  <b:Source>
    <b:Tag>DRE97</b:Tag>
    <b:SourceType>InternetSite</b:SourceType>
    <b:Guid>{A0B513E1-CF7E-4FDB-B924-ECF2B397066C}</b:Guid>
    <b:Title>Restoring Regard For The “Regarded As” Prong</b:Title>
    <b:Year>1997</b:Year>
    <b:Author>
      <b:Author>
        <b:Corporate>DREDF</b:Corporate>
      </b:Author>
    </b:Author>
    <b:InternetSiteTitle>Disability Rights Education &amp; Defense Fund</b:InternetSiteTitle>
    <b:URL>https://dredf.org/news/publications/restoring-regard-for-the-regarded-as-prong/</b:URL>
    <b:YearAccessed>2019</b:YearAccessed>
    <b:MonthAccessed>May</b:MonthAccessed>
    <b:DayAccessed>19</b:DayAccessed>
    <b:RefOrder>3</b:RefOrder>
  </b:Source>
  <b:Source>
    <b:Tag>Zei</b:Tag>
    <b:SourceType>JournalArticle</b:SourceType>
    <b:Guid>{8B4F9E53-50E3-4988-91EC-4D6BF3961ED1}</b:Guid>
    <b:Author>
      <b:Author>
        <b:NameList>
          <b:Person>
            <b:Last>Zeidner</b:Last>
            <b:First>Rita</b:First>
          </b:Person>
        </b:NameList>
      </b:Author>
    </b:Author>
    <b:Title>Untangling the Fmla</b:Title>
    <b:Publisher>H</b:Publisher>
    <b:JournalName>HR Magazine</b:JournalName>
    <b:Volume>63</b:Volume>
    <b:Issue>2</b:Issue>
    <b:Year>2018</b:Year>
    <b:Pages>28-33</b:Pages>
    <b:URL>https://eds.b.ebscohost.com/eds/viewarticle/render?data=dGJyMPPp44rp2%2fdV0%2bnjisfk5Ie46fKK3%2b%2fjiqzj34HspON88aPqgfTbvk2tp7dHsKavUZ6nuEuvsLNOnrfLPvLo34bx1%2bGM5%2bXsgeKzr0m0q7BQs6aySqTi34bls%2bOGpNrgVeDq5j7y1%2bVVv8Skeeyzr0q2qbJOsKuwPuTl8IXf6ruI4tzEjer</b:URL>
    <b:RefOrder>6</b:RefOrder>
  </b:Source>
  <b:Source>
    <b:Tag>Mic04</b:Tag>
    <b:SourceType>JournalArticle</b:SourceType>
    <b:Guid>{02DC7376-BF4B-4BE3-BEBF-D414B8E21BDA}</b:Guid>
    <b:Title>Religious Discrimination under Title VII</b:Title>
    <b:JournalName>Employment Discrimination</b:JournalName>
    <b:Year>2004</b:Year>
    <b:Pages>539-577</b:Pages>
    <b:Author>
      <b:Author>
        <b:NameList>
          <b:Person>
            <b:Last>Zimmer</b:Last>
            <b:First>Michael</b:First>
            <b:Middle>J.</b:Middle>
          </b:Person>
        </b:NameList>
      </b:Author>
    </b:Author>
    <b:Volume>2</b:Volume>
    <b:RefOrder>5</b:RefOrder>
  </b:Source>
  <b:Source>
    <b:Tag>Bol05</b:Tag>
    <b:SourceType>Book</b:SourceType>
    <b:Guid>{F8882700-D106-4851-82C6-082194A2ED9B}</b:Guid>
    <b:Title>Sexual Harassment in the Workplace</b:Title>
    <b:Year>2005</b:Year>
    <b:Author>
      <b:Author>
        <b:NameList>
          <b:Person>
            <b:Last>Boland</b:Last>
            <b:First>Mary</b:First>
            <b:Middle>L.</b:Middle>
          </b:Person>
        </b:NameList>
      </b:Author>
    </b:Author>
    <b:City>Naperville, IL</b:City>
    <b:Publisher>Sourcebooks, Inc.</b:Publisher>
    <b:Edition>1st</b:Edition>
    <b:RefOrder>1</b:RefOrder>
  </b:Source>
</b:Sources>
</file>

<file path=customXml/itemProps1.xml><?xml version="1.0" encoding="utf-8"?>
<ds:datastoreItem xmlns:ds="http://schemas.openxmlformats.org/officeDocument/2006/customXml" ds:itemID="{7A57249D-1823-45F2-A184-D591B27B3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2019-05-18T09:29:00Z</dcterms:created>
  <dcterms:modified xsi:type="dcterms:W3CDTF">2019-05-19T05:45:00Z</dcterms:modified>
</cp:coreProperties>
</file>