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A03" w:rsidRDefault="002A2A03"/>
    <w:p w:rsidR="002A2A03" w:rsidRDefault="002A2A03" w:rsidP="001A0A79">
      <w:pPr>
        <w:ind w:firstLine="0"/>
      </w:pPr>
    </w:p>
    <w:p w:rsidR="002A2A03" w:rsidRDefault="002A2A03"/>
    <w:p w:rsidR="002A2A03" w:rsidRDefault="002A2A03"/>
    <w:p w:rsidR="002A2A03" w:rsidRDefault="002A2A03"/>
    <w:p w:rsidR="002A2A03" w:rsidRDefault="002A2A03">
      <w:pPr>
        <w:jc w:val="center"/>
      </w:pPr>
      <w:r>
        <w:t>Full Title of Your Paper Here</w:t>
      </w:r>
    </w:p>
    <w:p w:rsidR="002A2A03" w:rsidRDefault="002A2A03">
      <w:pPr>
        <w:jc w:val="center"/>
      </w:pPr>
      <w:r>
        <w:t xml:space="preserve">Your </w:t>
      </w:r>
      <w:proofErr w:type="gramStart"/>
      <w:r>
        <w:t>Name  (</w:t>
      </w:r>
      <w:proofErr w:type="gramEnd"/>
      <w:r>
        <w:t>First M. Last)</w:t>
      </w:r>
    </w:p>
    <w:p w:rsidR="002A2A03" w:rsidRDefault="002A2A03">
      <w:pPr>
        <w:jc w:val="center"/>
      </w:pPr>
      <w:r>
        <w:t>School or Institution Name (University at Place or Town, State)</w:t>
      </w:r>
    </w:p>
    <w:p w:rsidR="00866B72" w:rsidRDefault="00866B72" w:rsidP="00866B72">
      <w:pPr>
        <w:ind w:firstLine="0"/>
      </w:pPr>
    </w:p>
    <w:p w:rsidR="00866B72" w:rsidRDefault="00866B72" w:rsidP="00866B72">
      <w:pPr>
        <w:ind w:firstLine="0"/>
      </w:pPr>
    </w:p>
    <w:p w:rsidR="00866B72" w:rsidRDefault="00866B72" w:rsidP="00866B72">
      <w:pPr>
        <w:ind w:firstLine="0"/>
      </w:pPr>
    </w:p>
    <w:p w:rsidR="00866B72" w:rsidRDefault="00866B72" w:rsidP="00866B72">
      <w:pPr>
        <w:ind w:firstLine="0"/>
      </w:pPr>
    </w:p>
    <w:p w:rsidR="00866B72" w:rsidRDefault="00866B72" w:rsidP="00866B72">
      <w:pPr>
        <w:ind w:firstLine="0"/>
      </w:pPr>
    </w:p>
    <w:p w:rsidR="00866B72" w:rsidRDefault="00866B72" w:rsidP="00866B72">
      <w:pPr>
        <w:ind w:firstLine="0"/>
      </w:pPr>
    </w:p>
    <w:p w:rsidR="00866B72" w:rsidRDefault="00866B72" w:rsidP="00866B72">
      <w:pPr>
        <w:ind w:firstLine="0"/>
      </w:pPr>
    </w:p>
    <w:p w:rsidR="00866B72" w:rsidRDefault="00866B72" w:rsidP="00866B72">
      <w:pPr>
        <w:ind w:firstLine="0"/>
      </w:pPr>
    </w:p>
    <w:p w:rsidR="00866B72" w:rsidRDefault="00866B72" w:rsidP="00866B72">
      <w:pPr>
        <w:ind w:firstLine="0"/>
      </w:pPr>
    </w:p>
    <w:p w:rsidR="00866B72" w:rsidRDefault="00866B72" w:rsidP="00866B72">
      <w:pPr>
        <w:ind w:firstLine="0"/>
      </w:pPr>
    </w:p>
    <w:p w:rsidR="00866B72" w:rsidRDefault="00866B72" w:rsidP="00866B72">
      <w:pPr>
        <w:ind w:firstLine="0"/>
      </w:pPr>
    </w:p>
    <w:p w:rsidR="00866B72" w:rsidRDefault="00866B72" w:rsidP="00866B72">
      <w:pPr>
        <w:ind w:firstLine="0"/>
      </w:pPr>
    </w:p>
    <w:p w:rsidR="00866B72" w:rsidRDefault="00866B72" w:rsidP="00866B72">
      <w:pPr>
        <w:ind w:firstLine="0"/>
      </w:pPr>
    </w:p>
    <w:p w:rsidR="00866B72" w:rsidRDefault="00866B72" w:rsidP="00866B72">
      <w:pPr>
        <w:ind w:firstLine="0"/>
      </w:pPr>
    </w:p>
    <w:p w:rsidR="00866B72" w:rsidRDefault="00866B72" w:rsidP="00866B72">
      <w:pPr>
        <w:ind w:firstLine="0"/>
      </w:pPr>
      <w:r>
        <w:t xml:space="preserve"> </w:t>
      </w:r>
    </w:p>
    <w:p w:rsidR="0034776C" w:rsidRDefault="00D20B0F" w:rsidP="0034776C">
      <w:pPr>
        <w:ind w:firstLine="0"/>
        <w:jc w:val="center"/>
      </w:pPr>
      <w:r>
        <w:lastRenderedPageBreak/>
        <w:t>Complete</w:t>
      </w:r>
      <w:r w:rsidR="002A2A03">
        <w:t xml:space="preserve"> Title of Your Paper</w:t>
      </w:r>
      <w:r>
        <w:t xml:space="preserve"> Here</w:t>
      </w:r>
    </w:p>
    <w:p w:rsidR="00951DEB" w:rsidRPr="00866B72" w:rsidRDefault="0034776C" w:rsidP="00866B72">
      <w:r>
        <w:t xml:space="preserve">Culture </w:t>
      </w:r>
      <w:proofErr w:type="gramStart"/>
      <w:r>
        <w:t>can be defined</w:t>
      </w:r>
      <w:proofErr w:type="gramEnd"/>
      <w:r>
        <w:t xml:space="preserve"> as the sum total of the experience</w:t>
      </w:r>
      <w:r w:rsidR="00951DEB">
        <w:t>s</w:t>
      </w:r>
      <w:r>
        <w:t xml:space="preserve"> </w:t>
      </w:r>
      <w:r w:rsidR="00D34CF4">
        <w:t xml:space="preserve">of the group of people existing under a particular situation. </w:t>
      </w:r>
      <w:r w:rsidR="006C6E01">
        <w:t xml:space="preserve">A group shares </w:t>
      </w:r>
      <w:r w:rsidR="00951DEB">
        <w:t>many</w:t>
      </w:r>
      <w:r w:rsidR="00B134D7">
        <w:t xml:space="preserve"> common elements. </w:t>
      </w:r>
      <w:r w:rsidR="00951DEB">
        <w:t xml:space="preserve">Culture is the how people in a group live and spend their lives together. The society’s values and </w:t>
      </w:r>
      <w:r w:rsidR="000341FA">
        <w:t xml:space="preserve">norms are a vital part of the culture. </w:t>
      </w:r>
      <w:r w:rsidR="0053705C">
        <w:t xml:space="preserve">Culture defines as to how </w:t>
      </w:r>
      <w:proofErr w:type="gramStart"/>
      <w:r w:rsidR="0053705C">
        <w:t>a group of people make</w:t>
      </w:r>
      <w:proofErr w:type="gramEnd"/>
      <w:r w:rsidR="0053705C">
        <w:t xml:space="preserve"> meaning of the world around them. It includes language, </w:t>
      </w:r>
      <w:r w:rsidR="00A45D0D">
        <w:t>customs, norms, food, dressing, occupations, marriage and child rearing practices, social gatherings,</w:t>
      </w:r>
      <w:r w:rsidR="00D00D7E">
        <w:t xml:space="preserve"> learning, </w:t>
      </w:r>
      <w:r w:rsidR="00981328">
        <w:t>schooling</w:t>
      </w:r>
      <w:r w:rsidR="00D00D7E">
        <w:t xml:space="preserve">, </w:t>
      </w:r>
      <w:proofErr w:type="gramStart"/>
      <w:r w:rsidR="00D00D7E">
        <w:t>dependencies</w:t>
      </w:r>
      <w:proofErr w:type="gramEnd"/>
      <w:r w:rsidR="00D00D7E">
        <w:t xml:space="preserve">, reactions to </w:t>
      </w:r>
      <w:r w:rsidR="003B1D5A">
        <w:t>disorders</w:t>
      </w:r>
      <w:r w:rsidR="00D00D7E">
        <w:t xml:space="preserve">, buying/selling, </w:t>
      </w:r>
      <w:r w:rsidR="003B1D5A">
        <w:t xml:space="preserve">communication, entertainment, habits, leisure, </w:t>
      </w:r>
      <w:r w:rsidR="004D50E6">
        <w:t xml:space="preserve">family life, and everyday matters. The seasons, climate, resources, politics, economy, literature, mass media and </w:t>
      </w:r>
      <w:r w:rsidR="00137590">
        <w:t>popular public opinions make a huge impact on the cultu</w:t>
      </w:r>
      <w:r w:rsidR="00CE3B2D">
        <w:t xml:space="preserve">re. Culture is not stagnant. </w:t>
      </w:r>
      <w:r w:rsidR="00901D01">
        <w:t xml:space="preserve">It </w:t>
      </w:r>
      <w:proofErr w:type="gramStart"/>
      <w:r w:rsidR="00901D01">
        <w:t>is built and re-built,</w:t>
      </w:r>
      <w:proofErr w:type="gramEnd"/>
      <w:r w:rsidR="00901D01">
        <w:t xml:space="preserve"> but the major elements remain the same in it. </w:t>
      </w:r>
      <w:r w:rsidR="00442202">
        <w:t xml:space="preserve">Culture varies from place to place, house to house, city to city and country to </w:t>
      </w:r>
      <w:r w:rsidR="00442202" w:rsidRPr="000D7D66">
        <w:t>country</w:t>
      </w:r>
      <w:r w:rsidR="000D7D66" w:rsidRPr="000D7D66">
        <w:t xml:space="preserve"> </w:t>
      </w:r>
      <w:r w:rsidR="000D7D66" w:rsidRPr="000D7D66">
        <w:rPr>
          <w:color w:val="000000"/>
          <w:shd w:val="clear" w:color="auto" w:fill="FFFFFF"/>
        </w:rPr>
        <w:t>(</w:t>
      </w:r>
      <w:proofErr w:type="spellStart"/>
      <w:r w:rsidR="000D7D66" w:rsidRPr="000D7D66">
        <w:rPr>
          <w:color w:val="000000"/>
          <w:shd w:val="clear" w:color="auto" w:fill="FFFFFF"/>
        </w:rPr>
        <w:t>Beriss</w:t>
      </w:r>
      <w:proofErr w:type="spellEnd"/>
      <w:r w:rsidR="000D7D66" w:rsidRPr="000D7D66">
        <w:rPr>
          <w:color w:val="000000"/>
          <w:shd w:val="clear" w:color="auto" w:fill="FFFFFF"/>
        </w:rPr>
        <w:t>, 2000)</w:t>
      </w:r>
      <w:r w:rsidR="00442202">
        <w:t xml:space="preserve">. </w:t>
      </w:r>
    </w:p>
    <w:p w:rsidR="000D371A" w:rsidRDefault="00D33AA2" w:rsidP="00866B72">
      <w:r>
        <w:t>T</w:t>
      </w:r>
      <w:r w:rsidR="00272941">
        <w:t>hese elements are important, and the topic under study is the</w:t>
      </w:r>
      <w:r w:rsidR="00994D86">
        <w:t xml:space="preserve"> perception of health, health decision making, </w:t>
      </w:r>
      <w:r w:rsidR="00473DC4">
        <w:t xml:space="preserve">and health behaviours. </w:t>
      </w:r>
      <w:r w:rsidR="00B67478">
        <w:t xml:space="preserve">The culture influences the idea of how the illness </w:t>
      </w:r>
      <w:proofErr w:type="gramStart"/>
      <w:r w:rsidR="00B67478">
        <w:t xml:space="preserve">is perceived </w:t>
      </w:r>
      <w:r w:rsidR="003A1294">
        <w:t>and catered</w:t>
      </w:r>
      <w:r w:rsidR="00B67478">
        <w:t xml:space="preserve"> in the context of the </w:t>
      </w:r>
      <w:r w:rsidR="003A1294">
        <w:t>culture</w:t>
      </w:r>
      <w:proofErr w:type="gramEnd"/>
      <w:r w:rsidR="003A1294">
        <w:t>.</w:t>
      </w:r>
      <w:r w:rsidR="0015095C">
        <w:t xml:space="preserve"> In some cultures, like those in African countries, </w:t>
      </w:r>
      <w:r w:rsidR="004C45C2">
        <w:t>the minor il</w:t>
      </w:r>
      <w:r w:rsidR="00C913D7">
        <w:t xml:space="preserve">lnesses are difficult to treat and covers </w:t>
      </w:r>
      <w:r w:rsidR="00664495">
        <w:t>many</w:t>
      </w:r>
      <w:r w:rsidR="00C913D7">
        <w:t xml:space="preserve"> issues due to lack of resources to deal with it. While in first world, developed countries, </w:t>
      </w:r>
      <w:r w:rsidR="000D1DC1">
        <w:t>th</w:t>
      </w:r>
      <w:r w:rsidR="003F75F5">
        <w:t xml:space="preserve">e major illnesses </w:t>
      </w:r>
      <w:proofErr w:type="gramStart"/>
      <w:r w:rsidR="003F75F5">
        <w:t>are seen to be more catered</w:t>
      </w:r>
      <w:proofErr w:type="gramEnd"/>
      <w:r w:rsidR="003F75F5">
        <w:t xml:space="preserve"> and there are facilities to treat them. The visiting to the doctor and availing the health facilities </w:t>
      </w:r>
      <w:proofErr w:type="gramStart"/>
      <w:r w:rsidR="0098330C">
        <w:t>is also influenced</w:t>
      </w:r>
      <w:proofErr w:type="gramEnd"/>
      <w:r w:rsidR="0098330C">
        <w:t xml:space="preserve"> by the culture. The cultural elements help in the perception of disease and </w:t>
      </w:r>
      <w:r w:rsidR="00B41877">
        <w:t xml:space="preserve">health behavior determination. The health </w:t>
      </w:r>
      <w:r w:rsidR="00193756">
        <w:t xml:space="preserve">behaviors relate to the process by which there </w:t>
      </w:r>
      <w:r w:rsidR="006247F1">
        <w:t xml:space="preserve">is an attitude formation towards the health behavior. Every culture comes with different health related practices. </w:t>
      </w:r>
      <w:r w:rsidR="00420361">
        <w:t xml:space="preserve">The health behaviors, keeping clean and ensuring safety measures </w:t>
      </w:r>
      <w:r w:rsidR="003D6C7D">
        <w:t xml:space="preserve">are all a part of the process in which </w:t>
      </w:r>
      <w:r w:rsidR="00491ACC">
        <w:t xml:space="preserve">health is the primary factor. The education, schooling, family </w:t>
      </w:r>
      <w:r w:rsidR="00491ACC">
        <w:lastRenderedPageBreak/>
        <w:t xml:space="preserve">practices and schooling are all determinants of how the people see health issues. For example, people with lower education have a tendency to see mental disorders as a </w:t>
      </w:r>
      <w:r w:rsidR="00FD5101">
        <w:t xml:space="preserve">super-natural phenomenon. </w:t>
      </w:r>
      <w:r w:rsidR="00E06FEE">
        <w:t>People with a lack of access to better health facilities are prone to choose cheaper self-medication services and</w:t>
      </w:r>
      <w:r w:rsidR="001F4A9B">
        <w:t xml:space="preserve"> use of </w:t>
      </w:r>
      <w:proofErr w:type="gramStart"/>
      <w:r w:rsidR="001F4A9B">
        <w:t>home-made</w:t>
      </w:r>
      <w:proofErr w:type="gramEnd"/>
      <w:r w:rsidR="001F4A9B">
        <w:t xml:space="preserve"> remedies to cure disorders. Without the cultural impact and economic development, the people a</w:t>
      </w:r>
      <w:r w:rsidR="000D371A">
        <w:t xml:space="preserve">re prone to develop the negative health behaviors or believes. For example, in India, many young girls and women refrain from eating certain foods during pregnancy as it is considered </w:t>
      </w:r>
      <w:proofErr w:type="gramStart"/>
      <w:r w:rsidR="000D371A">
        <w:t>to be harmful</w:t>
      </w:r>
      <w:proofErr w:type="gramEnd"/>
      <w:r w:rsidR="000D371A">
        <w:t xml:space="preserve"> for the fetus. This custom has no logic or scientific evidence but it </w:t>
      </w:r>
      <w:proofErr w:type="gramStart"/>
      <w:r w:rsidR="000D371A">
        <w:t>is related</w:t>
      </w:r>
      <w:proofErr w:type="gramEnd"/>
      <w:r w:rsidR="000D371A">
        <w:t xml:space="preserve"> to the followed customs and rituals</w:t>
      </w:r>
      <w:r w:rsidR="00866B72" w:rsidRPr="00866B72">
        <w:t xml:space="preserve"> </w:t>
      </w:r>
      <w:r w:rsidR="00866B72" w:rsidRPr="00866B72">
        <w:rPr>
          <w:color w:val="000000"/>
          <w:shd w:val="clear" w:color="auto" w:fill="FFFFFF"/>
        </w:rPr>
        <w:t>(</w:t>
      </w:r>
      <w:proofErr w:type="spellStart"/>
      <w:r w:rsidR="00866B72" w:rsidRPr="00866B72">
        <w:rPr>
          <w:color w:val="000000"/>
          <w:shd w:val="clear" w:color="auto" w:fill="FFFFFF"/>
        </w:rPr>
        <w:t>Petrakova</w:t>
      </w:r>
      <w:proofErr w:type="spellEnd"/>
      <w:r w:rsidR="00866B72" w:rsidRPr="00866B72">
        <w:rPr>
          <w:color w:val="000000"/>
          <w:shd w:val="clear" w:color="auto" w:fill="FFFFFF"/>
        </w:rPr>
        <w:t>, 2007)</w:t>
      </w:r>
      <w:r w:rsidR="00866B72">
        <w:rPr>
          <w:color w:val="000000"/>
          <w:shd w:val="clear" w:color="auto" w:fill="FFFFFF"/>
        </w:rPr>
        <w:t>.</w:t>
      </w:r>
    </w:p>
    <w:p w:rsidR="0055511C" w:rsidRDefault="0055511C" w:rsidP="000D371A">
      <w:r>
        <w:t xml:space="preserve">My own rearing has been in a middle class family of the American descent. </w:t>
      </w:r>
      <w:r w:rsidR="003F7CF5">
        <w:t xml:space="preserve">I have the education, parental impact and learning that has improved me in my health behaviours and health related </w:t>
      </w:r>
      <w:r w:rsidR="00CD1B88">
        <w:t>decision-making</w:t>
      </w:r>
      <w:r w:rsidR="003F7CF5">
        <w:t>.</w:t>
      </w:r>
      <w:r w:rsidR="00495C77">
        <w:t xml:space="preserve"> I am a fitness lover and a lover of green eating habits. I exercise well and try to drink as many glasses of water as I can, in a day. </w:t>
      </w:r>
      <w:r w:rsidR="0095134F">
        <w:t xml:space="preserve">I get regular checkups, twice a year from a general physician. In case of a minor illness like flu etc. I avoid self-medication and go straight </w:t>
      </w:r>
      <w:r w:rsidR="00A80C6B">
        <w:t xml:space="preserve">to a doctor. My </w:t>
      </w:r>
      <w:r w:rsidR="008D5896">
        <w:t>health-based</w:t>
      </w:r>
      <w:r w:rsidR="00A80C6B">
        <w:t xml:space="preserve"> </w:t>
      </w:r>
      <w:r w:rsidR="008D5896">
        <w:t>decision-making</w:t>
      </w:r>
      <w:r w:rsidR="00A80C6B">
        <w:t xml:space="preserve"> comes from my own</w:t>
      </w:r>
      <w:r w:rsidR="00FE40A1">
        <w:t xml:space="preserve"> active involvement in the </w:t>
      </w:r>
      <w:r w:rsidR="008D5896">
        <w:t xml:space="preserve">healthy lifestyle practices. </w:t>
      </w:r>
      <w:r w:rsidR="0015009F">
        <w:t xml:space="preserve">I take pro-active approach and </w:t>
      </w:r>
      <w:r w:rsidR="00AE0E28">
        <w:t>decision-making</w:t>
      </w:r>
      <w:r w:rsidR="0015009F">
        <w:t xml:space="preserve"> behavior to improve my health. </w:t>
      </w:r>
      <w:r w:rsidR="0079319C">
        <w:t>Due to my upbringing in a modernized and health effective environment,</w:t>
      </w:r>
      <w:r w:rsidR="00CA07BD">
        <w:t xml:space="preserve"> </w:t>
      </w:r>
      <w:r w:rsidR="00CA07BD">
        <w:br/>
        <w:t xml:space="preserve">I find many practices of health as primitive in other cultures. US culture is based </w:t>
      </w:r>
      <w:proofErr w:type="gramStart"/>
      <w:r w:rsidR="00D76627">
        <w:t>on the basis of</w:t>
      </w:r>
      <w:proofErr w:type="gramEnd"/>
      <w:r w:rsidR="00D76627">
        <w:t xml:space="preserve"> the developments in health care and technology. </w:t>
      </w:r>
      <w:r w:rsidR="00CA07BD">
        <w:t xml:space="preserve">The other cultures have many </w:t>
      </w:r>
      <w:r w:rsidR="00D76627">
        <w:t xml:space="preserve">old and traditional values that </w:t>
      </w:r>
      <w:proofErr w:type="gramStart"/>
      <w:r w:rsidR="00D76627">
        <w:t>don’t</w:t>
      </w:r>
      <w:proofErr w:type="gramEnd"/>
      <w:r w:rsidR="00D76627">
        <w:t xml:space="preserve"> fit in the context of the development of the culture. </w:t>
      </w:r>
      <w:r w:rsidR="003D4B31">
        <w:t xml:space="preserve">For example, in China, rural areas practice </w:t>
      </w:r>
      <w:r w:rsidR="00FE23E7">
        <w:t>foot binding</w:t>
      </w:r>
      <w:r w:rsidR="003D4B31">
        <w:t xml:space="preserve"> to improve the fertility of a young woman. In Thailand, </w:t>
      </w:r>
      <w:r w:rsidR="00FE23E7">
        <w:t xml:space="preserve">the custom of eating only green vegetables during the lactation phase is a primitive practice. I </w:t>
      </w:r>
      <w:proofErr w:type="gramStart"/>
      <w:r w:rsidR="00FE23E7">
        <w:t>don’t</w:t>
      </w:r>
      <w:proofErr w:type="gramEnd"/>
      <w:r w:rsidR="00FE23E7">
        <w:t xml:space="preserve"> find </w:t>
      </w:r>
      <w:r w:rsidR="008174EB">
        <w:t>any such practice in the modern day America, but there are still some peopl</w:t>
      </w:r>
      <w:r w:rsidR="0095619B">
        <w:t xml:space="preserve">e who </w:t>
      </w:r>
      <w:r w:rsidR="0095619B">
        <w:lastRenderedPageBreak/>
        <w:t xml:space="preserve">doubt that vaccination is effective or medicines actually work. </w:t>
      </w:r>
      <w:r w:rsidR="007557AA">
        <w:t>Hence,</w:t>
      </w:r>
      <w:r w:rsidR="0095619B">
        <w:t xml:space="preserve"> the culture is a strong predictor of healthcare practices for all </w:t>
      </w:r>
      <w:r w:rsidR="007557AA">
        <w:t>stakeholders</w:t>
      </w:r>
      <w:r w:rsidR="0095619B">
        <w:t xml:space="preserve">. </w:t>
      </w:r>
    </w:p>
    <w:p w:rsidR="00543A82" w:rsidRPr="000D7D66" w:rsidRDefault="00C801CC" w:rsidP="000D7D66">
      <w:r w:rsidRPr="000D7D66">
        <w:t xml:space="preserve">Diversity of a culture and the cultural competence seem to be two </w:t>
      </w:r>
      <w:r w:rsidR="003764D0" w:rsidRPr="000D7D66">
        <w:t>much</w:t>
      </w:r>
      <w:r w:rsidRPr="000D7D66">
        <w:t xml:space="preserve"> differentiated idea</w:t>
      </w:r>
      <w:r w:rsidR="009943D9" w:rsidRPr="000D7D66">
        <w:t xml:space="preserve">s but they have a strong association </w:t>
      </w:r>
      <w:r w:rsidR="009B1A95" w:rsidRPr="000D7D66">
        <w:t xml:space="preserve">with each other. </w:t>
      </w:r>
      <w:r w:rsidR="00AC1CE0" w:rsidRPr="000D7D66">
        <w:rPr>
          <w:color w:val="000000"/>
          <w:shd w:val="clear" w:color="auto" w:fill="FFFFFF"/>
        </w:rPr>
        <w:t>Mitchell &amp; Bowell</w:t>
      </w:r>
      <w:r w:rsidR="009B1A95" w:rsidRPr="000D7D66">
        <w:rPr>
          <w:color w:val="000000"/>
          <w:shd w:val="clear" w:color="auto" w:fill="FFFFFF"/>
        </w:rPr>
        <w:t xml:space="preserve"> (2016)</w:t>
      </w:r>
      <w:r w:rsidR="003764D0" w:rsidRPr="000D7D66">
        <w:t xml:space="preserve"> </w:t>
      </w:r>
      <w:r w:rsidR="009943D9" w:rsidRPr="000D7D66">
        <w:t xml:space="preserve">describes the cultural competency as the ability to relate </w:t>
      </w:r>
      <w:r w:rsidR="0032005C" w:rsidRPr="000D7D66">
        <w:t xml:space="preserve">and work well with people of any cultural background. </w:t>
      </w:r>
      <w:r w:rsidR="006A0971" w:rsidRPr="000D7D66">
        <w:t>The cul</w:t>
      </w:r>
      <w:r w:rsidR="00C56C94" w:rsidRPr="000D7D66">
        <w:t xml:space="preserve">tural competency </w:t>
      </w:r>
      <w:r w:rsidR="00594481" w:rsidRPr="000D7D66">
        <w:t xml:space="preserve">allows the workers of any organization to be more diverse in approach and be more inclusive. </w:t>
      </w:r>
      <w:r w:rsidR="001925F9" w:rsidRPr="000D7D66">
        <w:t xml:space="preserve">Diversity, on the other hand, is the </w:t>
      </w:r>
      <w:r w:rsidR="0053720F" w:rsidRPr="000D7D66">
        <w:t>multiculturalism</w:t>
      </w:r>
      <w:r w:rsidR="00FE11C1" w:rsidRPr="000D7D66">
        <w:t xml:space="preserve"> (</w:t>
      </w:r>
      <w:proofErr w:type="spellStart"/>
      <w:r w:rsidR="00AC1CE0" w:rsidRPr="000D7D66">
        <w:t>Dawlin</w:t>
      </w:r>
      <w:proofErr w:type="spellEnd"/>
      <w:r w:rsidR="00AC1CE0" w:rsidRPr="000D7D66">
        <w:t>, 2012</w:t>
      </w:r>
      <w:r w:rsidR="00FE11C1" w:rsidRPr="000D7D66">
        <w:t>)</w:t>
      </w:r>
      <w:r w:rsidR="0053720F" w:rsidRPr="000D7D66">
        <w:t xml:space="preserve">. </w:t>
      </w:r>
      <w:r w:rsidR="005C313A" w:rsidRPr="000D7D66">
        <w:t xml:space="preserve">The </w:t>
      </w:r>
      <w:r w:rsidR="00BA251D" w:rsidRPr="000D7D66">
        <w:t>inclusion of different</w:t>
      </w:r>
      <w:r w:rsidR="00B40C7D" w:rsidRPr="000D7D66">
        <w:t xml:space="preserve"> cultures and different aspects </w:t>
      </w:r>
      <w:r w:rsidR="00D94E2B" w:rsidRPr="000D7D66">
        <w:t xml:space="preserve">religions, castes, ethnicities, nationalities and other areas increase the diversity of the culture. </w:t>
      </w:r>
      <w:r w:rsidR="00FE11C1" w:rsidRPr="000D7D66">
        <w:t xml:space="preserve">The research by </w:t>
      </w:r>
      <w:proofErr w:type="spellStart"/>
      <w:r w:rsidR="00F164A6" w:rsidRPr="000D7D66">
        <w:rPr>
          <w:color w:val="000000"/>
          <w:shd w:val="clear" w:color="auto" w:fill="FFFFFF"/>
        </w:rPr>
        <w:t>Kohlbry</w:t>
      </w:r>
      <w:proofErr w:type="spellEnd"/>
      <w:r w:rsidR="00F164A6" w:rsidRPr="000D7D66">
        <w:rPr>
          <w:color w:val="000000"/>
          <w:shd w:val="clear" w:color="auto" w:fill="FFFFFF"/>
        </w:rPr>
        <w:t>, (2016)</w:t>
      </w:r>
      <w:r w:rsidR="003764D0" w:rsidRPr="000D7D66">
        <w:rPr>
          <w:color w:val="000000"/>
        </w:rPr>
        <w:t xml:space="preserve"> </w:t>
      </w:r>
      <w:r w:rsidR="00760F2C" w:rsidRPr="000D7D66">
        <w:t xml:space="preserve">observed that culturally diverse </w:t>
      </w:r>
      <w:r w:rsidR="00336DAB" w:rsidRPr="000D7D66">
        <w:t xml:space="preserve">learning </w:t>
      </w:r>
      <w:r w:rsidR="00721516" w:rsidRPr="000D7D66">
        <w:t xml:space="preserve">of newly inducted employees </w:t>
      </w:r>
      <w:r w:rsidR="00336DAB" w:rsidRPr="000D7D66">
        <w:t xml:space="preserve">promotes the tolerance and improve the environment in the workplace. Another research by </w:t>
      </w:r>
      <w:r w:rsidR="0030063B" w:rsidRPr="000D7D66">
        <w:rPr>
          <w:color w:val="000000"/>
          <w:shd w:val="clear" w:color="auto" w:fill="FFFFFF"/>
        </w:rPr>
        <w:t>Bowers &amp; Newark (1995)</w:t>
      </w:r>
      <w:r w:rsidR="003764D0" w:rsidRPr="000D7D66">
        <w:rPr>
          <w:color w:val="000000"/>
        </w:rPr>
        <w:t xml:space="preserve"> </w:t>
      </w:r>
      <w:r w:rsidR="003E65C6" w:rsidRPr="000D7D66">
        <w:t xml:space="preserve">considered </w:t>
      </w:r>
      <w:r w:rsidR="003942E8" w:rsidRPr="000D7D66">
        <w:t xml:space="preserve">that the experiencing cultural diversity in childhood by school learning contributes strongly in developing the cultural competency later in life. Another research by </w:t>
      </w:r>
      <w:r w:rsidR="000D7D66" w:rsidRPr="000D7D66">
        <w:rPr>
          <w:color w:val="000000"/>
          <w:shd w:val="clear" w:color="auto" w:fill="FFFFFF"/>
        </w:rPr>
        <w:t>Fine, Johnson, &amp; Ryan, (2018)</w:t>
      </w:r>
      <w:r w:rsidR="000D7D66">
        <w:t xml:space="preserve"> </w:t>
      </w:r>
      <w:r w:rsidR="00FD5822" w:rsidRPr="003764D0">
        <w:t xml:space="preserve">observed that there is a strong correlation between </w:t>
      </w:r>
      <w:r w:rsidR="00721516" w:rsidRPr="003764D0">
        <w:t>the</w:t>
      </w:r>
      <w:r w:rsidR="008819C6" w:rsidRPr="003764D0">
        <w:t xml:space="preserve"> exposure to the</w:t>
      </w:r>
      <w:r w:rsidR="00721516" w:rsidRPr="003764D0">
        <w:t xml:space="preserve"> cultural diversity and </w:t>
      </w:r>
      <w:r w:rsidR="008819C6" w:rsidRPr="003764D0">
        <w:t xml:space="preserve">the knowledge of the cultural competency. It </w:t>
      </w:r>
      <w:proofErr w:type="gramStart"/>
      <w:r w:rsidR="008819C6" w:rsidRPr="003764D0">
        <w:t>was observed</w:t>
      </w:r>
      <w:proofErr w:type="gramEnd"/>
      <w:r w:rsidR="008819C6" w:rsidRPr="003764D0">
        <w:t xml:space="preserve"> that the both paradigms work hand-in-hand to improve the skills and competency of the worker</w:t>
      </w:r>
      <w:r w:rsidR="00143735" w:rsidRPr="003764D0">
        <w:t>s</w:t>
      </w:r>
      <w:r w:rsidR="008819C6" w:rsidRPr="003764D0">
        <w:t>.</w:t>
      </w:r>
      <w:r w:rsidR="00143735" w:rsidRPr="003764D0">
        <w:t xml:space="preserve"> The cultural competence allows the organizational negativity to </w:t>
      </w:r>
      <w:proofErr w:type="gramStart"/>
      <w:r w:rsidR="00143735" w:rsidRPr="003764D0">
        <w:t>be reduced</w:t>
      </w:r>
      <w:proofErr w:type="gramEnd"/>
      <w:r w:rsidR="00143735" w:rsidRPr="003764D0">
        <w:t xml:space="preserve">. The employees with a more diverse background tend to be more </w:t>
      </w:r>
      <w:r w:rsidR="00906416" w:rsidRPr="003764D0">
        <w:t xml:space="preserve">culturally competent and it allows them to be more diverse in </w:t>
      </w:r>
      <w:r w:rsidR="00543A82" w:rsidRPr="003764D0">
        <w:t xml:space="preserve">the </w:t>
      </w:r>
      <w:r w:rsidR="007C0237" w:rsidRPr="003764D0">
        <w:t xml:space="preserve">course of </w:t>
      </w:r>
      <w:r w:rsidR="00543A82" w:rsidRPr="003764D0">
        <w:t xml:space="preserve">their </w:t>
      </w:r>
      <w:r w:rsidR="007C0237" w:rsidRPr="003764D0">
        <w:t>action.</w:t>
      </w:r>
    </w:p>
    <w:p w:rsidR="00D44741" w:rsidRDefault="00622146" w:rsidP="00761C15">
      <w:r w:rsidRPr="00E2176F">
        <w:t xml:space="preserve">There are many methods by which the cultural competency </w:t>
      </w:r>
      <w:proofErr w:type="gramStart"/>
      <w:r w:rsidRPr="00E2176F">
        <w:t>can be improved</w:t>
      </w:r>
      <w:proofErr w:type="gramEnd"/>
      <w:r w:rsidRPr="00E2176F">
        <w:t xml:space="preserve"> by the </w:t>
      </w:r>
      <w:r w:rsidR="00A11C79" w:rsidRPr="00E2176F">
        <w:t>many measures</w:t>
      </w:r>
      <w:r w:rsidR="00D907E6">
        <w:t xml:space="preserve">, in the workplace settings. </w:t>
      </w:r>
      <w:r w:rsidR="00761C15">
        <w:t xml:space="preserve">The cultural competency </w:t>
      </w:r>
      <w:proofErr w:type="gramStart"/>
      <w:r w:rsidR="00761C15">
        <w:t>can be improved</w:t>
      </w:r>
      <w:proofErr w:type="gramEnd"/>
      <w:r w:rsidR="00761C15">
        <w:t xml:space="preserve"> as it allows the nurturance in the processes that has allowed me to become which there has been a development </w:t>
      </w:r>
      <w:r w:rsidR="00761C15">
        <w:lastRenderedPageBreak/>
        <w:t>of multiple paradigms</w:t>
      </w:r>
      <w:r w:rsidR="00D44741">
        <w:t xml:space="preserve">. Following measures </w:t>
      </w:r>
      <w:proofErr w:type="gramStart"/>
      <w:r w:rsidR="00D44741">
        <w:t>can be taken</w:t>
      </w:r>
      <w:proofErr w:type="gramEnd"/>
      <w:r w:rsidR="00D44741">
        <w:t xml:space="preserve"> by health care </w:t>
      </w:r>
      <w:r w:rsidR="0098512D">
        <w:t>practitioners</w:t>
      </w:r>
      <w:r w:rsidR="00D44741">
        <w:t xml:space="preserve"> to improve the health care related cultural competency.</w:t>
      </w:r>
    </w:p>
    <w:p w:rsidR="00D44741" w:rsidRDefault="00D44741" w:rsidP="00D44741">
      <w:pPr>
        <w:numPr>
          <w:ilvl w:val="0"/>
          <w:numId w:val="1"/>
        </w:numPr>
      </w:pPr>
      <w:r>
        <w:t>Induct the employees of all backgrounds. There can be a quota system, present to cater</w:t>
      </w:r>
      <w:r w:rsidR="00066B9C">
        <w:t xml:space="preserve"> the routine and services of people of all backgrounds. </w:t>
      </w:r>
    </w:p>
    <w:p w:rsidR="0098512D" w:rsidRDefault="0098512D" w:rsidP="00D44741">
      <w:pPr>
        <w:numPr>
          <w:ilvl w:val="0"/>
          <w:numId w:val="1"/>
        </w:numPr>
      </w:pPr>
      <w:r>
        <w:t xml:space="preserve">Train the employees by giving them basic orientation of the backgrounds present in US and by allowing them to experience the backgrounds </w:t>
      </w:r>
      <w:r w:rsidR="00507896">
        <w:t>of different people in their probationary phase.</w:t>
      </w:r>
    </w:p>
    <w:p w:rsidR="009C42A4" w:rsidRDefault="00507896" w:rsidP="009C42A4">
      <w:pPr>
        <w:numPr>
          <w:ilvl w:val="0"/>
          <w:numId w:val="1"/>
        </w:numPr>
      </w:pPr>
      <w:r>
        <w:t xml:space="preserve">Allow the interaction between the </w:t>
      </w:r>
      <w:r w:rsidR="009C42A4">
        <w:t>staff already trained in the cultural competency and allow the employees to observe the interaction.</w:t>
      </w:r>
    </w:p>
    <w:p w:rsidR="00B8495B" w:rsidRDefault="009C42A4" w:rsidP="009C42A4">
      <w:pPr>
        <w:numPr>
          <w:ilvl w:val="0"/>
          <w:numId w:val="1"/>
        </w:numPr>
      </w:pPr>
      <w:r>
        <w:t xml:space="preserve">Make </w:t>
      </w:r>
      <w:r w:rsidR="000C60A9">
        <w:t xml:space="preserve">more diversity related policies that will help the employees to be more specific and learned about their </w:t>
      </w:r>
      <w:r w:rsidR="00B8495B">
        <w:t>workplace practices.</w:t>
      </w:r>
    </w:p>
    <w:p w:rsidR="00362F5E" w:rsidRDefault="00C941CD" w:rsidP="009C42A4">
      <w:pPr>
        <w:numPr>
          <w:ilvl w:val="0"/>
          <w:numId w:val="1"/>
        </w:numPr>
      </w:pPr>
      <w:r>
        <w:t xml:space="preserve">The health care practitioners can also have a special services package for giving the </w:t>
      </w:r>
      <w:r w:rsidR="00362F5E">
        <w:t>health services to the marginalized community.</w:t>
      </w:r>
    </w:p>
    <w:p w:rsidR="00E2176F" w:rsidRPr="00367FEC" w:rsidRDefault="00362F5E" w:rsidP="009C42A4">
      <w:pPr>
        <w:numPr>
          <w:ilvl w:val="0"/>
          <w:numId w:val="1"/>
        </w:numPr>
      </w:pPr>
      <w:r>
        <w:t xml:space="preserve">The health care </w:t>
      </w:r>
      <w:r w:rsidR="00BC5210">
        <w:t>practitioner can be allowed to be more comprehensive and can allo</w:t>
      </w:r>
      <w:r w:rsidR="0093523D">
        <w:t xml:space="preserve">w more diversity in the healthcare by </w:t>
      </w:r>
      <w:r w:rsidR="00367FEC">
        <w:t xml:space="preserve">considering the cultural practices of the patients while they treat </w:t>
      </w:r>
      <w:proofErr w:type="gramStart"/>
      <w:r w:rsidR="00367FEC">
        <w:t>them</w:t>
      </w:r>
      <w:proofErr w:type="gramEnd"/>
      <w:r w:rsidR="000C60A9">
        <w:t xml:space="preserve"> </w:t>
      </w:r>
      <w:r w:rsidR="00E2176F" w:rsidRPr="009C42A4">
        <w:rPr>
          <w:color w:val="000000"/>
          <w:shd w:val="clear" w:color="auto" w:fill="FFFFFF"/>
        </w:rPr>
        <w:t xml:space="preserve">(Rivera &amp; David, </w:t>
      </w:r>
      <w:r w:rsidR="00250ACB" w:rsidRPr="009C42A4">
        <w:rPr>
          <w:color w:val="000000"/>
          <w:shd w:val="clear" w:color="auto" w:fill="FFFFFF"/>
        </w:rPr>
        <w:t>201</w:t>
      </w:r>
      <w:r w:rsidR="009C5AD6" w:rsidRPr="009C42A4">
        <w:rPr>
          <w:color w:val="000000"/>
          <w:shd w:val="clear" w:color="auto" w:fill="FFFFFF"/>
        </w:rPr>
        <w:t>8</w:t>
      </w:r>
      <w:r w:rsidR="00E2176F" w:rsidRPr="009C42A4">
        <w:rPr>
          <w:color w:val="000000"/>
          <w:shd w:val="clear" w:color="auto" w:fill="FFFFFF"/>
        </w:rPr>
        <w:t>)</w:t>
      </w:r>
      <w:r w:rsidR="00367FEC">
        <w:rPr>
          <w:color w:val="000000"/>
          <w:shd w:val="clear" w:color="auto" w:fill="FFFFFF"/>
        </w:rPr>
        <w:t>.</w:t>
      </w:r>
    </w:p>
    <w:p w:rsidR="00367FEC" w:rsidRPr="00E2176F" w:rsidRDefault="00367FEC" w:rsidP="00367FEC">
      <w:pPr>
        <w:ind w:left="360" w:firstLine="0"/>
      </w:pPr>
      <w:r>
        <w:rPr>
          <w:color w:val="000000"/>
          <w:shd w:val="clear" w:color="auto" w:fill="FFFFFF"/>
        </w:rPr>
        <w:t xml:space="preserve">These are the few measures that can be taken </w:t>
      </w:r>
      <w:r w:rsidR="00166093">
        <w:rPr>
          <w:color w:val="000000"/>
          <w:shd w:val="clear" w:color="auto" w:fill="FFFFFF"/>
        </w:rPr>
        <w:t xml:space="preserve">so that healthcare is more engaging, diverse and </w:t>
      </w:r>
      <w:r w:rsidR="00091033">
        <w:rPr>
          <w:color w:val="000000"/>
          <w:shd w:val="clear" w:color="auto" w:fill="FFFFFF"/>
        </w:rPr>
        <w:t xml:space="preserve">culturally competent, for all </w:t>
      </w:r>
      <w:proofErr w:type="gramStart"/>
      <w:r w:rsidR="00091033">
        <w:rPr>
          <w:color w:val="000000"/>
          <w:shd w:val="clear" w:color="auto" w:fill="FFFFFF"/>
        </w:rPr>
        <w:t>stake holders</w:t>
      </w:r>
      <w:proofErr w:type="gramEnd"/>
      <w:r w:rsidR="00091033">
        <w:rPr>
          <w:color w:val="000000"/>
          <w:shd w:val="clear" w:color="auto" w:fill="FFFFFF"/>
        </w:rPr>
        <w:t>.</w:t>
      </w:r>
    </w:p>
    <w:p w:rsidR="007C0237" w:rsidRDefault="00E2176F" w:rsidP="00091033">
      <w:pPr>
        <w:spacing w:before="100" w:beforeAutospacing="1" w:after="100" w:afterAutospacing="1" w:line="240" w:lineRule="auto"/>
        <w:ind w:firstLine="0"/>
        <w:rPr>
          <w:color w:val="000000"/>
          <w:sz w:val="21"/>
          <w:szCs w:val="21"/>
        </w:rPr>
      </w:pPr>
      <w:r w:rsidRPr="00E2176F">
        <w:rPr>
          <w:color w:val="000000"/>
          <w:sz w:val="21"/>
          <w:szCs w:val="21"/>
        </w:rPr>
        <w:t>‌</w:t>
      </w:r>
    </w:p>
    <w:p w:rsidR="00091033" w:rsidRDefault="00091033" w:rsidP="00091033">
      <w:pPr>
        <w:spacing w:before="100" w:beforeAutospacing="1" w:after="100" w:afterAutospacing="1" w:line="240" w:lineRule="auto"/>
        <w:ind w:firstLine="0"/>
        <w:rPr>
          <w:color w:val="000000"/>
          <w:sz w:val="21"/>
          <w:szCs w:val="21"/>
        </w:rPr>
      </w:pPr>
    </w:p>
    <w:p w:rsidR="00091033" w:rsidRDefault="00091033" w:rsidP="00091033">
      <w:pPr>
        <w:spacing w:before="100" w:beforeAutospacing="1" w:after="100" w:afterAutospacing="1" w:line="240" w:lineRule="auto"/>
        <w:ind w:firstLine="0"/>
        <w:rPr>
          <w:color w:val="000000"/>
          <w:sz w:val="21"/>
          <w:szCs w:val="21"/>
        </w:rPr>
      </w:pPr>
    </w:p>
    <w:p w:rsidR="00091033" w:rsidRDefault="00091033" w:rsidP="00091033">
      <w:pPr>
        <w:spacing w:before="100" w:beforeAutospacing="1" w:after="100" w:afterAutospacing="1" w:line="240" w:lineRule="auto"/>
        <w:ind w:firstLine="0"/>
        <w:rPr>
          <w:color w:val="000000"/>
          <w:sz w:val="21"/>
          <w:szCs w:val="21"/>
        </w:rPr>
      </w:pPr>
    </w:p>
    <w:p w:rsidR="00091033" w:rsidRDefault="00091033" w:rsidP="00091033">
      <w:pPr>
        <w:spacing w:before="100" w:beforeAutospacing="1" w:after="100" w:afterAutospacing="1" w:line="240" w:lineRule="auto"/>
        <w:ind w:firstLine="0"/>
        <w:rPr>
          <w:color w:val="000000"/>
          <w:sz w:val="21"/>
          <w:szCs w:val="21"/>
        </w:rPr>
      </w:pPr>
    </w:p>
    <w:p w:rsidR="00091033" w:rsidRPr="00761C15" w:rsidRDefault="00091033" w:rsidP="00091033">
      <w:pPr>
        <w:pStyle w:val="Heading2"/>
        <w:jc w:val="center"/>
        <w:rPr>
          <w:rFonts w:cs="Times New Roman"/>
          <w:color w:val="000000"/>
          <w:szCs w:val="24"/>
        </w:rPr>
      </w:pPr>
      <w:r w:rsidRPr="00761C15">
        <w:rPr>
          <w:rFonts w:cs="Times New Roman"/>
          <w:bCs/>
          <w:color w:val="000000"/>
          <w:szCs w:val="24"/>
        </w:rPr>
        <w:lastRenderedPageBreak/>
        <w:t>References</w:t>
      </w:r>
    </w:p>
    <w:p w:rsidR="00091033" w:rsidRPr="005E3B23" w:rsidRDefault="00091033" w:rsidP="00091033">
      <w:pPr>
        <w:pStyle w:val="NormalWeb"/>
        <w:spacing w:before="0" w:beforeAutospacing="0" w:after="0" w:afterAutospacing="0" w:line="480" w:lineRule="auto"/>
        <w:ind w:left="600" w:hanging="600"/>
        <w:rPr>
          <w:color w:val="000000"/>
        </w:rPr>
      </w:pPr>
      <w:proofErr w:type="spellStart"/>
      <w:r w:rsidRPr="005E3B23">
        <w:rPr>
          <w:color w:val="000000"/>
        </w:rPr>
        <w:t>Beriss</w:t>
      </w:r>
      <w:proofErr w:type="spellEnd"/>
      <w:r w:rsidRPr="005E3B23">
        <w:rPr>
          <w:color w:val="000000"/>
        </w:rPr>
        <w:t>, D. (2000). Culture-as-Race or Culture-as-Culture: Cultural Identity in French Society. </w:t>
      </w:r>
      <w:r w:rsidRPr="005E3B23">
        <w:rPr>
          <w:i/>
          <w:iCs/>
          <w:color w:val="000000"/>
        </w:rPr>
        <w:t>French Politics, Culture &amp; Society</w:t>
      </w:r>
      <w:r w:rsidRPr="005E3B23">
        <w:rPr>
          <w:color w:val="000000"/>
        </w:rPr>
        <w:t>, </w:t>
      </w:r>
      <w:proofErr w:type="gramStart"/>
      <w:r w:rsidRPr="005E3B23">
        <w:rPr>
          <w:i/>
          <w:iCs/>
          <w:color w:val="000000"/>
        </w:rPr>
        <w:t>18</w:t>
      </w:r>
      <w:proofErr w:type="gramEnd"/>
      <w:r w:rsidRPr="005E3B23">
        <w:rPr>
          <w:color w:val="000000"/>
        </w:rPr>
        <w:t>(3). https://doi.org/10.3167/153763700782377996</w:t>
      </w:r>
    </w:p>
    <w:p w:rsidR="00091033" w:rsidRPr="005E3B23" w:rsidRDefault="00091033" w:rsidP="00091033">
      <w:pPr>
        <w:pStyle w:val="NormalWeb"/>
        <w:spacing w:before="0" w:beforeAutospacing="0" w:after="0" w:afterAutospacing="0" w:line="480" w:lineRule="auto"/>
        <w:ind w:left="600" w:hanging="600"/>
        <w:rPr>
          <w:color w:val="000000"/>
        </w:rPr>
      </w:pPr>
      <w:r w:rsidRPr="005E3B23">
        <w:rPr>
          <w:color w:val="000000"/>
        </w:rPr>
        <w:t>Bowers, M., &amp; Newark, N. (2015). Competence Based Orientation: A Tool for Work redesign. </w:t>
      </w:r>
      <w:r w:rsidRPr="005E3B23">
        <w:rPr>
          <w:i/>
          <w:iCs/>
          <w:color w:val="000000"/>
        </w:rPr>
        <w:t>Air Medical Journal</w:t>
      </w:r>
      <w:r w:rsidRPr="005E3B23">
        <w:rPr>
          <w:color w:val="000000"/>
        </w:rPr>
        <w:t>, </w:t>
      </w:r>
      <w:r w:rsidRPr="005E3B23">
        <w:rPr>
          <w:i/>
          <w:iCs/>
          <w:color w:val="000000"/>
        </w:rPr>
        <w:t>14</w:t>
      </w:r>
      <w:r w:rsidRPr="005E3B23">
        <w:rPr>
          <w:color w:val="000000"/>
        </w:rPr>
        <w:t xml:space="preserve">(3), </w:t>
      </w:r>
      <w:proofErr w:type="gramStart"/>
      <w:r w:rsidRPr="005E3B23">
        <w:rPr>
          <w:color w:val="000000"/>
        </w:rPr>
        <w:t>164</w:t>
      </w:r>
      <w:proofErr w:type="gramEnd"/>
      <w:r w:rsidRPr="005E3B23">
        <w:rPr>
          <w:color w:val="000000"/>
        </w:rPr>
        <w:t>. https://doi.org/10.1016/1067-</w:t>
      </w:r>
      <w:proofErr w:type="gramStart"/>
      <w:r w:rsidRPr="005E3B23">
        <w:rPr>
          <w:color w:val="000000"/>
        </w:rPr>
        <w:t>991x(</w:t>
      </w:r>
      <w:proofErr w:type="gramEnd"/>
      <w:r w:rsidRPr="005E3B23">
        <w:rPr>
          <w:color w:val="000000"/>
        </w:rPr>
        <w:t>95)90536-7</w:t>
      </w:r>
    </w:p>
    <w:p w:rsidR="00091033" w:rsidRPr="005E3B23" w:rsidRDefault="00091033" w:rsidP="00091033">
      <w:pPr>
        <w:pStyle w:val="NormalWeb"/>
        <w:spacing w:before="0" w:beforeAutospacing="0" w:after="0" w:afterAutospacing="0" w:line="480" w:lineRule="auto"/>
        <w:ind w:left="600" w:hanging="600"/>
        <w:rPr>
          <w:color w:val="000000"/>
        </w:rPr>
      </w:pPr>
      <w:proofErr w:type="spellStart"/>
      <w:r w:rsidRPr="005E3B23">
        <w:rPr>
          <w:color w:val="000000"/>
        </w:rPr>
        <w:t>Dawlin</w:t>
      </w:r>
      <w:proofErr w:type="spellEnd"/>
      <w:r w:rsidRPr="005E3B23">
        <w:rPr>
          <w:color w:val="000000"/>
        </w:rPr>
        <w:t>, L. (2012, December 18). What is Cultural Diversity? Retrieved January 16, 2019, from https://www.purdueglobal.edu/blog/social-behavioral-sciences/what-is-cultural-diversity/</w:t>
      </w:r>
    </w:p>
    <w:p w:rsidR="00091033" w:rsidRPr="005E3B23" w:rsidRDefault="00091033" w:rsidP="00091033">
      <w:pPr>
        <w:pStyle w:val="NormalWeb"/>
        <w:spacing w:before="0" w:beforeAutospacing="0" w:after="0" w:afterAutospacing="0" w:line="480" w:lineRule="auto"/>
        <w:ind w:left="600" w:hanging="600"/>
        <w:rPr>
          <w:color w:val="000000"/>
        </w:rPr>
      </w:pPr>
      <w:r w:rsidRPr="005E3B23">
        <w:rPr>
          <w:color w:val="000000"/>
        </w:rPr>
        <w:t>Fine, M. G., Johnson, F. L., &amp; Ryan, M. S. (2018). Cultural Diversity in the Workplace. </w:t>
      </w:r>
      <w:r w:rsidRPr="005E3B23">
        <w:rPr>
          <w:i/>
          <w:iCs/>
          <w:color w:val="000000"/>
        </w:rPr>
        <w:t>Personnel Administration</w:t>
      </w:r>
      <w:r w:rsidRPr="005E3B23">
        <w:rPr>
          <w:color w:val="000000"/>
        </w:rPr>
        <w:t>, </w:t>
      </w:r>
      <w:r w:rsidRPr="005E3B23">
        <w:rPr>
          <w:i/>
          <w:iCs/>
          <w:color w:val="000000"/>
        </w:rPr>
        <w:t>19</w:t>
      </w:r>
      <w:r w:rsidRPr="005E3B23">
        <w:rPr>
          <w:color w:val="000000"/>
        </w:rPr>
        <w:t>(3), 305–320. https://doi.org/10.1177/009102609001900307</w:t>
      </w:r>
    </w:p>
    <w:p w:rsidR="00091033" w:rsidRPr="005E3B23" w:rsidRDefault="00091033" w:rsidP="00091033">
      <w:pPr>
        <w:pStyle w:val="NormalWeb"/>
        <w:spacing w:before="0" w:beforeAutospacing="0" w:after="0" w:afterAutospacing="0" w:line="480" w:lineRule="auto"/>
        <w:ind w:left="600" w:hanging="600"/>
        <w:rPr>
          <w:color w:val="000000"/>
        </w:rPr>
      </w:pPr>
      <w:proofErr w:type="spellStart"/>
      <w:r w:rsidRPr="005E3B23">
        <w:rPr>
          <w:color w:val="000000"/>
        </w:rPr>
        <w:t>Kohlbry</w:t>
      </w:r>
      <w:proofErr w:type="spellEnd"/>
      <w:r w:rsidRPr="005E3B23">
        <w:rPr>
          <w:color w:val="000000"/>
        </w:rPr>
        <w:t>, P. W. (2016). The Impact of International Service-Learning on Nursing Students’ Cultural Competency. </w:t>
      </w:r>
      <w:r w:rsidRPr="005E3B23">
        <w:rPr>
          <w:i/>
          <w:iCs/>
          <w:color w:val="000000"/>
        </w:rPr>
        <w:t>Journal of Nursing Scholarship</w:t>
      </w:r>
      <w:r w:rsidRPr="005E3B23">
        <w:rPr>
          <w:color w:val="000000"/>
        </w:rPr>
        <w:t>, </w:t>
      </w:r>
      <w:r w:rsidRPr="005E3B23">
        <w:rPr>
          <w:i/>
          <w:iCs/>
          <w:color w:val="000000"/>
        </w:rPr>
        <w:t>48</w:t>
      </w:r>
      <w:r w:rsidRPr="005E3B23">
        <w:rPr>
          <w:color w:val="000000"/>
        </w:rPr>
        <w:t>(3), 303–311. https://doi.org/10.1111/jnu.12209</w:t>
      </w:r>
    </w:p>
    <w:p w:rsidR="00091033" w:rsidRPr="005E3B23" w:rsidRDefault="00091033" w:rsidP="00091033">
      <w:pPr>
        <w:pStyle w:val="NormalWeb"/>
        <w:spacing w:before="0" w:beforeAutospacing="0" w:after="0" w:afterAutospacing="0" w:line="480" w:lineRule="auto"/>
        <w:ind w:left="600" w:hanging="600"/>
        <w:rPr>
          <w:color w:val="000000"/>
        </w:rPr>
      </w:pPr>
      <w:r w:rsidRPr="005E3B23">
        <w:rPr>
          <w:color w:val="000000"/>
        </w:rPr>
        <w:t>Mitchell, D., &amp; Bowell, L. (2016). Review of Affirming Diversity: The Sociopolitical Context of Multicultural Education. </w:t>
      </w:r>
      <w:r w:rsidRPr="005E3B23">
        <w:rPr>
          <w:i/>
          <w:iCs/>
          <w:color w:val="000000"/>
        </w:rPr>
        <w:t>Cultural Diversity and Mental Health</w:t>
      </w:r>
      <w:r w:rsidRPr="005E3B23">
        <w:rPr>
          <w:color w:val="000000"/>
        </w:rPr>
        <w:t>, </w:t>
      </w:r>
      <w:r w:rsidRPr="005E3B23">
        <w:rPr>
          <w:i/>
          <w:iCs/>
          <w:color w:val="000000"/>
        </w:rPr>
        <w:t>2</w:t>
      </w:r>
      <w:r w:rsidRPr="005E3B23">
        <w:rPr>
          <w:color w:val="000000"/>
        </w:rPr>
        <w:t>(2), 139–140. https://doi.org/10.1037/1099-9809.2.2.139</w:t>
      </w:r>
    </w:p>
    <w:p w:rsidR="00091033" w:rsidRPr="005E3B23" w:rsidRDefault="00091033" w:rsidP="00091033">
      <w:pPr>
        <w:pStyle w:val="NormalWeb"/>
        <w:spacing w:before="0" w:beforeAutospacing="0" w:after="0" w:afterAutospacing="0" w:line="480" w:lineRule="auto"/>
        <w:ind w:left="600" w:hanging="600"/>
        <w:rPr>
          <w:color w:val="000000"/>
        </w:rPr>
      </w:pPr>
      <w:proofErr w:type="spellStart"/>
      <w:r w:rsidRPr="005E3B23">
        <w:rPr>
          <w:color w:val="000000"/>
        </w:rPr>
        <w:t>Petrakova</w:t>
      </w:r>
      <w:proofErr w:type="spellEnd"/>
      <w:r w:rsidRPr="005E3B23">
        <w:rPr>
          <w:color w:val="000000"/>
        </w:rPr>
        <w:t>, A. (2007). Shaping Public Health Education around the World to Address Health Challenges in the Coming Decades. </w:t>
      </w:r>
      <w:r w:rsidRPr="005E3B23">
        <w:rPr>
          <w:i/>
          <w:iCs/>
          <w:color w:val="000000"/>
        </w:rPr>
        <w:t>Bulletin of the World Health Organization</w:t>
      </w:r>
      <w:r w:rsidRPr="005E3B23">
        <w:rPr>
          <w:color w:val="000000"/>
        </w:rPr>
        <w:t>, </w:t>
      </w:r>
      <w:r w:rsidRPr="005E3B23">
        <w:rPr>
          <w:i/>
          <w:iCs/>
          <w:color w:val="000000"/>
        </w:rPr>
        <w:t>85</w:t>
      </w:r>
      <w:r w:rsidRPr="005E3B23">
        <w:rPr>
          <w:color w:val="000000"/>
        </w:rPr>
        <w:t>(12), 902–902. https://doi.org/10.2471/blt.07.049247</w:t>
      </w:r>
    </w:p>
    <w:p w:rsidR="00091033" w:rsidRPr="005E3B23" w:rsidRDefault="00091033" w:rsidP="00091033">
      <w:pPr>
        <w:pStyle w:val="NormalWeb"/>
        <w:spacing w:before="0" w:beforeAutospacing="0" w:after="0" w:afterAutospacing="0" w:line="480" w:lineRule="auto"/>
        <w:ind w:left="600" w:hanging="600"/>
        <w:rPr>
          <w:color w:val="000000"/>
        </w:rPr>
      </w:pPr>
      <w:r w:rsidRPr="005E3B23">
        <w:rPr>
          <w:color w:val="000000"/>
        </w:rPr>
        <w:t>Rivera, A., &amp; David, J. (2018). Primary Care and the Public Health: General Practitioners and Health Protection. </w:t>
      </w:r>
      <w:r w:rsidRPr="005E3B23">
        <w:rPr>
          <w:i/>
          <w:iCs/>
          <w:color w:val="000000"/>
        </w:rPr>
        <w:t>Journal of Public Health</w:t>
      </w:r>
      <w:r w:rsidRPr="005E3B23">
        <w:rPr>
          <w:color w:val="000000"/>
        </w:rPr>
        <w:t>, </w:t>
      </w:r>
      <w:r w:rsidRPr="005E3B23">
        <w:rPr>
          <w:i/>
          <w:iCs/>
          <w:color w:val="000000"/>
        </w:rPr>
        <w:t>17</w:t>
      </w:r>
      <w:r w:rsidRPr="005E3B23">
        <w:rPr>
          <w:color w:val="000000"/>
        </w:rPr>
        <w:t>(4), 42–49. https://doi.org/10.1093/oxfordjournals.pubmed.a043125</w:t>
      </w:r>
    </w:p>
    <w:p w:rsidR="00091033" w:rsidRPr="005E3B23" w:rsidRDefault="00091033" w:rsidP="00091033">
      <w:pPr>
        <w:pStyle w:val="NormalWeb"/>
        <w:spacing w:line="480" w:lineRule="auto"/>
        <w:rPr>
          <w:color w:val="000000"/>
        </w:rPr>
      </w:pPr>
      <w:r w:rsidRPr="005E3B23">
        <w:rPr>
          <w:color w:val="000000"/>
        </w:rPr>
        <w:lastRenderedPageBreak/>
        <w:t>‌</w:t>
      </w:r>
    </w:p>
    <w:p w:rsidR="00091033" w:rsidRPr="005E3B23" w:rsidRDefault="00091033" w:rsidP="00091033">
      <w:pPr>
        <w:ind w:firstLine="0"/>
      </w:pPr>
    </w:p>
    <w:p w:rsidR="00091033" w:rsidRPr="00091033" w:rsidRDefault="00091033" w:rsidP="00091033">
      <w:pPr>
        <w:spacing w:before="100" w:beforeAutospacing="1" w:after="100" w:afterAutospacing="1" w:line="240" w:lineRule="auto"/>
        <w:ind w:firstLine="0"/>
        <w:rPr>
          <w:color w:val="000000"/>
          <w:sz w:val="21"/>
          <w:szCs w:val="21"/>
        </w:rPr>
      </w:pPr>
      <w:bookmarkStart w:id="0" w:name="_GoBack"/>
      <w:bookmarkEnd w:id="0"/>
    </w:p>
    <w:p w:rsidR="00543A82" w:rsidRDefault="00543A82" w:rsidP="0034776C">
      <w:pPr>
        <w:ind w:firstLine="0"/>
      </w:pPr>
    </w:p>
    <w:p w:rsidR="007C0237" w:rsidRDefault="007C0237" w:rsidP="0034776C">
      <w:pPr>
        <w:ind w:firstLine="0"/>
      </w:pPr>
    </w:p>
    <w:p w:rsidR="00F164A6" w:rsidRDefault="00F164A6" w:rsidP="0034776C">
      <w:pPr>
        <w:ind w:firstLine="0"/>
      </w:pPr>
    </w:p>
    <w:sectPr w:rsidR="00F164A6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8E2" w:rsidRDefault="002408E2">
      <w:pPr>
        <w:spacing w:line="240" w:lineRule="auto"/>
      </w:pPr>
      <w:r>
        <w:separator/>
      </w:r>
    </w:p>
  </w:endnote>
  <w:endnote w:type="continuationSeparator" w:id="0">
    <w:p w:rsidR="002408E2" w:rsidRDefault="002408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8E2" w:rsidRDefault="002408E2">
      <w:pPr>
        <w:spacing w:line="240" w:lineRule="auto"/>
      </w:pPr>
      <w:r>
        <w:separator/>
      </w:r>
    </w:p>
  </w:footnote>
  <w:footnote w:type="continuationSeparator" w:id="0">
    <w:p w:rsidR="002408E2" w:rsidRDefault="002408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2A2A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2A03" w:rsidRDefault="002A2A0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2A2A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31BE">
      <w:rPr>
        <w:rStyle w:val="PageNumber"/>
        <w:noProof/>
      </w:rPr>
      <w:t>7</w:t>
    </w:r>
    <w:r>
      <w:rPr>
        <w:rStyle w:val="PageNumber"/>
      </w:rPr>
      <w:fldChar w:fldCharType="end"/>
    </w:r>
  </w:p>
  <w:p w:rsidR="002A2A03" w:rsidRDefault="002A2A03">
    <w:pPr>
      <w:pStyle w:val="Header"/>
      <w:ind w:right="360" w:firstLine="0"/>
    </w:pPr>
    <w:r>
      <w:t>SHORTENED TITLE HERE IN ALL CAPS</w:t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2A2A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31BE">
      <w:rPr>
        <w:rStyle w:val="PageNumber"/>
        <w:noProof/>
      </w:rPr>
      <w:t>1</w:t>
    </w:r>
    <w:r>
      <w:rPr>
        <w:rStyle w:val="PageNumber"/>
      </w:rPr>
      <w:fldChar w:fldCharType="end"/>
    </w:r>
  </w:p>
  <w:p w:rsidR="002A2A03" w:rsidRDefault="002A2A03">
    <w:pPr>
      <w:ind w:right="360" w:firstLine="0"/>
    </w:pPr>
    <w:r>
      <w:t>Running head: SHORTENED VERSION OF TITLE</w:t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9030FF"/>
    <w:multiLevelType w:val="hybridMultilevel"/>
    <w:tmpl w:val="01989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a0NDKwNLUwM7awMDC0sDBW0lEKTi0uzszPAykwrAUAJmKJ9ywAAAA="/>
  </w:docVars>
  <w:rsids>
    <w:rsidRoot w:val="00CF29F0"/>
    <w:rsid w:val="0000793A"/>
    <w:rsid w:val="000341FA"/>
    <w:rsid w:val="00066B9C"/>
    <w:rsid w:val="00091033"/>
    <w:rsid w:val="000B0A32"/>
    <w:rsid w:val="000C60A9"/>
    <w:rsid w:val="000D1DC1"/>
    <w:rsid w:val="000D371A"/>
    <w:rsid w:val="000D45E7"/>
    <w:rsid w:val="000D7D66"/>
    <w:rsid w:val="00137590"/>
    <w:rsid w:val="00143735"/>
    <w:rsid w:val="0015009F"/>
    <w:rsid w:val="00150659"/>
    <w:rsid w:val="0015095C"/>
    <w:rsid w:val="00153CDE"/>
    <w:rsid w:val="00166093"/>
    <w:rsid w:val="00182E81"/>
    <w:rsid w:val="001925F9"/>
    <w:rsid w:val="00193756"/>
    <w:rsid w:val="001A0A79"/>
    <w:rsid w:val="001F4A9B"/>
    <w:rsid w:val="00221705"/>
    <w:rsid w:val="00221BF0"/>
    <w:rsid w:val="002408E2"/>
    <w:rsid w:val="00250ACB"/>
    <w:rsid w:val="00272941"/>
    <w:rsid w:val="002A2A03"/>
    <w:rsid w:val="0030063B"/>
    <w:rsid w:val="0032005C"/>
    <w:rsid w:val="00336DAB"/>
    <w:rsid w:val="0034776C"/>
    <w:rsid w:val="00362F5E"/>
    <w:rsid w:val="00367FEC"/>
    <w:rsid w:val="003764D0"/>
    <w:rsid w:val="00376878"/>
    <w:rsid w:val="003942E8"/>
    <w:rsid w:val="003A1294"/>
    <w:rsid w:val="003B1D5A"/>
    <w:rsid w:val="003D4B31"/>
    <w:rsid w:val="003D6C7D"/>
    <w:rsid w:val="003E65C6"/>
    <w:rsid w:val="003F75F5"/>
    <w:rsid w:val="003F7CF5"/>
    <w:rsid w:val="00420361"/>
    <w:rsid w:val="00423F2D"/>
    <w:rsid w:val="00442202"/>
    <w:rsid w:val="00473DC4"/>
    <w:rsid w:val="00491ACC"/>
    <w:rsid w:val="00492AD7"/>
    <w:rsid w:val="00495C77"/>
    <w:rsid w:val="004B133D"/>
    <w:rsid w:val="004C45C2"/>
    <w:rsid w:val="004D31BE"/>
    <w:rsid w:val="004D50E6"/>
    <w:rsid w:val="00507896"/>
    <w:rsid w:val="0053705C"/>
    <w:rsid w:val="0053720F"/>
    <w:rsid w:val="00543A82"/>
    <w:rsid w:val="0055511C"/>
    <w:rsid w:val="00592DF1"/>
    <w:rsid w:val="00594481"/>
    <w:rsid w:val="005C313A"/>
    <w:rsid w:val="005D7370"/>
    <w:rsid w:val="005E3B23"/>
    <w:rsid w:val="00622146"/>
    <w:rsid w:val="006247F1"/>
    <w:rsid w:val="00664495"/>
    <w:rsid w:val="0067257A"/>
    <w:rsid w:val="006A0971"/>
    <w:rsid w:val="006C6780"/>
    <w:rsid w:val="006C6D9A"/>
    <w:rsid w:val="006C6E01"/>
    <w:rsid w:val="006F7969"/>
    <w:rsid w:val="00721516"/>
    <w:rsid w:val="007557AA"/>
    <w:rsid w:val="00760F2C"/>
    <w:rsid w:val="00761C15"/>
    <w:rsid w:val="00770411"/>
    <w:rsid w:val="0079319C"/>
    <w:rsid w:val="007C0237"/>
    <w:rsid w:val="008174EB"/>
    <w:rsid w:val="0083357B"/>
    <w:rsid w:val="00866B72"/>
    <w:rsid w:val="008819C6"/>
    <w:rsid w:val="008D42A1"/>
    <w:rsid w:val="008D5896"/>
    <w:rsid w:val="00901D01"/>
    <w:rsid w:val="00906416"/>
    <w:rsid w:val="0093523D"/>
    <w:rsid w:val="00950381"/>
    <w:rsid w:val="0095134F"/>
    <w:rsid w:val="00951DEB"/>
    <w:rsid w:val="0095619B"/>
    <w:rsid w:val="00981328"/>
    <w:rsid w:val="0098330C"/>
    <w:rsid w:val="0098512D"/>
    <w:rsid w:val="009943D9"/>
    <w:rsid w:val="00994D86"/>
    <w:rsid w:val="00996333"/>
    <w:rsid w:val="009B1A95"/>
    <w:rsid w:val="009C42A4"/>
    <w:rsid w:val="009C5AD6"/>
    <w:rsid w:val="00A05DAB"/>
    <w:rsid w:val="00A11C79"/>
    <w:rsid w:val="00A37B73"/>
    <w:rsid w:val="00A45D0D"/>
    <w:rsid w:val="00A80C6B"/>
    <w:rsid w:val="00A958D8"/>
    <w:rsid w:val="00AC1CE0"/>
    <w:rsid w:val="00AD142A"/>
    <w:rsid w:val="00AE0E28"/>
    <w:rsid w:val="00B134D7"/>
    <w:rsid w:val="00B40C7D"/>
    <w:rsid w:val="00B41877"/>
    <w:rsid w:val="00B67478"/>
    <w:rsid w:val="00B8495B"/>
    <w:rsid w:val="00BA251D"/>
    <w:rsid w:val="00BC5210"/>
    <w:rsid w:val="00C4331F"/>
    <w:rsid w:val="00C56C94"/>
    <w:rsid w:val="00C67138"/>
    <w:rsid w:val="00C801CC"/>
    <w:rsid w:val="00C913D7"/>
    <w:rsid w:val="00C941CD"/>
    <w:rsid w:val="00CA07BD"/>
    <w:rsid w:val="00CD1B88"/>
    <w:rsid w:val="00CE3B2D"/>
    <w:rsid w:val="00CF29F0"/>
    <w:rsid w:val="00D00D7E"/>
    <w:rsid w:val="00D20B0F"/>
    <w:rsid w:val="00D33AA2"/>
    <w:rsid w:val="00D34CF4"/>
    <w:rsid w:val="00D44741"/>
    <w:rsid w:val="00D53937"/>
    <w:rsid w:val="00D76627"/>
    <w:rsid w:val="00D907E6"/>
    <w:rsid w:val="00D94E2B"/>
    <w:rsid w:val="00DF58D9"/>
    <w:rsid w:val="00E06FEE"/>
    <w:rsid w:val="00E2176F"/>
    <w:rsid w:val="00F1485D"/>
    <w:rsid w:val="00F164A6"/>
    <w:rsid w:val="00FA7B28"/>
    <w:rsid w:val="00FD5101"/>
    <w:rsid w:val="00FD5822"/>
    <w:rsid w:val="00FE1188"/>
    <w:rsid w:val="00FE11C1"/>
    <w:rsid w:val="00FE23E7"/>
    <w:rsid w:val="00FE40A1"/>
    <w:rsid w:val="00FE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26D7C48-D8DF-421A-A277-39D68F90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  <w:style w:type="paragraph" w:styleId="NormalWeb">
    <w:name w:val="Normal (Web)"/>
    <w:basedOn w:val="Normal"/>
    <w:uiPriority w:val="99"/>
    <w:semiHidden/>
    <w:unhideWhenUsed/>
    <w:rsid w:val="0030063B"/>
    <w:pPr>
      <w:spacing w:before="100" w:beforeAutospacing="1" w:after="100" w:afterAutospacing="1" w:line="240" w:lineRule="auto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Title of Your Paper Here</vt:lpstr>
    </vt:vector>
  </TitlesOfParts>
  <Company>SWORPS</Company>
  <LinksUpToDate>false</LinksUpToDate>
  <CharactersWithSpaces>9026</CharactersWithSpaces>
  <SharedDoc>false</SharedDoc>
  <HLinks>
    <vt:vector size="12" baseType="variant">
      <vt:variant>
        <vt:i4>3604526</vt:i4>
      </vt:variant>
      <vt:variant>
        <vt:i4>3</vt:i4>
      </vt:variant>
      <vt:variant>
        <vt:i4>0</vt:i4>
      </vt:variant>
      <vt:variant>
        <vt:i4>5</vt:i4>
      </vt:variant>
      <vt:variant>
        <vt:lpwstr>https://www.sworps.utk.edu/training/APA_6_0/player.html</vt:lpwstr>
      </vt:variant>
      <vt:variant>
        <vt:lpwstr/>
      </vt:variant>
      <vt:variant>
        <vt:i4>4063329</vt:i4>
      </vt:variant>
      <vt:variant>
        <vt:i4>0</vt:i4>
      </vt:variant>
      <vt:variant>
        <vt:i4>0</vt:i4>
      </vt:variant>
      <vt:variant>
        <vt:i4>5</vt:i4>
      </vt:variant>
      <vt:variant>
        <vt:lpwstr>http://www.mainwebsite.org/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Title of Your Paper Here</dc:title>
  <dc:subject/>
  <dc:creator>DeGeorge</dc:creator>
  <cp:keywords/>
  <dc:description/>
  <cp:lastModifiedBy>Morning</cp:lastModifiedBy>
  <cp:revision>5</cp:revision>
  <dcterms:created xsi:type="dcterms:W3CDTF">2010-03-04T15:14:00Z</dcterms:created>
  <dcterms:modified xsi:type="dcterms:W3CDTF">2019-01-16T11:34:00Z</dcterms:modified>
</cp:coreProperties>
</file>