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291951">
      <w:pPr>
        <w:spacing w:after="0" w:line="360" w:lineRule="auto"/>
        <w:rPr>
          <w:rFonts w:ascii="Times New Roman" w:hAnsi="Times New Roman" w:cs="Times New Roman"/>
          <w:sz w:val="24"/>
          <w:szCs w:val="24"/>
        </w:rPr>
      </w:pPr>
    </w:p>
    <w:p w:rsidR="0008177B" w:rsidRDefault="0008177B" w:rsidP="00291951">
      <w:pPr>
        <w:spacing w:after="0" w:line="360" w:lineRule="auto"/>
        <w:rPr>
          <w:rFonts w:ascii="Times New Roman" w:hAnsi="Times New Roman" w:cs="Times New Roman"/>
          <w:sz w:val="24"/>
          <w:szCs w:val="24"/>
        </w:rPr>
      </w:pPr>
    </w:p>
    <w:p w:rsidR="0008177B" w:rsidRDefault="00583350" w:rsidP="00583350">
      <w:pPr>
        <w:tabs>
          <w:tab w:val="left" w:pos="1800"/>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291951">
      <w:pPr>
        <w:spacing w:after="0" w:line="360" w:lineRule="auto"/>
        <w:rPr>
          <w:rFonts w:ascii="Times New Roman" w:hAnsi="Times New Roman" w:cs="Times New Roman"/>
          <w:sz w:val="24"/>
          <w:szCs w:val="24"/>
        </w:rPr>
      </w:pPr>
    </w:p>
    <w:p w:rsidR="0008177B" w:rsidRDefault="0008177B" w:rsidP="00291951">
      <w:pPr>
        <w:spacing w:after="0" w:line="360" w:lineRule="auto"/>
        <w:rPr>
          <w:rFonts w:ascii="Times New Roman" w:hAnsi="Times New Roman" w:cs="Times New Roman"/>
          <w:sz w:val="24"/>
          <w:szCs w:val="24"/>
        </w:rPr>
      </w:pPr>
    </w:p>
    <w:p w:rsidR="0008177B" w:rsidRDefault="0008177B" w:rsidP="00291951">
      <w:pPr>
        <w:spacing w:after="0" w:line="360" w:lineRule="auto"/>
        <w:rPr>
          <w:rFonts w:ascii="Times New Roman" w:hAnsi="Times New Roman" w:cs="Times New Roman"/>
          <w:sz w:val="24"/>
          <w:szCs w:val="24"/>
        </w:rPr>
      </w:pPr>
    </w:p>
    <w:p w:rsidR="0008177B" w:rsidRDefault="00B4439B" w:rsidP="0029195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[Title]</w:t>
      </w:r>
    </w:p>
    <w:p w:rsidR="0008177B" w:rsidRDefault="0008177B" w:rsidP="0029195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29195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291951">
      <w:pPr>
        <w:spacing w:after="0" w:line="360" w:lineRule="auto"/>
        <w:jc w:val="center"/>
        <w:rPr>
          <w:rFonts w:ascii="Times New Roman" w:hAnsi="Times New Roman" w:cs="Times New Roman"/>
          <w:sz w:val="24"/>
          <w:szCs w:val="24"/>
        </w:rPr>
      </w:pPr>
    </w:p>
    <w:p w:rsidR="00A106AF" w:rsidRDefault="00A106AF" w:rsidP="00291951">
      <w:pPr>
        <w:spacing w:after="0" w:line="36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4F550A" w:rsidRDefault="004F550A" w:rsidP="004F550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[Title]</w:t>
      </w:r>
    </w:p>
    <w:p w:rsidR="00B42EEB" w:rsidRPr="00FE50AF" w:rsidRDefault="00B42EEB" w:rsidP="00291951">
      <w:pPr>
        <w:spacing w:after="0" w:line="360" w:lineRule="auto"/>
        <w:jc w:val="center"/>
        <w:rPr>
          <w:rFonts w:ascii="Times New Roman" w:hAnsi="Times New Roman" w:cs="Times New Roman"/>
          <w:sz w:val="24"/>
          <w:szCs w:val="24"/>
        </w:rPr>
      </w:pPr>
    </w:p>
    <w:p w:rsidR="00272358" w:rsidRPr="00E4742B" w:rsidRDefault="00272358" w:rsidP="00291951">
      <w:pPr>
        <w:spacing w:after="0" w:line="360" w:lineRule="auto"/>
        <w:jc w:val="center"/>
        <w:rPr>
          <w:rFonts w:ascii="Times New Roman" w:hAnsi="Times New Roman" w:cs="Times New Roman"/>
          <w:b/>
          <w:sz w:val="24"/>
          <w:szCs w:val="24"/>
        </w:rPr>
      </w:pPr>
      <w:r w:rsidRPr="00E4742B">
        <w:rPr>
          <w:rFonts w:ascii="Times New Roman" w:hAnsi="Times New Roman" w:cs="Times New Roman"/>
          <w:b/>
          <w:sz w:val="24"/>
          <w:szCs w:val="24"/>
        </w:rPr>
        <w:t>Chapter No 10</w:t>
      </w:r>
    </w:p>
    <w:p w:rsidR="00272358" w:rsidRPr="00E4742B" w:rsidRDefault="00272358" w:rsidP="00B42EEB">
      <w:pPr>
        <w:spacing w:line="360" w:lineRule="auto"/>
        <w:jc w:val="center"/>
        <w:rPr>
          <w:rFonts w:ascii="Times New Roman" w:hAnsi="Times New Roman" w:cs="Times New Roman"/>
          <w:b/>
          <w:sz w:val="24"/>
          <w:szCs w:val="24"/>
        </w:rPr>
      </w:pPr>
      <w:r w:rsidRPr="00E4742B">
        <w:rPr>
          <w:rFonts w:ascii="Times New Roman" w:hAnsi="Times New Roman" w:cs="Times New Roman"/>
          <w:b/>
          <w:sz w:val="24"/>
          <w:szCs w:val="24"/>
        </w:rPr>
        <w:t>Page No: 343, Paragraph 05</w:t>
      </w:r>
    </w:p>
    <w:p w:rsidR="00272358" w:rsidRPr="00E4742B" w:rsidRDefault="00272358" w:rsidP="00291951">
      <w:pPr>
        <w:spacing w:line="360" w:lineRule="auto"/>
        <w:jc w:val="center"/>
        <w:rPr>
          <w:rFonts w:ascii="Times New Roman" w:hAnsi="Times New Roman" w:cs="Times New Roman"/>
          <w:b/>
          <w:i/>
          <w:sz w:val="24"/>
          <w:szCs w:val="24"/>
        </w:rPr>
      </w:pPr>
      <w:r w:rsidRPr="00E4742B">
        <w:rPr>
          <w:rFonts w:ascii="Times New Roman" w:hAnsi="Times New Roman" w:cs="Times New Roman"/>
          <w:b/>
          <w:i/>
          <w:sz w:val="24"/>
          <w:szCs w:val="24"/>
        </w:rPr>
        <w:t xml:space="preserve">"In the international arena, investment planning is not straightforward. Different tax laws, accounting systems, rates of inflation, risks of expropriation, currency frameworks, market segmentation, </w:t>
      </w:r>
      <w:proofErr w:type="gramStart"/>
      <w:r w:rsidRPr="00E4742B">
        <w:rPr>
          <w:rFonts w:ascii="Times New Roman" w:hAnsi="Times New Roman" w:cs="Times New Roman"/>
          <w:b/>
          <w:i/>
          <w:sz w:val="24"/>
          <w:szCs w:val="24"/>
        </w:rPr>
        <w:t>restrictions</w:t>
      </w:r>
      <w:proofErr w:type="gramEnd"/>
      <w:r w:rsidRPr="00E4742B">
        <w:rPr>
          <w:rFonts w:ascii="Times New Roman" w:hAnsi="Times New Roman" w:cs="Times New Roman"/>
          <w:b/>
          <w:i/>
          <w:sz w:val="24"/>
          <w:szCs w:val="24"/>
        </w:rPr>
        <w:t xml:space="preserve"> on the transferability of foreign earnings, and language and intercultural differences introduce elements of complexity seldom encountered domestically."</w:t>
      </w:r>
    </w:p>
    <w:p w:rsidR="00272358" w:rsidRPr="00272358" w:rsidRDefault="00272358" w:rsidP="00291951">
      <w:pPr>
        <w:spacing w:before="240" w:after="0" w:line="360" w:lineRule="auto"/>
        <w:jc w:val="both"/>
        <w:rPr>
          <w:rFonts w:ascii="Times New Roman" w:hAnsi="Times New Roman" w:cs="Times New Roman"/>
          <w:sz w:val="24"/>
          <w:szCs w:val="24"/>
        </w:rPr>
      </w:pPr>
      <w:r w:rsidRPr="00272358">
        <w:rPr>
          <w:rFonts w:ascii="Times New Roman" w:hAnsi="Times New Roman" w:cs="Times New Roman"/>
          <w:sz w:val="24"/>
          <w:szCs w:val="24"/>
        </w:rPr>
        <w:t xml:space="preserve">The above-picked excerpt from chapter 10 of International Accounting, 7th Edition is one of the most significant lines (sentences) in the book. Many people take investments planning on international level as simple and easy as planning for investing money in local firms or projects. While this sentence clarifies their thoughts that investment planning on the international pitch is not so simple and straightforward. But! Several laws, regulations like tax laws, systems, inflation rates, exchange rates, associated risks, and international policies affect such planning as well as create complexity for planners (Choi, &amp; Meek, 2010). So that is why this sentence has been found a significant one in the chapter. </w:t>
      </w:r>
    </w:p>
    <w:p w:rsidR="00272358" w:rsidRPr="00D632D0" w:rsidRDefault="00272358" w:rsidP="00291951">
      <w:pPr>
        <w:spacing w:after="0" w:line="360" w:lineRule="auto"/>
        <w:jc w:val="center"/>
        <w:rPr>
          <w:rFonts w:ascii="Times New Roman" w:hAnsi="Times New Roman" w:cs="Times New Roman"/>
          <w:b/>
          <w:sz w:val="24"/>
          <w:szCs w:val="24"/>
        </w:rPr>
      </w:pPr>
      <w:r w:rsidRPr="00D632D0">
        <w:rPr>
          <w:rFonts w:ascii="Times New Roman" w:hAnsi="Times New Roman" w:cs="Times New Roman"/>
          <w:b/>
          <w:sz w:val="24"/>
          <w:szCs w:val="24"/>
        </w:rPr>
        <w:t>Chapter No 11</w:t>
      </w:r>
    </w:p>
    <w:p w:rsidR="00272358" w:rsidRPr="00D632D0" w:rsidRDefault="00272358" w:rsidP="00DB21A6">
      <w:pPr>
        <w:spacing w:line="360" w:lineRule="auto"/>
        <w:jc w:val="center"/>
        <w:rPr>
          <w:rFonts w:ascii="Times New Roman" w:hAnsi="Times New Roman" w:cs="Times New Roman"/>
          <w:b/>
          <w:sz w:val="24"/>
          <w:szCs w:val="24"/>
        </w:rPr>
      </w:pPr>
      <w:r w:rsidRPr="00D632D0">
        <w:rPr>
          <w:rFonts w:ascii="Times New Roman" w:hAnsi="Times New Roman" w:cs="Times New Roman"/>
          <w:b/>
          <w:sz w:val="24"/>
          <w:szCs w:val="24"/>
        </w:rPr>
        <w:t>Page No: 394, Paragraph 04</w:t>
      </w:r>
    </w:p>
    <w:p w:rsidR="00272358" w:rsidRPr="00D632D0" w:rsidRDefault="00272358" w:rsidP="00DB21A6">
      <w:pPr>
        <w:spacing w:line="360" w:lineRule="auto"/>
        <w:jc w:val="center"/>
        <w:rPr>
          <w:rFonts w:ascii="Times New Roman" w:hAnsi="Times New Roman" w:cs="Times New Roman"/>
          <w:b/>
          <w:i/>
          <w:sz w:val="24"/>
          <w:szCs w:val="24"/>
        </w:rPr>
      </w:pPr>
      <w:r w:rsidRPr="00D632D0">
        <w:rPr>
          <w:rFonts w:ascii="Times New Roman" w:hAnsi="Times New Roman" w:cs="Times New Roman"/>
          <w:b/>
          <w:i/>
          <w:sz w:val="24"/>
          <w:szCs w:val="24"/>
        </w:rPr>
        <w:t>"In a world of floating exchange rates, risk management includes (1) anticipating exchange rate movements, (2) measuring a firm's exposure to exchange risk, (3) designing appropriate protection strategies, and (4) establishing internal risk management controls."</w:t>
      </w:r>
    </w:p>
    <w:p w:rsidR="00272358" w:rsidRPr="00272358" w:rsidRDefault="00272358" w:rsidP="00DB21A6">
      <w:pPr>
        <w:spacing w:before="240" w:after="0" w:line="360" w:lineRule="auto"/>
        <w:jc w:val="both"/>
        <w:rPr>
          <w:rFonts w:ascii="Times New Roman" w:hAnsi="Times New Roman" w:cs="Times New Roman"/>
          <w:sz w:val="24"/>
          <w:szCs w:val="24"/>
        </w:rPr>
      </w:pPr>
      <w:r w:rsidRPr="00272358">
        <w:rPr>
          <w:rFonts w:ascii="Times New Roman" w:hAnsi="Times New Roman" w:cs="Times New Roman"/>
          <w:sz w:val="24"/>
          <w:szCs w:val="24"/>
        </w:rPr>
        <w:t xml:space="preserve">The above sentence in Chapter 11 of International Accounting by Choi, F, &amp; Meek, G has been found the most significant one. Risk management is a complex and lengthy process when performing it in this world of floating exchange rates while many professionals have been found unclear about the steps included in the risk management (Choi, &amp; Meek, 2010). While the above sentence in the chapter covers all four steps taken in the risk management process which is huge and that is why the sentence is highly significant. </w:t>
      </w:r>
    </w:p>
    <w:p w:rsidR="00272358" w:rsidRPr="00272358" w:rsidRDefault="00272358" w:rsidP="00291951">
      <w:pPr>
        <w:spacing w:after="0" w:line="360" w:lineRule="auto"/>
        <w:jc w:val="center"/>
        <w:rPr>
          <w:rFonts w:ascii="Times New Roman" w:hAnsi="Times New Roman" w:cs="Times New Roman"/>
          <w:sz w:val="24"/>
          <w:szCs w:val="24"/>
        </w:rPr>
      </w:pPr>
    </w:p>
    <w:p w:rsidR="00563B34" w:rsidRDefault="00563B34">
      <w:pPr>
        <w:rPr>
          <w:rFonts w:ascii="Times New Roman" w:hAnsi="Times New Roman" w:cs="Times New Roman"/>
          <w:b/>
          <w:sz w:val="24"/>
          <w:szCs w:val="24"/>
        </w:rPr>
      </w:pPr>
      <w:r>
        <w:rPr>
          <w:rFonts w:ascii="Times New Roman" w:hAnsi="Times New Roman" w:cs="Times New Roman"/>
          <w:b/>
          <w:sz w:val="24"/>
          <w:szCs w:val="24"/>
        </w:rPr>
        <w:br w:type="page"/>
      </w:r>
    </w:p>
    <w:p w:rsidR="00272358" w:rsidRPr="00757ED9" w:rsidRDefault="00272358" w:rsidP="00DE3609">
      <w:pPr>
        <w:spacing w:line="360" w:lineRule="auto"/>
        <w:jc w:val="center"/>
        <w:rPr>
          <w:rFonts w:ascii="Times New Roman" w:hAnsi="Times New Roman" w:cs="Times New Roman"/>
          <w:b/>
          <w:sz w:val="24"/>
          <w:szCs w:val="24"/>
        </w:rPr>
      </w:pPr>
      <w:r w:rsidRPr="00757ED9">
        <w:rPr>
          <w:rFonts w:ascii="Times New Roman" w:hAnsi="Times New Roman" w:cs="Times New Roman"/>
          <w:b/>
          <w:sz w:val="24"/>
          <w:szCs w:val="24"/>
        </w:rPr>
        <w:lastRenderedPageBreak/>
        <w:t>Huawei Technologies Co. Ltd</w:t>
      </w:r>
    </w:p>
    <w:p w:rsidR="00272358" w:rsidRPr="00757ED9" w:rsidRDefault="00272358" w:rsidP="00DE3609">
      <w:pPr>
        <w:spacing w:before="240" w:after="0" w:line="360" w:lineRule="auto"/>
        <w:rPr>
          <w:rFonts w:ascii="Times New Roman" w:hAnsi="Times New Roman" w:cs="Times New Roman"/>
          <w:b/>
          <w:sz w:val="24"/>
          <w:szCs w:val="24"/>
        </w:rPr>
      </w:pPr>
      <w:r w:rsidRPr="00757ED9">
        <w:rPr>
          <w:rFonts w:ascii="Times New Roman" w:hAnsi="Times New Roman" w:cs="Times New Roman"/>
          <w:b/>
          <w:sz w:val="24"/>
          <w:szCs w:val="24"/>
        </w:rPr>
        <w:t>Strengths of Huawei</w:t>
      </w:r>
    </w:p>
    <w:p w:rsidR="00272358" w:rsidRPr="00C91F74" w:rsidRDefault="00272358" w:rsidP="00FA0491">
      <w:pPr>
        <w:pStyle w:val="ListParagraph"/>
        <w:numPr>
          <w:ilvl w:val="0"/>
          <w:numId w:val="1"/>
        </w:numPr>
        <w:spacing w:after="0" w:line="360" w:lineRule="auto"/>
        <w:jc w:val="both"/>
        <w:rPr>
          <w:rFonts w:ascii="Times New Roman" w:hAnsi="Times New Roman" w:cs="Times New Roman"/>
          <w:sz w:val="24"/>
          <w:szCs w:val="24"/>
        </w:rPr>
      </w:pPr>
      <w:r w:rsidRPr="00C91F74">
        <w:rPr>
          <w:rFonts w:ascii="Times New Roman" w:hAnsi="Times New Roman" w:cs="Times New Roman"/>
          <w:sz w:val="24"/>
          <w:szCs w:val="24"/>
        </w:rPr>
        <w:t xml:space="preserve">Based on (Huawei Annual Report, 2018), Huawei has a strong and efficient track record in terms of product development. It is the strength of the company because they give strong focus to innovation in their products. </w:t>
      </w:r>
    </w:p>
    <w:p w:rsidR="00272358" w:rsidRPr="00C91F74" w:rsidRDefault="00272358" w:rsidP="00FA0491">
      <w:pPr>
        <w:pStyle w:val="ListParagraph"/>
        <w:numPr>
          <w:ilvl w:val="0"/>
          <w:numId w:val="1"/>
        </w:numPr>
        <w:spacing w:after="0" w:line="360" w:lineRule="auto"/>
        <w:jc w:val="both"/>
        <w:rPr>
          <w:rFonts w:ascii="Times New Roman" w:hAnsi="Times New Roman" w:cs="Times New Roman"/>
          <w:sz w:val="24"/>
          <w:szCs w:val="24"/>
        </w:rPr>
      </w:pPr>
      <w:r w:rsidRPr="00C91F74">
        <w:rPr>
          <w:rFonts w:ascii="Times New Roman" w:hAnsi="Times New Roman" w:cs="Times New Roman"/>
          <w:sz w:val="24"/>
          <w:szCs w:val="24"/>
        </w:rPr>
        <w:t xml:space="preserve">Strong distribution network on local and international because they have access to all target potential markets. </w:t>
      </w:r>
    </w:p>
    <w:p w:rsidR="00272358" w:rsidRPr="00C91F74" w:rsidRDefault="00272358" w:rsidP="00FA0491">
      <w:pPr>
        <w:pStyle w:val="ListParagraph"/>
        <w:numPr>
          <w:ilvl w:val="0"/>
          <w:numId w:val="1"/>
        </w:numPr>
        <w:spacing w:after="0" w:line="360" w:lineRule="auto"/>
        <w:jc w:val="both"/>
        <w:rPr>
          <w:rFonts w:ascii="Times New Roman" w:hAnsi="Times New Roman" w:cs="Times New Roman"/>
          <w:sz w:val="24"/>
          <w:szCs w:val="24"/>
        </w:rPr>
      </w:pPr>
      <w:r w:rsidRPr="00C91F74">
        <w:rPr>
          <w:rFonts w:ascii="Times New Roman" w:hAnsi="Times New Roman" w:cs="Times New Roman"/>
          <w:sz w:val="24"/>
          <w:szCs w:val="24"/>
        </w:rPr>
        <w:t xml:space="preserve">Strong Cash Flow is one of the key strengths of Huawei. The proof is the investments of funds by the company in new projects (Choi, &amp; Meek, 2010). </w:t>
      </w:r>
    </w:p>
    <w:p w:rsidR="00272358" w:rsidRPr="00C91F74" w:rsidRDefault="00272358" w:rsidP="00FA0491">
      <w:pPr>
        <w:spacing w:before="240" w:after="0" w:line="360" w:lineRule="auto"/>
        <w:jc w:val="both"/>
        <w:rPr>
          <w:rFonts w:ascii="Times New Roman" w:hAnsi="Times New Roman" w:cs="Times New Roman"/>
          <w:b/>
          <w:sz w:val="24"/>
          <w:szCs w:val="24"/>
        </w:rPr>
      </w:pPr>
      <w:r w:rsidRPr="00C91F74">
        <w:rPr>
          <w:rFonts w:ascii="Times New Roman" w:hAnsi="Times New Roman" w:cs="Times New Roman"/>
          <w:b/>
          <w:sz w:val="24"/>
          <w:szCs w:val="24"/>
        </w:rPr>
        <w:t>Weaknesses of Huawei</w:t>
      </w:r>
    </w:p>
    <w:p w:rsidR="00272358" w:rsidRPr="001C28B1" w:rsidRDefault="00272358" w:rsidP="00FA0491">
      <w:pPr>
        <w:pStyle w:val="ListParagraph"/>
        <w:numPr>
          <w:ilvl w:val="0"/>
          <w:numId w:val="2"/>
        </w:numPr>
        <w:spacing w:after="0" w:line="360" w:lineRule="auto"/>
        <w:jc w:val="both"/>
        <w:rPr>
          <w:rFonts w:ascii="Times New Roman" w:hAnsi="Times New Roman" w:cs="Times New Roman"/>
          <w:sz w:val="24"/>
          <w:szCs w:val="24"/>
        </w:rPr>
      </w:pPr>
      <w:r w:rsidRPr="001C28B1">
        <w:rPr>
          <w:rFonts w:ascii="Times New Roman" w:hAnsi="Times New Roman" w:cs="Times New Roman"/>
          <w:sz w:val="24"/>
          <w:szCs w:val="24"/>
        </w:rPr>
        <w:t>The company is poor at product forecasting. The company is poor in this way because the company's inventory is too high than the competitors which create additional costs for the company as well.</w:t>
      </w:r>
    </w:p>
    <w:p w:rsidR="00272358" w:rsidRPr="001C28B1" w:rsidRDefault="00272358" w:rsidP="00FA0491">
      <w:pPr>
        <w:pStyle w:val="ListParagraph"/>
        <w:numPr>
          <w:ilvl w:val="0"/>
          <w:numId w:val="2"/>
        </w:numPr>
        <w:spacing w:after="0" w:line="360" w:lineRule="auto"/>
        <w:jc w:val="both"/>
        <w:rPr>
          <w:rFonts w:ascii="Times New Roman" w:hAnsi="Times New Roman" w:cs="Times New Roman"/>
          <w:sz w:val="24"/>
          <w:szCs w:val="24"/>
        </w:rPr>
      </w:pPr>
      <w:r w:rsidRPr="001C28B1">
        <w:rPr>
          <w:rFonts w:ascii="Times New Roman" w:hAnsi="Times New Roman" w:cs="Times New Roman"/>
          <w:sz w:val="24"/>
          <w:szCs w:val="24"/>
        </w:rPr>
        <w:t xml:space="preserve">Based on the analysis of (Huawei Annual Report, 2018), percentage of net contribution and profitability ratio of Huawei are lower when compare with the industry average. </w:t>
      </w:r>
    </w:p>
    <w:p w:rsidR="00272358" w:rsidRPr="001C28B1" w:rsidRDefault="00272358" w:rsidP="00FA0491">
      <w:pPr>
        <w:pStyle w:val="ListParagraph"/>
        <w:numPr>
          <w:ilvl w:val="0"/>
          <w:numId w:val="2"/>
        </w:numPr>
        <w:spacing w:after="0" w:line="360" w:lineRule="auto"/>
        <w:jc w:val="both"/>
        <w:rPr>
          <w:rFonts w:ascii="Times New Roman" w:hAnsi="Times New Roman" w:cs="Times New Roman"/>
          <w:sz w:val="24"/>
          <w:szCs w:val="24"/>
        </w:rPr>
      </w:pPr>
      <w:r w:rsidRPr="001C28B1">
        <w:rPr>
          <w:rFonts w:ascii="Times New Roman" w:hAnsi="Times New Roman" w:cs="Times New Roman"/>
          <w:sz w:val="24"/>
          <w:szCs w:val="24"/>
        </w:rPr>
        <w:t>Inefficient use of the cash at hand. The company does use cash as efficiently as need to be because the assets ratio and liquid asset ratios of the company are not much impressive.</w:t>
      </w:r>
    </w:p>
    <w:p w:rsidR="00272358" w:rsidRPr="00272358" w:rsidRDefault="00272358" w:rsidP="00291951">
      <w:pPr>
        <w:spacing w:after="0" w:line="360" w:lineRule="auto"/>
        <w:jc w:val="center"/>
        <w:rPr>
          <w:rFonts w:ascii="Times New Roman" w:hAnsi="Times New Roman" w:cs="Times New Roman"/>
          <w:sz w:val="24"/>
          <w:szCs w:val="24"/>
        </w:rPr>
      </w:pPr>
      <w:bookmarkStart w:id="0" w:name="_GoBack"/>
      <w:bookmarkEnd w:id="0"/>
    </w:p>
    <w:p w:rsidR="00272358" w:rsidRPr="00272358" w:rsidRDefault="00272358" w:rsidP="00291951">
      <w:pPr>
        <w:spacing w:after="0" w:line="360" w:lineRule="auto"/>
        <w:jc w:val="center"/>
        <w:rPr>
          <w:rFonts w:ascii="Times New Roman" w:hAnsi="Times New Roman" w:cs="Times New Roman"/>
          <w:sz w:val="24"/>
          <w:szCs w:val="24"/>
        </w:rPr>
      </w:pPr>
      <w:r w:rsidRPr="00272358">
        <w:rPr>
          <w:rFonts w:ascii="Times New Roman" w:hAnsi="Times New Roman" w:cs="Times New Roman"/>
          <w:sz w:val="24"/>
          <w:szCs w:val="24"/>
        </w:rPr>
        <w:t> </w:t>
      </w:r>
    </w:p>
    <w:p w:rsidR="00DE3609" w:rsidRDefault="00DE3609">
      <w:pPr>
        <w:rPr>
          <w:rFonts w:ascii="Times New Roman" w:hAnsi="Times New Roman" w:cs="Times New Roman"/>
          <w:b/>
          <w:sz w:val="24"/>
          <w:szCs w:val="24"/>
        </w:rPr>
      </w:pPr>
      <w:r>
        <w:rPr>
          <w:rFonts w:ascii="Times New Roman" w:hAnsi="Times New Roman" w:cs="Times New Roman"/>
          <w:b/>
          <w:sz w:val="24"/>
          <w:szCs w:val="24"/>
        </w:rPr>
        <w:br w:type="page"/>
      </w:r>
    </w:p>
    <w:p w:rsidR="00272358" w:rsidRPr="00272358" w:rsidRDefault="00272358" w:rsidP="00DE3609">
      <w:pPr>
        <w:spacing w:line="360" w:lineRule="auto"/>
        <w:jc w:val="center"/>
        <w:rPr>
          <w:rFonts w:ascii="Times New Roman" w:hAnsi="Times New Roman" w:cs="Times New Roman"/>
          <w:sz w:val="24"/>
          <w:szCs w:val="24"/>
        </w:rPr>
      </w:pPr>
      <w:r w:rsidRPr="00DE3609">
        <w:rPr>
          <w:rFonts w:ascii="Times New Roman" w:hAnsi="Times New Roman" w:cs="Times New Roman"/>
          <w:b/>
          <w:sz w:val="24"/>
          <w:szCs w:val="24"/>
        </w:rPr>
        <w:lastRenderedPageBreak/>
        <w:t>References</w:t>
      </w:r>
    </w:p>
    <w:p w:rsidR="00272358" w:rsidRPr="00272358" w:rsidRDefault="00272358" w:rsidP="00DE3609">
      <w:pPr>
        <w:spacing w:before="240" w:after="0" w:line="360" w:lineRule="auto"/>
        <w:ind w:left="720" w:hanging="720"/>
        <w:jc w:val="both"/>
        <w:rPr>
          <w:rFonts w:ascii="Times New Roman" w:hAnsi="Times New Roman" w:cs="Times New Roman"/>
          <w:sz w:val="24"/>
          <w:szCs w:val="24"/>
        </w:rPr>
      </w:pPr>
      <w:r w:rsidRPr="00272358">
        <w:rPr>
          <w:rFonts w:ascii="Times New Roman" w:hAnsi="Times New Roman" w:cs="Times New Roman"/>
          <w:sz w:val="24"/>
          <w:szCs w:val="24"/>
        </w:rPr>
        <w:t>Choi, F, &amp; Meek, G. (2010). International Accounting, 7th edition. Upper Saddle River, N. J.: Pearson Education. ISBN: 9780136111474</w:t>
      </w:r>
    </w:p>
    <w:p w:rsidR="00272358" w:rsidRPr="00272358" w:rsidRDefault="00272358" w:rsidP="00291951">
      <w:pPr>
        <w:spacing w:after="0" w:line="360" w:lineRule="auto"/>
        <w:ind w:left="720" w:hanging="720"/>
        <w:jc w:val="both"/>
        <w:rPr>
          <w:rFonts w:ascii="Times New Roman" w:hAnsi="Times New Roman" w:cs="Times New Roman"/>
          <w:sz w:val="24"/>
          <w:szCs w:val="24"/>
        </w:rPr>
      </w:pPr>
      <w:r w:rsidRPr="00272358">
        <w:rPr>
          <w:rFonts w:ascii="Times New Roman" w:hAnsi="Times New Roman" w:cs="Times New Roman"/>
          <w:sz w:val="24"/>
          <w:szCs w:val="24"/>
        </w:rPr>
        <w:t>Huawei Annual Report. (2018). Huawei Annual Report: 2018 Annual Reports. Huawei. Retrieved 4 August 2019, from https://www.huawei.com/en/press-events/annual-report</w:t>
      </w:r>
    </w:p>
    <w:p w:rsidR="00C74D28" w:rsidRPr="0008177B" w:rsidRDefault="00C74D28" w:rsidP="00291951">
      <w:pPr>
        <w:spacing w:after="0" w:line="36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D80" w:rsidRDefault="00263D80" w:rsidP="00267851">
      <w:pPr>
        <w:spacing w:after="0" w:line="240" w:lineRule="auto"/>
      </w:pPr>
      <w:r>
        <w:separator/>
      </w:r>
    </w:p>
  </w:endnote>
  <w:endnote w:type="continuationSeparator" w:id="0">
    <w:p w:rsidR="00263D80" w:rsidRDefault="00263D8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D80" w:rsidRDefault="00263D80" w:rsidP="00267851">
      <w:pPr>
        <w:spacing w:after="0" w:line="240" w:lineRule="auto"/>
      </w:pPr>
      <w:r>
        <w:separator/>
      </w:r>
    </w:p>
  </w:footnote>
  <w:footnote w:type="continuationSeparator" w:id="0">
    <w:p w:rsidR="00263D80" w:rsidRDefault="00263D8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83350" w:rsidRPr="00583350">
      <w:rPr>
        <w:rFonts w:ascii="Times New Roman" w:hAnsi="Times New Roman" w:cs="Times New Roman"/>
        <w:sz w:val="24"/>
        <w:szCs w:val="24"/>
      </w:rPr>
      <w:t>ACCOUNTING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E0F7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83350" w:rsidP="001A02CC">
    <w:pPr>
      <w:pStyle w:val="Header"/>
      <w:tabs>
        <w:tab w:val="clear" w:pos="4680"/>
        <w:tab w:val="left" w:pos="7817"/>
        <w:tab w:val="center" w:pos="9360"/>
      </w:tabs>
      <w:rPr>
        <w:rFonts w:ascii="Times New Roman" w:hAnsi="Times New Roman" w:cs="Times New Roman"/>
        <w:sz w:val="24"/>
        <w:szCs w:val="24"/>
      </w:rPr>
    </w:pPr>
    <w:r w:rsidRPr="00583350">
      <w:rPr>
        <w:rFonts w:ascii="Times New Roman" w:hAnsi="Times New Roman" w:cs="Times New Roman"/>
        <w:sz w:val="24"/>
        <w:szCs w:val="24"/>
      </w:rPr>
      <w:t>ACCOUNTING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A0491">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46BDD"/>
    <w:multiLevelType w:val="hybridMultilevel"/>
    <w:tmpl w:val="AAE47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CA2F0A"/>
    <w:multiLevelType w:val="hybridMultilevel"/>
    <w:tmpl w:val="A04E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130A33"/>
    <w:rsid w:val="00141074"/>
    <w:rsid w:val="00187C02"/>
    <w:rsid w:val="001A02CC"/>
    <w:rsid w:val="001C28B1"/>
    <w:rsid w:val="00263D80"/>
    <w:rsid w:val="00267851"/>
    <w:rsid w:val="00272358"/>
    <w:rsid w:val="002777E7"/>
    <w:rsid w:val="00291951"/>
    <w:rsid w:val="002D4968"/>
    <w:rsid w:val="0034125C"/>
    <w:rsid w:val="003E0F76"/>
    <w:rsid w:val="00471063"/>
    <w:rsid w:val="004A07E8"/>
    <w:rsid w:val="004D6074"/>
    <w:rsid w:val="004F550A"/>
    <w:rsid w:val="00550EFD"/>
    <w:rsid w:val="00563B34"/>
    <w:rsid w:val="00583350"/>
    <w:rsid w:val="005C20F1"/>
    <w:rsid w:val="00740CB1"/>
    <w:rsid w:val="00757ED9"/>
    <w:rsid w:val="00850974"/>
    <w:rsid w:val="00877CA7"/>
    <w:rsid w:val="00A106AF"/>
    <w:rsid w:val="00A4374D"/>
    <w:rsid w:val="00B405F9"/>
    <w:rsid w:val="00B42EEB"/>
    <w:rsid w:val="00B4439B"/>
    <w:rsid w:val="00B73412"/>
    <w:rsid w:val="00C5356B"/>
    <w:rsid w:val="00C74D28"/>
    <w:rsid w:val="00C75C92"/>
    <w:rsid w:val="00C91F74"/>
    <w:rsid w:val="00CA2688"/>
    <w:rsid w:val="00CF0A51"/>
    <w:rsid w:val="00D5076D"/>
    <w:rsid w:val="00D632D0"/>
    <w:rsid w:val="00D95087"/>
    <w:rsid w:val="00DB21A6"/>
    <w:rsid w:val="00DE3609"/>
    <w:rsid w:val="00E4742B"/>
    <w:rsid w:val="00EF1641"/>
    <w:rsid w:val="00F00B0C"/>
    <w:rsid w:val="00F94B9F"/>
    <w:rsid w:val="00FA0491"/>
    <w:rsid w:val="00FE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C91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38</cp:revision>
  <dcterms:created xsi:type="dcterms:W3CDTF">2011-12-18T19:23:00Z</dcterms:created>
  <dcterms:modified xsi:type="dcterms:W3CDTF">2019-08-04T02:49:00Z</dcterms:modified>
</cp:coreProperties>
</file>