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3E482A" w:rsidP="001638B1">
      <w:pPr>
        <w:spacing w:line="480" w:lineRule="auto"/>
        <w:jc w:val="center"/>
        <w:rPr>
          <w:rFonts w:ascii="Times New Roman" w:hAnsi="Times New Roman" w:cs="Times New Roman"/>
          <w:sz w:val="24"/>
        </w:rPr>
      </w:pPr>
    </w:p>
    <w:p w:rsidR="003E482A" w:rsidP="001638B1">
      <w:pPr>
        <w:spacing w:line="480" w:lineRule="auto"/>
        <w:jc w:val="center"/>
        <w:rPr>
          <w:rFonts w:ascii="Times New Roman" w:hAnsi="Times New Roman" w:cs="Times New Roman"/>
          <w:sz w:val="24"/>
        </w:rPr>
      </w:pPr>
    </w:p>
    <w:p w:rsidR="003E482A" w:rsidP="001638B1">
      <w:pPr>
        <w:spacing w:line="480" w:lineRule="auto"/>
        <w:jc w:val="center"/>
        <w:rPr>
          <w:rFonts w:ascii="Times New Roman" w:hAnsi="Times New Roman" w:cs="Times New Roman"/>
          <w:sz w:val="24"/>
        </w:rPr>
      </w:pPr>
    </w:p>
    <w:p w:rsidR="003E482A" w:rsidP="001638B1">
      <w:pPr>
        <w:spacing w:line="480" w:lineRule="auto"/>
        <w:jc w:val="center"/>
        <w:rPr>
          <w:rFonts w:ascii="Times New Roman" w:hAnsi="Times New Roman" w:cs="Times New Roman"/>
          <w:sz w:val="24"/>
        </w:rPr>
      </w:pPr>
    </w:p>
    <w:p w:rsidR="00BE5BB7" w:rsidP="001638B1">
      <w:pPr>
        <w:spacing w:line="480" w:lineRule="auto"/>
        <w:jc w:val="center"/>
        <w:rPr>
          <w:rFonts w:ascii="Times New Roman" w:hAnsi="Times New Roman" w:cs="Times New Roman"/>
          <w:sz w:val="24"/>
        </w:rPr>
      </w:pPr>
      <w:r>
        <w:rPr>
          <w:rFonts w:ascii="Times New Roman" w:hAnsi="Times New Roman" w:cs="Times New Roman"/>
          <w:sz w:val="24"/>
        </w:rPr>
        <w:t>External Stakeholders; Their role and function</w:t>
      </w:r>
    </w:p>
    <w:p w:rsidR="003E482A" w:rsidP="001638B1">
      <w:pPr>
        <w:spacing w:line="480" w:lineRule="auto"/>
        <w:jc w:val="center"/>
        <w:rPr>
          <w:rFonts w:ascii="Times New Roman" w:hAnsi="Times New Roman" w:cs="Times New Roman"/>
          <w:sz w:val="24"/>
        </w:rPr>
      </w:pPr>
      <w:r>
        <w:rPr>
          <w:rFonts w:ascii="Times New Roman" w:hAnsi="Times New Roman" w:cs="Times New Roman"/>
          <w:sz w:val="24"/>
        </w:rPr>
        <w:t>Author</w:t>
      </w:r>
    </w:p>
    <w:p w:rsidR="003E482A" w:rsidP="001638B1">
      <w:pPr>
        <w:spacing w:line="480" w:lineRule="auto"/>
        <w:jc w:val="center"/>
        <w:rPr>
          <w:rFonts w:ascii="Times New Roman" w:hAnsi="Times New Roman" w:cs="Times New Roman"/>
          <w:sz w:val="24"/>
        </w:rPr>
      </w:pPr>
      <w:r>
        <w:rPr>
          <w:rFonts w:ascii="Times New Roman" w:hAnsi="Times New Roman" w:cs="Times New Roman"/>
          <w:sz w:val="24"/>
        </w:rPr>
        <w:t>Institutional Affiliations</w:t>
      </w:r>
    </w:p>
    <w:p w:rsidR="003E482A" w:rsidP="001638B1">
      <w:pPr>
        <w:spacing w:line="480" w:lineRule="auto"/>
        <w:rPr>
          <w:rFonts w:ascii="Times New Roman" w:hAnsi="Times New Roman" w:cs="Times New Roman"/>
          <w:sz w:val="24"/>
        </w:rPr>
      </w:pPr>
    </w:p>
    <w:p w:rsidR="003E482A" w:rsidP="001638B1">
      <w:pPr>
        <w:spacing w:line="480" w:lineRule="auto"/>
        <w:rPr>
          <w:rFonts w:ascii="Times New Roman" w:hAnsi="Times New Roman" w:cs="Times New Roman"/>
          <w:sz w:val="24"/>
        </w:rPr>
      </w:pPr>
      <w:r>
        <w:rPr>
          <w:rFonts w:ascii="Times New Roman" w:hAnsi="Times New Roman" w:cs="Times New Roman"/>
          <w:sz w:val="24"/>
        </w:rPr>
        <w:br w:type="page"/>
      </w:r>
    </w:p>
    <w:p w:rsidR="00D715F3" w:rsidP="00D715F3">
      <w:pPr>
        <w:spacing w:line="480" w:lineRule="auto"/>
        <w:jc w:val="center"/>
        <w:rPr>
          <w:rFonts w:ascii="Times New Roman" w:hAnsi="Times New Roman" w:cs="Times New Roman"/>
          <w:sz w:val="24"/>
        </w:rPr>
      </w:pPr>
      <w:r>
        <w:rPr>
          <w:rFonts w:ascii="Times New Roman" w:hAnsi="Times New Roman" w:cs="Times New Roman"/>
          <w:sz w:val="24"/>
        </w:rPr>
        <w:t>External Stakeholders; Their role and function</w:t>
      </w:r>
    </w:p>
    <w:p w:rsidR="00F25A67" w:rsidP="001638B1">
      <w:pPr>
        <w:spacing w:line="480" w:lineRule="auto"/>
        <w:jc w:val="center"/>
        <w:rPr>
          <w:rFonts w:ascii="Times New Roman" w:hAnsi="Times New Roman" w:cs="Times New Roman"/>
          <w:b/>
          <w:sz w:val="24"/>
        </w:rPr>
      </w:pPr>
      <w:r>
        <w:rPr>
          <w:rFonts w:ascii="Times New Roman" w:hAnsi="Times New Roman" w:cs="Times New Roman"/>
          <w:b/>
          <w:sz w:val="24"/>
        </w:rPr>
        <w:t xml:space="preserve">Centers for </w:t>
      </w:r>
      <w:r w:rsidR="00576293">
        <w:rPr>
          <w:rFonts w:ascii="Times New Roman" w:hAnsi="Times New Roman" w:cs="Times New Roman"/>
          <w:b/>
          <w:sz w:val="24"/>
        </w:rPr>
        <w:t>Medic</w:t>
      </w:r>
      <w:r>
        <w:rPr>
          <w:rFonts w:ascii="Times New Roman" w:hAnsi="Times New Roman" w:cs="Times New Roman"/>
          <w:b/>
          <w:sz w:val="24"/>
        </w:rPr>
        <w:t>are and Medicaid</w:t>
      </w:r>
    </w:p>
    <w:p w:rsidR="0024765D" w:rsidP="0024765D">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The Centers for Medicare and </w:t>
      </w:r>
      <w:r w:rsidR="008F4741">
        <w:rPr>
          <w:rFonts w:ascii="Times New Roman" w:hAnsi="Times New Roman" w:cs="Times New Roman"/>
          <w:sz w:val="24"/>
        </w:rPr>
        <w:t>Medicaid</w:t>
      </w:r>
      <w:r>
        <w:rPr>
          <w:rFonts w:ascii="Times New Roman" w:hAnsi="Times New Roman" w:cs="Times New Roman"/>
          <w:sz w:val="24"/>
        </w:rPr>
        <w:t xml:space="preserve"> </w:t>
      </w:r>
      <w:r w:rsidR="008F4741">
        <w:rPr>
          <w:rFonts w:ascii="Times New Roman" w:hAnsi="Times New Roman" w:cs="Times New Roman"/>
          <w:sz w:val="24"/>
        </w:rPr>
        <w:t xml:space="preserve">have a different set of measures for the improvement of health care quality. </w:t>
      </w:r>
      <w:r w:rsidR="007A66CD">
        <w:rPr>
          <w:rFonts w:ascii="Times New Roman" w:hAnsi="Times New Roman" w:cs="Times New Roman"/>
          <w:sz w:val="24"/>
        </w:rPr>
        <w:t xml:space="preserve">One of the most important aspects is the coordination of Medicare and Medicaid for the joint goals of providing </w:t>
      </w:r>
      <w:r w:rsidR="00C825AC">
        <w:rPr>
          <w:rFonts w:ascii="Times New Roman" w:hAnsi="Times New Roman" w:cs="Times New Roman"/>
          <w:sz w:val="24"/>
        </w:rPr>
        <w:t xml:space="preserve">full access to medical benefits to individuals who are eligible for both programs. By the coordination of these programs, individuals will be able to </w:t>
      </w:r>
      <w:r w:rsidR="00177567">
        <w:rPr>
          <w:rFonts w:ascii="Times New Roman" w:hAnsi="Times New Roman" w:cs="Times New Roman"/>
          <w:sz w:val="24"/>
        </w:rPr>
        <w:t xml:space="preserve">access products and long term services for improving the quality of care and eliminating the regulatory </w:t>
      </w:r>
      <w:r w:rsidR="005739FC">
        <w:rPr>
          <w:rFonts w:ascii="Times New Roman" w:hAnsi="Times New Roman" w:cs="Times New Roman"/>
          <w:sz w:val="24"/>
        </w:rPr>
        <w:t xml:space="preserve">and cost </w:t>
      </w:r>
      <w:r w:rsidR="00177567">
        <w:rPr>
          <w:rFonts w:ascii="Times New Roman" w:hAnsi="Times New Roman" w:cs="Times New Roman"/>
          <w:sz w:val="24"/>
        </w:rPr>
        <w:t>conflicts</w:t>
      </w:r>
      <w:r w:rsidR="009A0B77">
        <w:rPr>
          <w:rFonts w:ascii="Times New Roman" w:hAnsi="Times New Roman" w:cs="Times New Roman"/>
          <w:sz w:val="24"/>
        </w:rPr>
        <w:t xml:space="preserve"> </w:t>
      </w:r>
      <w:r w:rsidR="009A0B77">
        <w:rPr>
          <w:rFonts w:ascii="Times New Roman" w:hAnsi="Times New Roman" w:cs="Times New Roman"/>
          <w:sz w:val="24"/>
        </w:rPr>
        <w:fldChar w:fldCharType="begin"/>
      </w:r>
      <w:r w:rsidR="009A0B77">
        <w:rPr>
          <w:rFonts w:ascii="Times New Roman" w:hAnsi="Times New Roman" w:cs="Times New Roman"/>
          <w:sz w:val="24"/>
        </w:rPr>
        <w:instrText xml:space="preserve"> ADDIN ZOTERO_ITEM CSL_CITATION {"citationID":"3jlsZGKk","properties":{"formattedCitation":"(Chernof, 2019)","plainCitation":"(Chernof, 2019)","noteIndex":0},"citationItems":[{"id":592,"uris":["http://zotero.org/users/local/9Hfkg8Y0/items/2VN7NA2Y"],"uri":["http://zotero.org/users/local/9Hfkg8Y0/items/2VN7NA2Y"],"itemData":{"id":592,"type":"article-journal","abstract":"Integrating Medicare and Medicaid: Successes to Date, Lessons Learned, and the Road Ahead | When Medicare and Medicaid were signed into law in the summer of 1965, the American health care landscape looked very different than today. The average","container-title":"The Milbank Quarterly","DOI":"10.1111/1468-0009.12371","issue":"1","language":"en-US","page":"31-35","source":"www.milbank.org","title":"Integrating Medicare and Medicaid: Successes to Date, Lessons Learned, and the Road Ahead","title-short":"Integrating Medicare and Medicaid","volume":"97","author":[{"family":"Chernof","given":"Bruce A."}],"issued":{"date-parts":[["2019",2,5]]}}}],"schema":"https://github.com/citation-style-language/schema/raw/master/csl-citation.json"} </w:instrText>
      </w:r>
      <w:r w:rsidR="009A0B77">
        <w:rPr>
          <w:rFonts w:ascii="Times New Roman" w:hAnsi="Times New Roman" w:cs="Times New Roman"/>
          <w:sz w:val="24"/>
        </w:rPr>
        <w:fldChar w:fldCharType="separate"/>
      </w:r>
      <w:r w:rsidRPr="009A0B77" w:rsidR="009A0B77">
        <w:rPr>
          <w:rFonts w:ascii="Times New Roman" w:hAnsi="Times New Roman" w:cs="Times New Roman"/>
          <w:sz w:val="24"/>
        </w:rPr>
        <w:t>(</w:t>
      </w:r>
      <w:r w:rsidRPr="009A0B77" w:rsidR="009A0B77">
        <w:rPr>
          <w:rFonts w:ascii="Times New Roman" w:hAnsi="Times New Roman" w:cs="Times New Roman"/>
          <w:sz w:val="24"/>
        </w:rPr>
        <w:t>Chernof</w:t>
      </w:r>
      <w:r w:rsidRPr="009A0B77" w:rsidR="009A0B77">
        <w:rPr>
          <w:rFonts w:ascii="Times New Roman" w:hAnsi="Times New Roman" w:cs="Times New Roman"/>
          <w:sz w:val="24"/>
        </w:rPr>
        <w:t>, 2019)</w:t>
      </w:r>
      <w:r w:rsidR="009A0B77">
        <w:rPr>
          <w:rFonts w:ascii="Times New Roman" w:hAnsi="Times New Roman" w:cs="Times New Roman"/>
          <w:sz w:val="24"/>
        </w:rPr>
        <w:fldChar w:fldCharType="end"/>
      </w:r>
      <w:r w:rsidR="00177567">
        <w:rPr>
          <w:rFonts w:ascii="Times New Roman" w:hAnsi="Times New Roman" w:cs="Times New Roman"/>
          <w:sz w:val="24"/>
        </w:rPr>
        <w:t xml:space="preserve">. </w:t>
      </w:r>
      <w:r w:rsidR="005739FC">
        <w:rPr>
          <w:rFonts w:ascii="Times New Roman" w:hAnsi="Times New Roman" w:cs="Times New Roman"/>
          <w:sz w:val="24"/>
        </w:rPr>
        <w:t xml:space="preserve">The coordination office has many kinds of ongoing projects that are yet to be implemented. One such </w:t>
      </w:r>
      <w:r w:rsidR="00AB3CD0">
        <w:rPr>
          <w:rFonts w:ascii="Times New Roman" w:hAnsi="Times New Roman" w:cs="Times New Roman"/>
          <w:sz w:val="24"/>
        </w:rPr>
        <w:t>effort to improve the medical settings is the implementation of the New Medicare Ground Ambulance Data Collection System to improve the ambulatory services</w:t>
      </w:r>
      <w:r w:rsidR="00412E9F">
        <w:rPr>
          <w:rFonts w:ascii="Times New Roman" w:hAnsi="Times New Roman" w:cs="Times New Roman"/>
          <w:sz w:val="24"/>
        </w:rPr>
        <w:t xml:space="preserve">. This program will be effective by </w:t>
      </w:r>
      <w:r w:rsidR="00951A7C">
        <w:rPr>
          <w:rFonts w:ascii="Times New Roman" w:hAnsi="Times New Roman" w:cs="Times New Roman"/>
          <w:sz w:val="24"/>
        </w:rPr>
        <w:t xml:space="preserve">January 2020 and will continue through 2024. During this time duration, the ground ambulance service providers and </w:t>
      </w:r>
      <w:r w:rsidR="00F15E8A">
        <w:rPr>
          <w:rFonts w:ascii="Times New Roman" w:hAnsi="Times New Roman" w:cs="Times New Roman"/>
          <w:sz w:val="24"/>
        </w:rPr>
        <w:t xml:space="preserve">suppliers participating in this study for data collection system will be responsible for collecting information. The important features that they must get information about the cost of services, utilization, revenue and </w:t>
      </w:r>
      <w:r w:rsidR="000C3830">
        <w:rPr>
          <w:rFonts w:ascii="Times New Roman" w:hAnsi="Times New Roman" w:cs="Times New Roman"/>
          <w:sz w:val="24"/>
        </w:rPr>
        <w:t>other important characteristics that can be added in the Medicare Ground Ambulance Data Collection Instrument. This study will continue for 12 months</w:t>
      </w:r>
      <w:r w:rsidR="005A4F83">
        <w:rPr>
          <w:rFonts w:ascii="Times New Roman" w:hAnsi="Times New Roman" w:cs="Times New Roman"/>
          <w:sz w:val="24"/>
        </w:rPr>
        <w:t xml:space="preserve"> </w:t>
      </w:r>
      <w:r w:rsidR="005A4F83">
        <w:rPr>
          <w:rFonts w:ascii="Times New Roman" w:hAnsi="Times New Roman" w:cs="Times New Roman"/>
          <w:sz w:val="24"/>
        </w:rPr>
        <w:fldChar w:fldCharType="begin"/>
      </w:r>
      <w:r w:rsidR="005A4F83">
        <w:rPr>
          <w:rFonts w:ascii="Times New Roman" w:hAnsi="Times New Roman" w:cs="Times New Roman"/>
          <w:sz w:val="24"/>
        </w:rPr>
        <w:instrText xml:space="preserve"> ADDIN ZOTERO_ITEM CSL_CITATION {"citationID":"AxpGSCVv","properties":{"formattedCitation":"(CMS, 2019)","plainCitation":"(CMS, 2019)","noteIndex":0},"citationItems":[{"id":590,"uris":["http://zotero.org/users/local/9Hfkg8Y0/items/ZE87J6BP"],"uri":["http://zotero.org/users/local/9Hfkg8Y0/items/ZE87J6BP"],"itemData":{"id":590,"type":"webpage","container-title":"CMS.gov","title":"Ambulances Services Center | CMS","URL":"https://www.cms.gov/Center/Provider-Type/Ambulances-Services-Center","author":[{"family":"CMS","given":""}],"accessed":{"date-parts":[["2019",12,9]]},"issued":{"date-parts":[["2019"]]}}}],"schema":"https://github.com/citation-style-language/schema/raw/master/csl-citation.json"} </w:instrText>
      </w:r>
      <w:r w:rsidR="005A4F83">
        <w:rPr>
          <w:rFonts w:ascii="Times New Roman" w:hAnsi="Times New Roman" w:cs="Times New Roman"/>
          <w:sz w:val="24"/>
        </w:rPr>
        <w:fldChar w:fldCharType="separate"/>
      </w:r>
      <w:r w:rsidRPr="005A4F83" w:rsidR="005A4F83">
        <w:rPr>
          <w:rFonts w:ascii="Times New Roman" w:hAnsi="Times New Roman" w:cs="Times New Roman"/>
          <w:sz w:val="24"/>
        </w:rPr>
        <w:t>(CMS, 2019)</w:t>
      </w:r>
      <w:r w:rsidR="005A4F83">
        <w:rPr>
          <w:rFonts w:ascii="Times New Roman" w:hAnsi="Times New Roman" w:cs="Times New Roman"/>
          <w:sz w:val="24"/>
        </w:rPr>
        <w:fldChar w:fldCharType="end"/>
      </w:r>
      <w:r w:rsidR="000C3830">
        <w:rPr>
          <w:rFonts w:ascii="Times New Roman" w:hAnsi="Times New Roman" w:cs="Times New Roman"/>
          <w:sz w:val="24"/>
        </w:rPr>
        <w:t xml:space="preserve">. </w:t>
      </w:r>
    </w:p>
    <w:p w:rsidR="000C3830" w:rsidRPr="0024765D" w:rsidP="0024765D">
      <w:pPr>
        <w:spacing w:line="480" w:lineRule="auto"/>
        <w:rPr>
          <w:rFonts w:ascii="Times New Roman" w:hAnsi="Times New Roman" w:cs="Times New Roman"/>
          <w:sz w:val="24"/>
        </w:rPr>
      </w:pPr>
      <w:r>
        <w:rPr>
          <w:rFonts w:ascii="Times New Roman" w:hAnsi="Times New Roman" w:cs="Times New Roman"/>
          <w:sz w:val="24"/>
        </w:rPr>
        <w:tab/>
        <w:t xml:space="preserve">The information collected by this </w:t>
      </w:r>
      <w:r w:rsidR="00C428AA">
        <w:rPr>
          <w:rFonts w:ascii="Times New Roman" w:hAnsi="Times New Roman" w:cs="Times New Roman"/>
          <w:sz w:val="24"/>
        </w:rPr>
        <w:t xml:space="preserve">study will be utilized for evaluating the extent to which stated costs </w:t>
      </w:r>
      <w:r w:rsidR="009C5456">
        <w:rPr>
          <w:rFonts w:ascii="Times New Roman" w:hAnsi="Times New Roman" w:cs="Times New Roman"/>
          <w:sz w:val="24"/>
        </w:rPr>
        <w:t>relate to the payment rates that fall under the Medicare Part B Ambulance Schedule. It will also help in</w:t>
      </w:r>
      <w:r w:rsidR="00937F05">
        <w:rPr>
          <w:rFonts w:ascii="Times New Roman" w:hAnsi="Times New Roman" w:cs="Times New Roman"/>
          <w:sz w:val="24"/>
        </w:rPr>
        <w:t xml:space="preserve"> collecting and</w:t>
      </w:r>
      <w:r w:rsidR="009C5456">
        <w:rPr>
          <w:rFonts w:ascii="Times New Roman" w:hAnsi="Times New Roman" w:cs="Times New Roman"/>
          <w:sz w:val="24"/>
        </w:rPr>
        <w:t xml:space="preserve"> analyzing the </w:t>
      </w:r>
      <w:r w:rsidR="00937F05">
        <w:rPr>
          <w:rFonts w:ascii="Times New Roman" w:hAnsi="Times New Roman" w:cs="Times New Roman"/>
          <w:sz w:val="24"/>
        </w:rPr>
        <w:t xml:space="preserve">information on the utility of capital equipment and the capacity of the ambulance. The study will also assist in </w:t>
      </w:r>
      <w:r w:rsidR="007242D4">
        <w:rPr>
          <w:rFonts w:ascii="Times New Roman" w:hAnsi="Times New Roman" w:cs="Times New Roman"/>
          <w:sz w:val="24"/>
        </w:rPr>
        <w:t>finding out different</w:t>
      </w:r>
      <w:r w:rsidR="009A0B77">
        <w:rPr>
          <w:rFonts w:ascii="Times New Roman" w:hAnsi="Times New Roman" w:cs="Times New Roman"/>
          <w:sz w:val="24"/>
        </w:rPr>
        <w:t xml:space="preserve"> kinds of Ground Ambulance S</w:t>
      </w:r>
      <w:r w:rsidR="007242D4">
        <w:rPr>
          <w:rFonts w:ascii="Times New Roman" w:hAnsi="Times New Roman" w:cs="Times New Roman"/>
          <w:sz w:val="24"/>
        </w:rPr>
        <w:t>ervices that are</w:t>
      </w:r>
      <w:r w:rsidR="0095677E">
        <w:rPr>
          <w:rFonts w:ascii="Times New Roman" w:hAnsi="Times New Roman" w:cs="Times New Roman"/>
          <w:sz w:val="24"/>
        </w:rPr>
        <w:t xml:space="preserve"> properly</w:t>
      </w:r>
      <w:r w:rsidR="007242D4">
        <w:rPr>
          <w:rFonts w:ascii="Times New Roman" w:hAnsi="Times New Roman" w:cs="Times New Roman"/>
          <w:sz w:val="24"/>
        </w:rPr>
        <w:t xml:space="preserve"> equipped </w:t>
      </w:r>
      <w:r w:rsidR="0095677E">
        <w:rPr>
          <w:rFonts w:ascii="Times New Roman" w:hAnsi="Times New Roman" w:cs="Times New Roman"/>
          <w:sz w:val="24"/>
        </w:rPr>
        <w:t>and provide services in various geographic locations along with rural and low population density areas</w:t>
      </w:r>
      <w:r w:rsidR="00BC7F40">
        <w:rPr>
          <w:rFonts w:ascii="Times New Roman" w:hAnsi="Times New Roman" w:cs="Times New Roman"/>
          <w:sz w:val="24"/>
        </w:rPr>
        <w:t xml:space="preserve"> </w:t>
      </w:r>
      <w:r w:rsidR="00BC7F40">
        <w:rPr>
          <w:rFonts w:ascii="Times New Roman" w:hAnsi="Times New Roman" w:cs="Times New Roman"/>
          <w:sz w:val="24"/>
        </w:rPr>
        <w:fldChar w:fldCharType="begin"/>
      </w:r>
      <w:r w:rsidR="00BC7F40">
        <w:rPr>
          <w:rFonts w:ascii="Times New Roman" w:hAnsi="Times New Roman" w:cs="Times New Roman"/>
          <w:sz w:val="24"/>
        </w:rPr>
        <w:instrText xml:space="preserve"> ADDIN ZOTERO_ITEM CSL_CITATION {"citationID":"OV0T0xoC","properties":{"formattedCitation":"(Medicare Interactive, 2019)","plainCitation":"(Medicare Interactive, 2019)","noteIndex":0},"citationItems":[{"id":594,"uris":["http://zotero.org/users/local/9Hfkg8Y0/items/D8PWDH3X"],"uri":["http://zotero.org/users/local/9Hfkg8Y0/items/D8PWDH3X"],"itemData":{"id":594,"type":"post-weblog","abstract":"Medicare Part B covers emergency ambulance services and, in limited cases, non-emergency ambulance services. Medicare considers an emergency to be any situation when your …","container-title":"Medicare Interactive","language":"en-US","title":"Ambulance transportation basics","URL":"https://www.medicareinteractive.org/get-answers/medicare-covered-services/ambulance-services/ambulance-transportation-basics","author":[{"family":"Medicare Interactive","given":""}],"accessed":{"date-parts":[["2019",12,9]]},"issued":{"date-parts":[["2019"]]}}}],"schema":"https://github.com/citation-style-language/schema/raw/master/csl-citation.json"} </w:instrText>
      </w:r>
      <w:r w:rsidR="00BC7F40">
        <w:rPr>
          <w:rFonts w:ascii="Times New Roman" w:hAnsi="Times New Roman" w:cs="Times New Roman"/>
          <w:sz w:val="24"/>
        </w:rPr>
        <w:fldChar w:fldCharType="separate"/>
      </w:r>
      <w:r w:rsidRPr="00BC7F40" w:rsidR="00BC7F40">
        <w:rPr>
          <w:rFonts w:ascii="Times New Roman" w:hAnsi="Times New Roman" w:cs="Times New Roman"/>
          <w:sz w:val="24"/>
        </w:rPr>
        <w:t>(Medicare Interactive, 2019)</w:t>
      </w:r>
      <w:r w:rsidR="00BC7F40">
        <w:rPr>
          <w:rFonts w:ascii="Times New Roman" w:hAnsi="Times New Roman" w:cs="Times New Roman"/>
          <w:sz w:val="24"/>
        </w:rPr>
        <w:fldChar w:fldCharType="end"/>
      </w:r>
      <w:r w:rsidR="0095677E">
        <w:rPr>
          <w:rFonts w:ascii="Times New Roman" w:hAnsi="Times New Roman" w:cs="Times New Roman"/>
          <w:sz w:val="24"/>
        </w:rPr>
        <w:t xml:space="preserve">. </w:t>
      </w:r>
      <w:r w:rsidR="00E8650E">
        <w:rPr>
          <w:rFonts w:ascii="Times New Roman" w:hAnsi="Times New Roman" w:cs="Times New Roman"/>
          <w:sz w:val="24"/>
        </w:rPr>
        <w:t xml:space="preserve">The </w:t>
      </w:r>
      <w:r w:rsidR="00E8650E">
        <w:rPr>
          <w:rFonts w:ascii="Times New Roman" w:hAnsi="Times New Roman" w:cs="Times New Roman"/>
          <w:sz w:val="24"/>
        </w:rPr>
        <w:t xml:space="preserve">ambulances services will be subjected to severe examinations and will be entitled to share all the required information. </w:t>
      </w:r>
      <w:r w:rsidR="000F4780">
        <w:rPr>
          <w:rFonts w:ascii="Times New Roman" w:hAnsi="Times New Roman" w:cs="Times New Roman"/>
          <w:sz w:val="24"/>
        </w:rPr>
        <w:t>The results of the study will eventually help in finding the gaps in the services and improving</w:t>
      </w:r>
      <w:r w:rsidR="00454CCA">
        <w:rPr>
          <w:rFonts w:ascii="Times New Roman" w:hAnsi="Times New Roman" w:cs="Times New Roman"/>
          <w:sz w:val="24"/>
        </w:rPr>
        <w:t xml:space="preserve"> the </w:t>
      </w:r>
      <w:r w:rsidR="000F4780">
        <w:rPr>
          <w:rFonts w:ascii="Times New Roman" w:hAnsi="Times New Roman" w:cs="Times New Roman"/>
          <w:sz w:val="24"/>
        </w:rPr>
        <w:t>cost-effective</w:t>
      </w:r>
      <w:r w:rsidR="00454CCA">
        <w:rPr>
          <w:rFonts w:ascii="Times New Roman" w:hAnsi="Times New Roman" w:cs="Times New Roman"/>
          <w:sz w:val="24"/>
        </w:rPr>
        <w:t>ness</w:t>
      </w:r>
      <w:r w:rsidR="000F4780">
        <w:rPr>
          <w:rFonts w:ascii="Times New Roman" w:hAnsi="Times New Roman" w:cs="Times New Roman"/>
          <w:sz w:val="24"/>
        </w:rPr>
        <w:t xml:space="preserve"> and </w:t>
      </w:r>
      <w:r w:rsidR="00454CCA">
        <w:rPr>
          <w:rFonts w:ascii="Times New Roman" w:hAnsi="Times New Roman" w:cs="Times New Roman"/>
          <w:sz w:val="24"/>
        </w:rPr>
        <w:t xml:space="preserve">quality of services. </w:t>
      </w:r>
    </w:p>
    <w:p w:rsidR="00576293" w:rsidP="001638B1">
      <w:pPr>
        <w:spacing w:line="480" w:lineRule="auto"/>
        <w:jc w:val="center"/>
        <w:rPr>
          <w:rFonts w:ascii="Times New Roman" w:hAnsi="Times New Roman" w:cs="Times New Roman"/>
          <w:b/>
          <w:sz w:val="24"/>
        </w:rPr>
      </w:pPr>
      <w:r>
        <w:rPr>
          <w:rFonts w:ascii="Times New Roman" w:hAnsi="Times New Roman" w:cs="Times New Roman"/>
          <w:b/>
          <w:sz w:val="24"/>
        </w:rPr>
        <w:t xml:space="preserve">Joint Commission </w:t>
      </w:r>
    </w:p>
    <w:p w:rsidR="00F25A67" w:rsidP="006F45FC">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The </w:t>
      </w:r>
      <w:r w:rsidR="00C555BC">
        <w:rPr>
          <w:rFonts w:ascii="Times New Roman" w:hAnsi="Times New Roman" w:cs="Times New Roman"/>
          <w:sz w:val="24"/>
        </w:rPr>
        <w:t xml:space="preserve">Joint Commission is a responsive organization to the Centers for Medicare and Medicaid Services Request for Information. It provides information and evaluator response related to the accrediting organizations that are approved by Medicare. </w:t>
      </w:r>
      <w:r w:rsidR="0003756C">
        <w:rPr>
          <w:rFonts w:ascii="Times New Roman" w:hAnsi="Times New Roman" w:cs="Times New Roman"/>
          <w:sz w:val="24"/>
        </w:rPr>
        <w:t xml:space="preserve">It also provides the appropriate responsive fee-based consultative services </w:t>
      </w:r>
      <w:r w:rsidR="00F94C62">
        <w:rPr>
          <w:rFonts w:ascii="Times New Roman" w:hAnsi="Times New Roman" w:cs="Times New Roman"/>
          <w:sz w:val="24"/>
        </w:rPr>
        <w:t xml:space="preserve">to the health care providers and suppliers participating in the Medicare programs. </w:t>
      </w:r>
      <w:r w:rsidR="0058195F">
        <w:rPr>
          <w:rFonts w:ascii="Times New Roman" w:hAnsi="Times New Roman" w:cs="Times New Roman"/>
          <w:sz w:val="24"/>
        </w:rPr>
        <w:t xml:space="preserve">The Joint Commission works on different </w:t>
      </w:r>
      <w:r w:rsidR="009741F7">
        <w:rPr>
          <w:rFonts w:ascii="Times New Roman" w:hAnsi="Times New Roman" w:cs="Times New Roman"/>
          <w:sz w:val="24"/>
        </w:rPr>
        <w:t xml:space="preserve">measurements and one of those </w:t>
      </w:r>
      <w:r w:rsidR="005231CD">
        <w:rPr>
          <w:rFonts w:ascii="Times New Roman" w:hAnsi="Times New Roman" w:cs="Times New Roman"/>
          <w:sz w:val="24"/>
        </w:rPr>
        <w:t>measures is based on its annual reports i.e., Improving America’s Hospitals.</w:t>
      </w:r>
      <w:r w:rsidR="00723BA4">
        <w:rPr>
          <w:rFonts w:ascii="Times New Roman" w:hAnsi="Times New Roman" w:cs="Times New Roman"/>
          <w:sz w:val="24"/>
        </w:rPr>
        <w:t xml:space="preserve"> It was highlighted in the annual report for the year 2017 to improve the quality and safety in the hospital settings.</w:t>
      </w:r>
      <w:r w:rsidR="0092565F">
        <w:rPr>
          <w:rFonts w:ascii="Times New Roman" w:hAnsi="Times New Roman" w:cs="Times New Roman"/>
          <w:sz w:val="24"/>
        </w:rPr>
        <w:t xml:space="preserve"> According to the results of the report, it has been established that certain hospitals have effectively leveraged </w:t>
      </w:r>
      <w:r w:rsidR="004A567F">
        <w:rPr>
          <w:rFonts w:ascii="Times New Roman" w:hAnsi="Times New Roman" w:cs="Times New Roman"/>
          <w:sz w:val="24"/>
        </w:rPr>
        <w:t>the implementation of Electronic Clinical Quality Measures (</w:t>
      </w:r>
      <w:r w:rsidR="004A567F">
        <w:rPr>
          <w:rFonts w:ascii="Times New Roman" w:hAnsi="Times New Roman" w:cs="Times New Roman"/>
          <w:sz w:val="24"/>
        </w:rPr>
        <w:t>eCQM</w:t>
      </w:r>
      <w:r w:rsidR="004A567F">
        <w:rPr>
          <w:rFonts w:ascii="Times New Roman" w:hAnsi="Times New Roman" w:cs="Times New Roman"/>
          <w:sz w:val="24"/>
        </w:rPr>
        <w:t>) intending to improve the quality of care. The report also</w:t>
      </w:r>
      <w:r w:rsidR="000154F3">
        <w:rPr>
          <w:rFonts w:ascii="Times New Roman" w:hAnsi="Times New Roman" w:cs="Times New Roman"/>
          <w:sz w:val="24"/>
        </w:rPr>
        <w:t xml:space="preserve"> re</w:t>
      </w:r>
      <w:r w:rsidR="004A567F">
        <w:rPr>
          <w:rFonts w:ascii="Times New Roman" w:hAnsi="Times New Roman" w:cs="Times New Roman"/>
          <w:sz w:val="24"/>
        </w:rPr>
        <w:t xml:space="preserve">presented millions of </w:t>
      </w:r>
      <w:r w:rsidR="000154F3">
        <w:rPr>
          <w:rFonts w:ascii="Times New Roman" w:hAnsi="Times New Roman" w:cs="Times New Roman"/>
          <w:sz w:val="24"/>
        </w:rPr>
        <w:t>opportunities for the provision of evidence-based health care services</w:t>
      </w:r>
      <w:r w:rsidR="008800D7">
        <w:rPr>
          <w:rFonts w:ascii="Times New Roman" w:hAnsi="Times New Roman" w:cs="Times New Roman"/>
          <w:sz w:val="24"/>
        </w:rPr>
        <w:t xml:space="preserve"> </w:t>
      </w:r>
      <w:r w:rsidR="008800D7">
        <w:rPr>
          <w:rFonts w:ascii="Times New Roman" w:hAnsi="Times New Roman" w:cs="Times New Roman"/>
          <w:sz w:val="24"/>
        </w:rPr>
        <w:fldChar w:fldCharType="begin"/>
      </w:r>
      <w:r w:rsidR="008800D7">
        <w:rPr>
          <w:rFonts w:ascii="Times New Roman" w:hAnsi="Times New Roman" w:cs="Times New Roman"/>
          <w:sz w:val="24"/>
        </w:rPr>
        <w:instrText xml:space="preserve"> ADDIN ZOTERO_ITEM CSL_CITATION {"citationID":"vYSYVSZ0","properties":{"formattedCitation":"(Joint Commission, 2019)","plainCitation":"(Joint Commission, 2019)","noteIndex":0},"citationItems":[{"id":596,"uris":["http://zotero.org/users/local/9Hfkg8Y0/items/K49IC5C5"],"uri":["http://zotero.org/users/local/9Hfkg8Y0/items/K49IC5C5"],"itemData":{"id":596,"type":"webpage","container-title":"The Joint Commission","language":"en","title":"Annual Report - Improving America's Hospitals","URL":"https://www.jointcommission.org/annualreport.aspx","author":[{"family":"Joint Commission","given":""}],"accessed":{"date-parts":[["2019",12,9]]},"issued":{"date-parts":[["2019"]]}}}],"schema":"https://github.com/citation-style-language/schema/raw/master/csl-citation.json"} </w:instrText>
      </w:r>
      <w:r w:rsidR="008800D7">
        <w:rPr>
          <w:rFonts w:ascii="Times New Roman" w:hAnsi="Times New Roman" w:cs="Times New Roman"/>
          <w:sz w:val="24"/>
        </w:rPr>
        <w:fldChar w:fldCharType="separate"/>
      </w:r>
      <w:r w:rsidRPr="008800D7" w:rsidR="008800D7">
        <w:rPr>
          <w:rFonts w:ascii="Times New Roman" w:hAnsi="Times New Roman" w:cs="Times New Roman"/>
          <w:sz w:val="24"/>
        </w:rPr>
        <w:t>(Joint Commission, 2019)</w:t>
      </w:r>
      <w:r w:rsidR="008800D7">
        <w:rPr>
          <w:rFonts w:ascii="Times New Roman" w:hAnsi="Times New Roman" w:cs="Times New Roman"/>
          <w:sz w:val="24"/>
        </w:rPr>
        <w:fldChar w:fldCharType="end"/>
      </w:r>
      <w:r w:rsidR="000154F3">
        <w:rPr>
          <w:rFonts w:ascii="Times New Roman" w:hAnsi="Times New Roman" w:cs="Times New Roman"/>
          <w:sz w:val="24"/>
        </w:rPr>
        <w:t xml:space="preserve">. </w:t>
      </w:r>
    </w:p>
    <w:p w:rsidR="00935B56" w:rsidRPr="006F45FC" w:rsidP="006F45FC">
      <w:pPr>
        <w:spacing w:line="480" w:lineRule="auto"/>
        <w:rPr>
          <w:rFonts w:ascii="Times New Roman" w:hAnsi="Times New Roman" w:cs="Times New Roman"/>
          <w:sz w:val="24"/>
        </w:rPr>
      </w:pPr>
      <w:r>
        <w:rPr>
          <w:rFonts w:ascii="Times New Roman" w:hAnsi="Times New Roman" w:cs="Times New Roman"/>
          <w:sz w:val="24"/>
        </w:rPr>
        <w:tab/>
        <w:t xml:space="preserve">The results of the annual reports and the </w:t>
      </w:r>
      <w:r w:rsidR="000F7FAC">
        <w:rPr>
          <w:rFonts w:ascii="Times New Roman" w:hAnsi="Times New Roman" w:cs="Times New Roman"/>
          <w:sz w:val="24"/>
        </w:rPr>
        <w:t>evidence</w:t>
      </w:r>
      <w:r>
        <w:rPr>
          <w:rFonts w:ascii="Times New Roman" w:hAnsi="Times New Roman" w:cs="Times New Roman"/>
          <w:sz w:val="24"/>
        </w:rPr>
        <w:t xml:space="preserve">-based practice can help in continuing to improve the standards of public </w:t>
      </w:r>
      <w:r w:rsidR="000F7FAC">
        <w:rPr>
          <w:rFonts w:ascii="Times New Roman" w:hAnsi="Times New Roman" w:cs="Times New Roman"/>
          <w:sz w:val="24"/>
        </w:rPr>
        <w:t xml:space="preserve">health care. With the collaboration of other stakeholders, health care organizations and federal regulatory agencies, </w:t>
      </w:r>
      <w:r w:rsidR="00086E42">
        <w:rPr>
          <w:rFonts w:ascii="Times New Roman" w:hAnsi="Times New Roman" w:cs="Times New Roman"/>
          <w:sz w:val="24"/>
        </w:rPr>
        <w:t xml:space="preserve">further efforts can be made to ensure that the services provided to all people are extremely effective and safe. Thus, the implementation of </w:t>
      </w:r>
      <w:r w:rsidR="00091389">
        <w:rPr>
          <w:rFonts w:ascii="Times New Roman" w:hAnsi="Times New Roman" w:cs="Times New Roman"/>
          <w:sz w:val="24"/>
        </w:rPr>
        <w:t>information technology and other digital programs can help in storing the data without any discrepancies. The electronic health records help the physicians in making informed decisions and thus value the safety of the patients</w:t>
      </w:r>
      <w:r w:rsidR="00FA405D">
        <w:rPr>
          <w:rFonts w:ascii="Times New Roman" w:hAnsi="Times New Roman" w:cs="Times New Roman"/>
          <w:sz w:val="24"/>
        </w:rPr>
        <w:t xml:space="preserve"> </w:t>
      </w:r>
      <w:r w:rsidR="00FA405D">
        <w:rPr>
          <w:rFonts w:ascii="Times New Roman" w:hAnsi="Times New Roman" w:cs="Times New Roman"/>
          <w:sz w:val="24"/>
        </w:rPr>
        <w:fldChar w:fldCharType="begin"/>
      </w:r>
      <w:r w:rsidR="00FA405D">
        <w:rPr>
          <w:rFonts w:ascii="Times New Roman" w:hAnsi="Times New Roman" w:cs="Times New Roman"/>
          <w:sz w:val="24"/>
        </w:rPr>
        <w:instrText xml:space="preserve"> ADDIN ZOTERO_ITEM CSL_CITATION {"citationID":"FpSIT0kQ","properties":{"formattedCitation":"(LaBonte et al., 2019)","plainCitation":"(LaBonte et al., 2019)","noteIndex":0},"citationItems":[{"id":598,"uris":["http://zotero.org/users/local/9Hfkg8Y0/items/573LEVZ6"],"uri":["http://zotero.org/users/local/9Hfkg8Y0/items/573LEVZ6"],"itemData":{"id":598,"type":"article-journal","container-title":"American Journal of Medical Quality","issue":"2","page":"119-126","title":"Performance on Electronic Clinical Quality Measures in the Comprehensive Primary Care Initiative","volume":"34","author":[{"family":"LaBonte","given":"Christiane T."},{"family":"Payne","given":"Perry"},{"family":"Rollow","given":"William"},{"family":"Smith","given":"Mark W."},{"family":"Nissar","given":"Abdul"},{"family":"Holtz","given":"Patrice"},{"family":"Sessums","given":"Laura L."}],"issued":{"date-parts":[["2019"]]}}}],"schema":"https://github.com/citation-style-language/schema/raw/master/csl-citation.json"} </w:instrText>
      </w:r>
      <w:r w:rsidR="00FA405D">
        <w:rPr>
          <w:rFonts w:ascii="Times New Roman" w:hAnsi="Times New Roman" w:cs="Times New Roman"/>
          <w:sz w:val="24"/>
        </w:rPr>
        <w:fldChar w:fldCharType="separate"/>
      </w:r>
      <w:r w:rsidRPr="00FA405D" w:rsidR="00FA405D">
        <w:rPr>
          <w:rFonts w:ascii="Times New Roman" w:hAnsi="Times New Roman" w:cs="Times New Roman"/>
          <w:sz w:val="24"/>
        </w:rPr>
        <w:t>(</w:t>
      </w:r>
      <w:r w:rsidRPr="00FA405D" w:rsidR="00FA405D">
        <w:rPr>
          <w:rFonts w:ascii="Times New Roman" w:hAnsi="Times New Roman" w:cs="Times New Roman"/>
          <w:sz w:val="24"/>
        </w:rPr>
        <w:t>LaBonte</w:t>
      </w:r>
      <w:r w:rsidRPr="00FA405D" w:rsidR="00FA405D">
        <w:rPr>
          <w:rFonts w:ascii="Times New Roman" w:hAnsi="Times New Roman" w:cs="Times New Roman"/>
          <w:sz w:val="24"/>
        </w:rPr>
        <w:t xml:space="preserve"> et al., 2019)</w:t>
      </w:r>
      <w:r w:rsidR="00FA405D">
        <w:rPr>
          <w:rFonts w:ascii="Times New Roman" w:hAnsi="Times New Roman" w:cs="Times New Roman"/>
          <w:sz w:val="24"/>
        </w:rPr>
        <w:fldChar w:fldCharType="end"/>
      </w:r>
      <w:r w:rsidR="00091389">
        <w:rPr>
          <w:rFonts w:ascii="Times New Roman" w:hAnsi="Times New Roman" w:cs="Times New Roman"/>
          <w:sz w:val="24"/>
        </w:rPr>
        <w:t>.</w:t>
      </w:r>
      <w:r w:rsidR="00597E78">
        <w:rPr>
          <w:rFonts w:ascii="Times New Roman" w:hAnsi="Times New Roman" w:cs="Times New Roman"/>
          <w:sz w:val="24"/>
        </w:rPr>
        <w:t xml:space="preserve"> These programs also help in improving the collaboration between Medicaid and Medicare while working on joint </w:t>
      </w:r>
      <w:r w:rsidR="00597E78">
        <w:rPr>
          <w:rFonts w:ascii="Times New Roman" w:hAnsi="Times New Roman" w:cs="Times New Roman"/>
          <w:sz w:val="24"/>
        </w:rPr>
        <w:t>projects. It is imperative to ensure both the quality and safety of the patients</w:t>
      </w:r>
      <w:r w:rsidR="002D79D3">
        <w:rPr>
          <w:rFonts w:ascii="Times New Roman" w:hAnsi="Times New Roman" w:cs="Times New Roman"/>
          <w:sz w:val="24"/>
        </w:rPr>
        <w:t xml:space="preserve"> and to achieve this goal, the hospitals must be accredited</w:t>
      </w:r>
      <w:r w:rsidR="00453E3E">
        <w:rPr>
          <w:rFonts w:ascii="Times New Roman" w:hAnsi="Times New Roman" w:cs="Times New Roman"/>
          <w:sz w:val="24"/>
        </w:rPr>
        <w:t xml:space="preserve"> </w:t>
      </w:r>
      <w:r w:rsidR="00453E3E">
        <w:rPr>
          <w:rFonts w:ascii="Times New Roman" w:hAnsi="Times New Roman" w:cs="Times New Roman"/>
          <w:sz w:val="24"/>
        </w:rPr>
        <w:fldChar w:fldCharType="begin"/>
      </w:r>
      <w:r w:rsidR="00453E3E">
        <w:rPr>
          <w:rFonts w:ascii="Times New Roman" w:hAnsi="Times New Roman" w:cs="Times New Roman"/>
          <w:sz w:val="24"/>
        </w:rPr>
        <w:instrText xml:space="preserve"> ADDIN ZOTERO_ITEM CSL_CITATION {"citationID":"vZb2LhnQ","properties":{"formattedCitation":"(Lam et al., 2018)","plainCitation":"(Lam et al., 2018)","noteIndex":0},"citationItems":[{"id":601,"uris":["http://zotero.org/users/local/9Hfkg8Y0/items/CVK7UFRY"],"uri":["http://zotero.org/users/local/9Hfkg8Y0/items/CVK7UFRY"],"itemData":{"id":601,"type":"article-journal","container-title":"bmj","page":"k4011","title":"Association between patient outcomes and accreditation in US hospitals: observational study","volume":"363","author":[{"family":"Lam","given":"Miranda B."},{"family":"Figueroa","given":"Jose F."},{"family":"Feyman","given":"Yevgeniy"},{"family":"Reimold","given":"Kimberly E."},{"family":"Orav","given":"E. John"},{"family":"Jha","given":"Ashish K."}],"issued":{"date-parts":[["2018"]]}}}],"schema":"https://github.com/citation-style-language/schema/raw/master/csl-citation.json"} </w:instrText>
      </w:r>
      <w:r w:rsidR="00453E3E">
        <w:rPr>
          <w:rFonts w:ascii="Times New Roman" w:hAnsi="Times New Roman" w:cs="Times New Roman"/>
          <w:sz w:val="24"/>
        </w:rPr>
        <w:fldChar w:fldCharType="separate"/>
      </w:r>
      <w:r w:rsidRPr="00453E3E" w:rsidR="00453E3E">
        <w:rPr>
          <w:rFonts w:ascii="Times New Roman" w:hAnsi="Times New Roman" w:cs="Times New Roman"/>
          <w:sz w:val="24"/>
        </w:rPr>
        <w:t>(Lam et al., 2018)</w:t>
      </w:r>
      <w:r w:rsidR="00453E3E">
        <w:rPr>
          <w:rFonts w:ascii="Times New Roman" w:hAnsi="Times New Roman" w:cs="Times New Roman"/>
          <w:sz w:val="24"/>
        </w:rPr>
        <w:fldChar w:fldCharType="end"/>
      </w:r>
      <w:r w:rsidR="00453E3E">
        <w:rPr>
          <w:rFonts w:ascii="Times New Roman" w:hAnsi="Times New Roman" w:cs="Times New Roman"/>
          <w:sz w:val="24"/>
        </w:rPr>
        <w:t xml:space="preserve">. </w:t>
      </w:r>
      <w:r w:rsidR="00597E78">
        <w:rPr>
          <w:rFonts w:ascii="Times New Roman" w:hAnsi="Times New Roman" w:cs="Times New Roman"/>
          <w:sz w:val="24"/>
        </w:rPr>
        <w:t>The security of the data is another concern but bringing such innovations in the he</w:t>
      </w:r>
      <w:r w:rsidR="00DB0BB9">
        <w:rPr>
          <w:rFonts w:ascii="Times New Roman" w:hAnsi="Times New Roman" w:cs="Times New Roman"/>
          <w:sz w:val="24"/>
        </w:rPr>
        <w:t xml:space="preserve">alth care setting will have a positive impact on the overall performance of providers. </w:t>
      </w:r>
    </w:p>
    <w:p w:rsidR="00F25A67" w:rsidP="001638B1">
      <w:pPr>
        <w:spacing w:line="480" w:lineRule="auto"/>
        <w:jc w:val="center"/>
        <w:rPr>
          <w:rFonts w:ascii="Times New Roman" w:hAnsi="Times New Roman" w:cs="Times New Roman"/>
          <w:b/>
          <w:sz w:val="24"/>
        </w:rPr>
      </w:pPr>
    </w:p>
    <w:p w:rsidR="00F25A67" w:rsidP="001638B1">
      <w:pPr>
        <w:spacing w:line="480" w:lineRule="auto"/>
        <w:jc w:val="center"/>
        <w:rPr>
          <w:rFonts w:ascii="Times New Roman" w:hAnsi="Times New Roman" w:cs="Times New Roman"/>
          <w:b/>
          <w:sz w:val="24"/>
        </w:rPr>
      </w:pPr>
    </w:p>
    <w:p w:rsidR="00F25A67" w:rsidP="00BC7F40">
      <w:pPr>
        <w:spacing w:line="480" w:lineRule="auto"/>
        <w:rPr>
          <w:rFonts w:ascii="Times New Roman" w:hAnsi="Times New Roman" w:cs="Times New Roman"/>
          <w:b/>
          <w:sz w:val="24"/>
        </w:rPr>
      </w:pPr>
    </w:p>
    <w:p w:rsidR="00F25A67" w:rsidP="001638B1">
      <w:pPr>
        <w:spacing w:line="480" w:lineRule="auto"/>
        <w:jc w:val="center"/>
        <w:rPr>
          <w:rFonts w:ascii="Times New Roman" w:hAnsi="Times New Roman" w:cs="Times New Roman"/>
          <w:b/>
          <w:sz w:val="24"/>
        </w:rPr>
      </w:pPr>
    </w:p>
    <w:p w:rsidR="00453E3E" w:rsidP="001638B1">
      <w:pPr>
        <w:spacing w:line="480" w:lineRule="auto"/>
        <w:jc w:val="center"/>
        <w:rPr>
          <w:rFonts w:ascii="Times New Roman" w:hAnsi="Times New Roman" w:cs="Times New Roman"/>
          <w:b/>
          <w:sz w:val="24"/>
        </w:rPr>
      </w:pPr>
    </w:p>
    <w:p w:rsidR="00453E3E" w:rsidP="001638B1">
      <w:pPr>
        <w:spacing w:line="480" w:lineRule="auto"/>
        <w:jc w:val="center"/>
        <w:rPr>
          <w:rFonts w:ascii="Times New Roman" w:hAnsi="Times New Roman" w:cs="Times New Roman"/>
          <w:b/>
          <w:sz w:val="24"/>
        </w:rPr>
      </w:pPr>
    </w:p>
    <w:p w:rsidR="00453E3E" w:rsidP="001638B1">
      <w:pPr>
        <w:spacing w:line="480" w:lineRule="auto"/>
        <w:jc w:val="center"/>
        <w:rPr>
          <w:rFonts w:ascii="Times New Roman" w:hAnsi="Times New Roman" w:cs="Times New Roman"/>
          <w:b/>
          <w:sz w:val="24"/>
        </w:rPr>
      </w:pPr>
    </w:p>
    <w:p w:rsidR="00453E3E" w:rsidP="001638B1">
      <w:pPr>
        <w:spacing w:line="480" w:lineRule="auto"/>
        <w:jc w:val="center"/>
        <w:rPr>
          <w:rFonts w:ascii="Times New Roman" w:hAnsi="Times New Roman" w:cs="Times New Roman"/>
          <w:b/>
          <w:sz w:val="24"/>
        </w:rPr>
      </w:pPr>
    </w:p>
    <w:p w:rsidR="00453E3E" w:rsidP="001638B1">
      <w:pPr>
        <w:spacing w:line="480" w:lineRule="auto"/>
        <w:jc w:val="center"/>
        <w:rPr>
          <w:rFonts w:ascii="Times New Roman" w:hAnsi="Times New Roman" w:cs="Times New Roman"/>
          <w:b/>
          <w:sz w:val="24"/>
        </w:rPr>
      </w:pPr>
    </w:p>
    <w:p w:rsidR="00453E3E" w:rsidP="001638B1">
      <w:pPr>
        <w:spacing w:line="480" w:lineRule="auto"/>
        <w:jc w:val="center"/>
        <w:rPr>
          <w:rFonts w:ascii="Times New Roman" w:hAnsi="Times New Roman" w:cs="Times New Roman"/>
          <w:b/>
          <w:sz w:val="24"/>
        </w:rPr>
      </w:pPr>
    </w:p>
    <w:p w:rsidR="00453E3E" w:rsidP="001638B1">
      <w:pPr>
        <w:spacing w:line="480" w:lineRule="auto"/>
        <w:jc w:val="center"/>
        <w:rPr>
          <w:rFonts w:ascii="Times New Roman" w:hAnsi="Times New Roman" w:cs="Times New Roman"/>
          <w:b/>
          <w:sz w:val="24"/>
        </w:rPr>
      </w:pPr>
    </w:p>
    <w:p w:rsidR="00453E3E" w:rsidP="001638B1">
      <w:pPr>
        <w:spacing w:line="480" w:lineRule="auto"/>
        <w:jc w:val="center"/>
        <w:rPr>
          <w:rFonts w:ascii="Times New Roman" w:hAnsi="Times New Roman" w:cs="Times New Roman"/>
          <w:b/>
          <w:sz w:val="24"/>
        </w:rPr>
      </w:pPr>
    </w:p>
    <w:p w:rsidR="00453E3E" w:rsidP="001638B1">
      <w:pPr>
        <w:spacing w:line="480" w:lineRule="auto"/>
        <w:jc w:val="center"/>
        <w:rPr>
          <w:rFonts w:ascii="Times New Roman" w:hAnsi="Times New Roman" w:cs="Times New Roman"/>
          <w:b/>
          <w:sz w:val="24"/>
        </w:rPr>
      </w:pPr>
    </w:p>
    <w:p w:rsidR="00453E3E" w:rsidP="001638B1">
      <w:pPr>
        <w:spacing w:line="480" w:lineRule="auto"/>
        <w:jc w:val="center"/>
        <w:rPr>
          <w:rFonts w:ascii="Times New Roman" w:hAnsi="Times New Roman" w:cs="Times New Roman"/>
          <w:b/>
          <w:sz w:val="24"/>
        </w:rPr>
      </w:pPr>
    </w:p>
    <w:p w:rsidR="00453E3E" w:rsidP="001638B1">
      <w:pPr>
        <w:spacing w:line="480" w:lineRule="auto"/>
        <w:jc w:val="center"/>
        <w:rPr>
          <w:rFonts w:ascii="Times New Roman" w:hAnsi="Times New Roman" w:cs="Times New Roman"/>
          <w:b/>
          <w:sz w:val="24"/>
        </w:rPr>
      </w:pPr>
      <w:bookmarkStart w:id="0" w:name="_GoBack"/>
      <w:bookmarkEnd w:id="0"/>
    </w:p>
    <w:p w:rsidR="003E482A" w:rsidP="001638B1">
      <w:pPr>
        <w:spacing w:line="480" w:lineRule="auto"/>
        <w:jc w:val="center"/>
        <w:rPr>
          <w:rFonts w:ascii="Times New Roman" w:hAnsi="Times New Roman" w:cs="Times New Roman"/>
          <w:b/>
          <w:sz w:val="24"/>
        </w:rPr>
      </w:pPr>
      <w:r w:rsidRPr="003E482A">
        <w:rPr>
          <w:rFonts w:ascii="Times New Roman" w:hAnsi="Times New Roman" w:cs="Times New Roman"/>
          <w:b/>
          <w:sz w:val="24"/>
        </w:rPr>
        <w:t>References</w:t>
      </w:r>
    </w:p>
    <w:p w:rsidR="00453E3E" w:rsidRPr="00453E3E" w:rsidP="00453E3E">
      <w:pPr>
        <w:pStyle w:val="Bibliography"/>
        <w:rPr>
          <w:rFonts w:ascii="Times New Roman" w:hAnsi="Times New Roman" w:cs="Times New Roman"/>
          <w:sz w:val="24"/>
        </w:rPr>
      </w:pPr>
      <w:r>
        <w:rPr>
          <w:b/>
        </w:rPr>
        <w:fldChar w:fldCharType="begin"/>
      </w:r>
      <w:r w:rsidR="008800D7">
        <w:rPr>
          <w:b/>
        </w:rPr>
        <w:instrText xml:space="preserve"> ADDIN ZOTERO_BIBL {"uncited":[],"omitted":[],"custom":[]} CSL_BIBLIOGRAPHY </w:instrText>
      </w:r>
      <w:r>
        <w:rPr>
          <w:b/>
        </w:rPr>
        <w:fldChar w:fldCharType="separate"/>
      </w:r>
      <w:r w:rsidRPr="00453E3E">
        <w:rPr>
          <w:rFonts w:ascii="Times New Roman" w:hAnsi="Times New Roman" w:cs="Times New Roman"/>
          <w:sz w:val="24"/>
        </w:rPr>
        <w:t>Chernof</w:t>
      </w:r>
      <w:r w:rsidRPr="00453E3E">
        <w:rPr>
          <w:rFonts w:ascii="Times New Roman" w:hAnsi="Times New Roman" w:cs="Times New Roman"/>
          <w:sz w:val="24"/>
        </w:rPr>
        <w:t xml:space="preserve">, B. A. (2019). Integrating Medicare and Medicaid: Successes to Date, Lessons Learned, and the Road Ahead. </w:t>
      </w:r>
      <w:r w:rsidRPr="00453E3E">
        <w:rPr>
          <w:rFonts w:ascii="Times New Roman" w:hAnsi="Times New Roman" w:cs="Times New Roman"/>
          <w:i/>
          <w:iCs/>
          <w:sz w:val="24"/>
        </w:rPr>
        <w:t>The Milbank Quarterly</w:t>
      </w:r>
      <w:r w:rsidRPr="00453E3E">
        <w:rPr>
          <w:rFonts w:ascii="Times New Roman" w:hAnsi="Times New Roman" w:cs="Times New Roman"/>
          <w:sz w:val="24"/>
        </w:rPr>
        <w:t xml:space="preserve">, </w:t>
      </w:r>
      <w:r w:rsidRPr="00453E3E">
        <w:rPr>
          <w:rFonts w:ascii="Times New Roman" w:hAnsi="Times New Roman" w:cs="Times New Roman"/>
          <w:i/>
          <w:iCs/>
          <w:sz w:val="24"/>
        </w:rPr>
        <w:t>97</w:t>
      </w:r>
      <w:r w:rsidRPr="00453E3E">
        <w:rPr>
          <w:rFonts w:ascii="Times New Roman" w:hAnsi="Times New Roman" w:cs="Times New Roman"/>
          <w:sz w:val="24"/>
        </w:rPr>
        <w:t>(1), 31–35. https://doi.org/10.1111/1468-0009.12371</w:t>
      </w:r>
    </w:p>
    <w:p w:rsidR="00453E3E" w:rsidRPr="00453E3E" w:rsidP="00453E3E">
      <w:pPr>
        <w:pStyle w:val="Bibliography"/>
        <w:rPr>
          <w:rFonts w:ascii="Times New Roman" w:hAnsi="Times New Roman" w:cs="Times New Roman"/>
          <w:sz w:val="24"/>
        </w:rPr>
      </w:pPr>
      <w:r w:rsidRPr="00453E3E">
        <w:rPr>
          <w:rFonts w:ascii="Times New Roman" w:hAnsi="Times New Roman" w:cs="Times New Roman"/>
          <w:sz w:val="24"/>
        </w:rPr>
        <w:t>CMS. (2019). Ambulances Services Center | CMS. Retrieved December 9, 2019, from CMS.gov website: https://www.cms.gov/Center/Provider-Type/Ambulances-Services-Center</w:t>
      </w:r>
    </w:p>
    <w:p w:rsidR="00453E3E" w:rsidRPr="00453E3E" w:rsidP="00453E3E">
      <w:pPr>
        <w:pStyle w:val="Bibliography"/>
        <w:rPr>
          <w:rFonts w:ascii="Times New Roman" w:hAnsi="Times New Roman" w:cs="Times New Roman"/>
          <w:sz w:val="24"/>
        </w:rPr>
      </w:pPr>
      <w:r w:rsidRPr="00453E3E">
        <w:rPr>
          <w:rFonts w:ascii="Times New Roman" w:hAnsi="Times New Roman" w:cs="Times New Roman"/>
          <w:sz w:val="24"/>
        </w:rPr>
        <w:t>Joint Commission. (2019). Annual Report—Improving America’s Hospitals. Retrieved December 9, 2019, from The Joint Commission website: https://www.jointcommission.org/annualreport.aspx</w:t>
      </w:r>
    </w:p>
    <w:p w:rsidR="00453E3E" w:rsidRPr="00453E3E" w:rsidP="00453E3E">
      <w:pPr>
        <w:pStyle w:val="Bibliography"/>
        <w:rPr>
          <w:rFonts w:ascii="Times New Roman" w:hAnsi="Times New Roman" w:cs="Times New Roman"/>
          <w:sz w:val="24"/>
        </w:rPr>
      </w:pPr>
      <w:r w:rsidRPr="00453E3E">
        <w:rPr>
          <w:rFonts w:ascii="Times New Roman" w:hAnsi="Times New Roman" w:cs="Times New Roman"/>
          <w:sz w:val="24"/>
        </w:rPr>
        <w:t>LaBonte</w:t>
      </w:r>
      <w:r w:rsidRPr="00453E3E">
        <w:rPr>
          <w:rFonts w:ascii="Times New Roman" w:hAnsi="Times New Roman" w:cs="Times New Roman"/>
          <w:sz w:val="24"/>
        </w:rPr>
        <w:t xml:space="preserve">, C. T., Payne, P., </w:t>
      </w:r>
      <w:r w:rsidRPr="00453E3E">
        <w:rPr>
          <w:rFonts w:ascii="Times New Roman" w:hAnsi="Times New Roman" w:cs="Times New Roman"/>
          <w:sz w:val="24"/>
        </w:rPr>
        <w:t>Rollow</w:t>
      </w:r>
      <w:r w:rsidRPr="00453E3E">
        <w:rPr>
          <w:rFonts w:ascii="Times New Roman" w:hAnsi="Times New Roman" w:cs="Times New Roman"/>
          <w:sz w:val="24"/>
        </w:rPr>
        <w:t xml:space="preserve">, W., Smith, M. W., </w:t>
      </w:r>
      <w:r w:rsidRPr="00453E3E">
        <w:rPr>
          <w:rFonts w:ascii="Times New Roman" w:hAnsi="Times New Roman" w:cs="Times New Roman"/>
          <w:sz w:val="24"/>
        </w:rPr>
        <w:t>Nissar</w:t>
      </w:r>
      <w:r w:rsidRPr="00453E3E">
        <w:rPr>
          <w:rFonts w:ascii="Times New Roman" w:hAnsi="Times New Roman" w:cs="Times New Roman"/>
          <w:sz w:val="24"/>
        </w:rPr>
        <w:t xml:space="preserve">, A., Holtz, P., &amp; </w:t>
      </w:r>
      <w:r w:rsidRPr="00453E3E">
        <w:rPr>
          <w:rFonts w:ascii="Times New Roman" w:hAnsi="Times New Roman" w:cs="Times New Roman"/>
          <w:sz w:val="24"/>
        </w:rPr>
        <w:t>Sessums</w:t>
      </w:r>
      <w:r w:rsidRPr="00453E3E">
        <w:rPr>
          <w:rFonts w:ascii="Times New Roman" w:hAnsi="Times New Roman" w:cs="Times New Roman"/>
          <w:sz w:val="24"/>
        </w:rPr>
        <w:t xml:space="preserve">, L. L. (2019). Performance on Electronic Clinical Quality Measures in the Comprehensive Primary Care Initiative. </w:t>
      </w:r>
      <w:r w:rsidRPr="00453E3E">
        <w:rPr>
          <w:rFonts w:ascii="Times New Roman" w:hAnsi="Times New Roman" w:cs="Times New Roman"/>
          <w:i/>
          <w:iCs/>
          <w:sz w:val="24"/>
        </w:rPr>
        <w:t>American Journal of Medical Quality</w:t>
      </w:r>
      <w:r w:rsidRPr="00453E3E">
        <w:rPr>
          <w:rFonts w:ascii="Times New Roman" w:hAnsi="Times New Roman" w:cs="Times New Roman"/>
          <w:sz w:val="24"/>
        </w:rPr>
        <w:t xml:space="preserve">, </w:t>
      </w:r>
      <w:r w:rsidRPr="00453E3E">
        <w:rPr>
          <w:rFonts w:ascii="Times New Roman" w:hAnsi="Times New Roman" w:cs="Times New Roman"/>
          <w:i/>
          <w:iCs/>
          <w:sz w:val="24"/>
        </w:rPr>
        <w:t>34</w:t>
      </w:r>
      <w:r w:rsidRPr="00453E3E">
        <w:rPr>
          <w:rFonts w:ascii="Times New Roman" w:hAnsi="Times New Roman" w:cs="Times New Roman"/>
          <w:sz w:val="24"/>
        </w:rPr>
        <w:t>(2), 119–126.</w:t>
      </w:r>
    </w:p>
    <w:p w:rsidR="00453E3E" w:rsidRPr="00453E3E" w:rsidP="00453E3E">
      <w:pPr>
        <w:pStyle w:val="Bibliography"/>
        <w:rPr>
          <w:rFonts w:ascii="Times New Roman" w:hAnsi="Times New Roman" w:cs="Times New Roman"/>
          <w:sz w:val="24"/>
        </w:rPr>
      </w:pPr>
      <w:r w:rsidRPr="00453E3E">
        <w:rPr>
          <w:rFonts w:ascii="Times New Roman" w:hAnsi="Times New Roman" w:cs="Times New Roman"/>
          <w:sz w:val="24"/>
        </w:rPr>
        <w:t xml:space="preserve">Lam, M. B., Figueroa, J. F., </w:t>
      </w:r>
      <w:r w:rsidRPr="00453E3E">
        <w:rPr>
          <w:rFonts w:ascii="Times New Roman" w:hAnsi="Times New Roman" w:cs="Times New Roman"/>
          <w:sz w:val="24"/>
        </w:rPr>
        <w:t>Feyman</w:t>
      </w:r>
      <w:r w:rsidRPr="00453E3E">
        <w:rPr>
          <w:rFonts w:ascii="Times New Roman" w:hAnsi="Times New Roman" w:cs="Times New Roman"/>
          <w:sz w:val="24"/>
        </w:rPr>
        <w:t xml:space="preserve">, Y., </w:t>
      </w:r>
      <w:r w:rsidRPr="00453E3E">
        <w:rPr>
          <w:rFonts w:ascii="Times New Roman" w:hAnsi="Times New Roman" w:cs="Times New Roman"/>
          <w:sz w:val="24"/>
        </w:rPr>
        <w:t>Reimold</w:t>
      </w:r>
      <w:r w:rsidRPr="00453E3E">
        <w:rPr>
          <w:rFonts w:ascii="Times New Roman" w:hAnsi="Times New Roman" w:cs="Times New Roman"/>
          <w:sz w:val="24"/>
        </w:rPr>
        <w:t xml:space="preserve">, K. E., </w:t>
      </w:r>
      <w:r w:rsidRPr="00453E3E">
        <w:rPr>
          <w:rFonts w:ascii="Times New Roman" w:hAnsi="Times New Roman" w:cs="Times New Roman"/>
          <w:sz w:val="24"/>
        </w:rPr>
        <w:t>Orav</w:t>
      </w:r>
      <w:r w:rsidRPr="00453E3E">
        <w:rPr>
          <w:rFonts w:ascii="Times New Roman" w:hAnsi="Times New Roman" w:cs="Times New Roman"/>
          <w:sz w:val="24"/>
        </w:rPr>
        <w:t xml:space="preserve">, E. J., &amp; </w:t>
      </w:r>
      <w:r w:rsidRPr="00453E3E">
        <w:rPr>
          <w:rFonts w:ascii="Times New Roman" w:hAnsi="Times New Roman" w:cs="Times New Roman"/>
          <w:sz w:val="24"/>
        </w:rPr>
        <w:t>Jha</w:t>
      </w:r>
      <w:r w:rsidRPr="00453E3E">
        <w:rPr>
          <w:rFonts w:ascii="Times New Roman" w:hAnsi="Times New Roman" w:cs="Times New Roman"/>
          <w:sz w:val="24"/>
        </w:rPr>
        <w:t xml:space="preserve">, A. K. (2018). Association between patient outcomes and accreditation in US hospitals: Observational study. </w:t>
      </w:r>
      <w:r w:rsidRPr="00453E3E">
        <w:rPr>
          <w:rFonts w:ascii="Times New Roman" w:hAnsi="Times New Roman" w:cs="Times New Roman"/>
          <w:i/>
          <w:iCs/>
          <w:sz w:val="24"/>
        </w:rPr>
        <w:t>Bmj</w:t>
      </w:r>
      <w:r w:rsidRPr="00453E3E">
        <w:rPr>
          <w:rFonts w:ascii="Times New Roman" w:hAnsi="Times New Roman" w:cs="Times New Roman"/>
          <w:sz w:val="24"/>
        </w:rPr>
        <w:t xml:space="preserve">, </w:t>
      </w:r>
      <w:r w:rsidRPr="00453E3E">
        <w:rPr>
          <w:rFonts w:ascii="Times New Roman" w:hAnsi="Times New Roman" w:cs="Times New Roman"/>
          <w:i/>
          <w:iCs/>
          <w:sz w:val="24"/>
        </w:rPr>
        <w:t>363</w:t>
      </w:r>
      <w:r w:rsidRPr="00453E3E">
        <w:rPr>
          <w:rFonts w:ascii="Times New Roman" w:hAnsi="Times New Roman" w:cs="Times New Roman"/>
          <w:sz w:val="24"/>
        </w:rPr>
        <w:t>, k4011.</w:t>
      </w:r>
    </w:p>
    <w:p w:rsidR="00453E3E" w:rsidRPr="00453E3E" w:rsidP="00453E3E">
      <w:pPr>
        <w:pStyle w:val="Bibliography"/>
        <w:rPr>
          <w:rFonts w:ascii="Times New Roman" w:hAnsi="Times New Roman" w:cs="Times New Roman"/>
          <w:sz w:val="24"/>
        </w:rPr>
      </w:pPr>
      <w:r w:rsidRPr="00453E3E">
        <w:rPr>
          <w:rFonts w:ascii="Times New Roman" w:hAnsi="Times New Roman" w:cs="Times New Roman"/>
          <w:sz w:val="24"/>
        </w:rPr>
        <w:t>Medicare Interactive. (2019). Ambulance transportation basics. Retrieved December 9, 2019, from Medicare Interactive website: https://www.medicareinteractive.org/get-answers/medicare-covered-services/ambulance-services/ambulance-transportation-basics</w:t>
      </w:r>
    </w:p>
    <w:p w:rsidR="009C4FF3" w:rsidRPr="003E482A" w:rsidP="001638B1">
      <w:pPr>
        <w:spacing w:line="480" w:lineRule="auto"/>
        <w:rPr>
          <w:rFonts w:ascii="Times New Roman" w:hAnsi="Times New Roman" w:cs="Times New Roman"/>
          <w:b/>
          <w:sz w:val="24"/>
        </w:rPr>
      </w:pPr>
      <w:r>
        <w:rPr>
          <w:rFonts w:ascii="Times New Roman" w:hAnsi="Times New Roman" w:cs="Times New Roman"/>
          <w:b/>
          <w:sz w:val="24"/>
        </w:rPr>
        <w:fldChar w:fldCharType="end"/>
      </w:r>
    </w:p>
    <w:sectPr w:rsidSect="003E482A">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5823">
    <w:pPr>
      <w:pStyle w:val="Header"/>
      <w:jc w:val="right"/>
    </w:pPr>
    <w:r w:rsidRPr="009B5823">
      <w:rPr>
        <w:rFonts w:ascii="Times New Roman" w:hAnsi="Times New Roman" w:cs="Times New Roman"/>
        <w:sz w:val="24"/>
      </w:rPr>
      <w:t>BUSINESS AND MANAGEMENT</w:t>
    </w:r>
    <w:r>
      <w:rPr>
        <w:rFonts w:ascii="Times New Roman" w:hAnsi="Times New Roman" w:cs="Times New Roman"/>
        <w:sz w:val="24"/>
      </w:rPr>
      <w:tab/>
    </w:r>
    <w:r>
      <w:rPr>
        <w:rFonts w:ascii="Times New Roman" w:hAnsi="Times New Roman" w:cs="Times New Roman"/>
        <w:sz w:val="24"/>
      </w:rPr>
      <w:tab/>
    </w:r>
    <w:r w:rsidRPr="009B5823">
      <w:rPr>
        <w:rFonts w:ascii="Times New Roman" w:hAnsi="Times New Roman" w:cs="Times New Roman"/>
        <w:sz w:val="28"/>
      </w:rPr>
      <w:t xml:space="preserve"> </w:t>
    </w:r>
    <w:sdt>
      <w:sdtPr>
        <w:rPr>
          <w:rFonts w:ascii="Times New Roman" w:hAnsi="Times New Roman" w:cs="Times New Roman"/>
          <w:sz w:val="24"/>
        </w:rPr>
        <w:id w:val="-1236464483"/>
        <w:docPartObj>
          <w:docPartGallery w:val="Page Numbers (Top of Page)"/>
          <w:docPartUnique/>
        </w:docPartObj>
      </w:sdtPr>
      <w:sdtEndPr>
        <w:rPr>
          <w:noProof/>
        </w:rPr>
      </w:sdtEndPr>
      <w:sdtContent>
        <w:r w:rsidRPr="009B5823">
          <w:rPr>
            <w:rFonts w:ascii="Times New Roman" w:hAnsi="Times New Roman" w:cs="Times New Roman"/>
            <w:sz w:val="24"/>
          </w:rPr>
          <w:fldChar w:fldCharType="begin"/>
        </w:r>
        <w:r w:rsidRPr="009B5823">
          <w:rPr>
            <w:rFonts w:ascii="Times New Roman" w:hAnsi="Times New Roman" w:cs="Times New Roman"/>
            <w:sz w:val="24"/>
          </w:rPr>
          <w:instrText xml:space="preserve"> PAGE   \* MERGEFORMAT </w:instrText>
        </w:r>
        <w:r w:rsidRPr="009B5823">
          <w:rPr>
            <w:rFonts w:ascii="Times New Roman" w:hAnsi="Times New Roman" w:cs="Times New Roman"/>
            <w:sz w:val="24"/>
          </w:rPr>
          <w:fldChar w:fldCharType="separate"/>
        </w:r>
        <w:r w:rsidR="00453E3E">
          <w:rPr>
            <w:rFonts w:ascii="Times New Roman" w:hAnsi="Times New Roman" w:cs="Times New Roman"/>
            <w:noProof/>
            <w:sz w:val="24"/>
          </w:rPr>
          <w:t>5</w:t>
        </w:r>
        <w:r w:rsidRPr="009B5823">
          <w:rPr>
            <w:rFonts w:ascii="Times New Roman" w:hAnsi="Times New Roman" w:cs="Times New Roman"/>
            <w:noProof/>
            <w:sz w:val="24"/>
          </w:rPr>
          <w:fldChar w:fldCharType="end"/>
        </w:r>
      </w:sdtContent>
    </w:sdt>
  </w:p>
  <w:p w:rsidR="009B5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482A" w:rsidRPr="009B5823">
    <w:pPr>
      <w:pStyle w:val="Header"/>
      <w:jc w:val="right"/>
      <w:rPr>
        <w:rFonts w:ascii="Times New Roman" w:hAnsi="Times New Roman" w:cs="Times New Roman"/>
        <w:sz w:val="24"/>
      </w:rPr>
    </w:pPr>
    <w:r w:rsidRPr="009B5823">
      <w:rPr>
        <w:rFonts w:ascii="Times New Roman" w:hAnsi="Times New Roman" w:cs="Times New Roman"/>
        <w:sz w:val="24"/>
      </w:rPr>
      <w:t xml:space="preserve">Running Head: </w:t>
    </w:r>
    <w:r w:rsidRPr="009B5823" w:rsidR="009B5823">
      <w:rPr>
        <w:rFonts w:ascii="Times New Roman" w:hAnsi="Times New Roman" w:cs="Times New Roman"/>
        <w:sz w:val="24"/>
      </w:rPr>
      <w:t xml:space="preserve">BUSINESS AND MANAGEMENT </w:t>
    </w:r>
    <w:sdt>
      <w:sdtPr>
        <w:rPr>
          <w:rFonts w:ascii="Times New Roman" w:hAnsi="Times New Roman" w:cs="Times New Roman"/>
          <w:sz w:val="24"/>
        </w:rPr>
        <w:id w:val="-1870752495"/>
        <w:docPartObj>
          <w:docPartGallery w:val="Page Numbers (Top of Page)"/>
          <w:docPartUnique/>
        </w:docPartObj>
      </w:sdtPr>
      <w:sdtEndPr>
        <w:rPr>
          <w:noProof/>
        </w:rPr>
      </w:sdtEndPr>
      <w:sdtContent>
        <w:r w:rsidR="009B5823">
          <w:rPr>
            <w:rFonts w:ascii="Times New Roman" w:hAnsi="Times New Roman" w:cs="Times New Roman"/>
            <w:sz w:val="24"/>
          </w:rPr>
          <w:tab/>
        </w:r>
        <w:r w:rsidRPr="009B5823">
          <w:rPr>
            <w:rFonts w:ascii="Times New Roman" w:hAnsi="Times New Roman" w:cs="Times New Roman"/>
            <w:sz w:val="24"/>
          </w:rPr>
          <w:fldChar w:fldCharType="begin"/>
        </w:r>
        <w:r w:rsidRPr="009B5823">
          <w:rPr>
            <w:rFonts w:ascii="Times New Roman" w:hAnsi="Times New Roman" w:cs="Times New Roman"/>
            <w:sz w:val="24"/>
          </w:rPr>
          <w:instrText xml:space="preserve"> PAGE   \* MERGEFORMAT </w:instrText>
        </w:r>
        <w:r w:rsidRPr="009B5823">
          <w:rPr>
            <w:rFonts w:ascii="Times New Roman" w:hAnsi="Times New Roman" w:cs="Times New Roman"/>
            <w:sz w:val="24"/>
          </w:rPr>
          <w:fldChar w:fldCharType="separate"/>
        </w:r>
        <w:r w:rsidR="00453E3E">
          <w:rPr>
            <w:rFonts w:ascii="Times New Roman" w:hAnsi="Times New Roman" w:cs="Times New Roman"/>
            <w:noProof/>
            <w:sz w:val="24"/>
          </w:rPr>
          <w:t>1</w:t>
        </w:r>
        <w:r w:rsidRPr="009B5823">
          <w:rPr>
            <w:rFonts w:ascii="Times New Roman" w:hAnsi="Times New Roman" w:cs="Times New Roman"/>
            <w:noProof/>
            <w:sz w:val="24"/>
          </w:rPr>
          <w:fldChar w:fldCharType="end"/>
        </w:r>
      </w:sdtContent>
    </w:sdt>
  </w:p>
  <w:p w:rsidR="003E48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1D"/>
    <w:rsid w:val="00004C49"/>
    <w:rsid w:val="000074C9"/>
    <w:rsid w:val="000154F3"/>
    <w:rsid w:val="00021B58"/>
    <w:rsid w:val="0003756C"/>
    <w:rsid w:val="00061A2F"/>
    <w:rsid w:val="000843A9"/>
    <w:rsid w:val="00086E42"/>
    <w:rsid w:val="00091389"/>
    <w:rsid w:val="000C3830"/>
    <w:rsid w:val="000F4780"/>
    <w:rsid w:val="000F7FAC"/>
    <w:rsid w:val="001173AF"/>
    <w:rsid w:val="00145A21"/>
    <w:rsid w:val="001638B1"/>
    <w:rsid w:val="00177567"/>
    <w:rsid w:val="0024765D"/>
    <w:rsid w:val="00266671"/>
    <w:rsid w:val="00277AB0"/>
    <w:rsid w:val="002D79D3"/>
    <w:rsid w:val="003153C5"/>
    <w:rsid w:val="0039408A"/>
    <w:rsid w:val="003B18B4"/>
    <w:rsid w:val="003C2161"/>
    <w:rsid w:val="003E482A"/>
    <w:rsid w:val="00411D95"/>
    <w:rsid w:val="00412E9F"/>
    <w:rsid w:val="00435CB1"/>
    <w:rsid w:val="00453E3E"/>
    <w:rsid w:val="00454CCA"/>
    <w:rsid w:val="00474ABF"/>
    <w:rsid w:val="004A567F"/>
    <w:rsid w:val="004C7518"/>
    <w:rsid w:val="004F0EF6"/>
    <w:rsid w:val="005231CD"/>
    <w:rsid w:val="005353B2"/>
    <w:rsid w:val="0054359F"/>
    <w:rsid w:val="0057263A"/>
    <w:rsid w:val="005739FC"/>
    <w:rsid w:val="00576293"/>
    <w:rsid w:val="0058195F"/>
    <w:rsid w:val="00583325"/>
    <w:rsid w:val="00584D3A"/>
    <w:rsid w:val="00597E78"/>
    <w:rsid w:val="005A4F83"/>
    <w:rsid w:val="005D7745"/>
    <w:rsid w:val="00656661"/>
    <w:rsid w:val="006C3D91"/>
    <w:rsid w:val="006F45FC"/>
    <w:rsid w:val="007111B6"/>
    <w:rsid w:val="00723BA4"/>
    <w:rsid w:val="007242D4"/>
    <w:rsid w:val="00733498"/>
    <w:rsid w:val="007A3228"/>
    <w:rsid w:val="007A66CD"/>
    <w:rsid w:val="007B6BD7"/>
    <w:rsid w:val="007C520B"/>
    <w:rsid w:val="007D381F"/>
    <w:rsid w:val="007F1D99"/>
    <w:rsid w:val="008800D7"/>
    <w:rsid w:val="008D4E94"/>
    <w:rsid w:val="008F4741"/>
    <w:rsid w:val="0092565F"/>
    <w:rsid w:val="00935B56"/>
    <w:rsid w:val="00937F05"/>
    <w:rsid w:val="009431A2"/>
    <w:rsid w:val="00951A7C"/>
    <w:rsid w:val="0095677E"/>
    <w:rsid w:val="00963B23"/>
    <w:rsid w:val="009741F7"/>
    <w:rsid w:val="00985DAD"/>
    <w:rsid w:val="00986C92"/>
    <w:rsid w:val="009A0B77"/>
    <w:rsid w:val="009B5823"/>
    <w:rsid w:val="009C4FF3"/>
    <w:rsid w:val="009C5456"/>
    <w:rsid w:val="00A15C45"/>
    <w:rsid w:val="00A4555B"/>
    <w:rsid w:val="00A64995"/>
    <w:rsid w:val="00A65949"/>
    <w:rsid w:val="00A85414"/>
    <w:rsid w:val="00A90E13"/>
    <w:rsid w:val="00AB3015"/>
    <w:rsid w:val="00AB3CD0"/>
    <w:rsid w:val="00AB56BA"/>
    <w:rsid w:val="00AD7659"/>
    <w:rsid w:val="00AE4EAE"/>
    <w:rsid w:val="00B37544"/>
    <w:rsid w:val="00B55061"/>
    <w:rsid w:val="00B8207B"/>
    <w:rsid w:val="00BA4FCF"/>
    <w:rsid w:val="00BA56C2"/>
    <w:rsid w:val="00BB4429"/>
    <w:rsid w:val="00BC7F40"/>
    <w:rsid w:val="00BD5F5F"/>
    <w:rsid w:val="00BE5BB7"/>
    <w:rsid w:val="00C30AB4"/>
    <w:rsid w:val="00C32438"/>
    <w:rsid w:val="00C3689C"/>
    <w:rsid w:val="00C428AA"/>
    <w:rsid w:val="00C555BC"/>
    <w:rsid w:val="00C825AC"/>
    <w:rsid w:val="00CC14FB"/>
    <w:rsid w:val="00CE73AF"/>
    <w:rsid w:val="00CF4244"/>
    <w:rsid w:val="00D1151D"/>
    <w:rsid w:val="00D37A14"/>
    <w:rsid w:val="00D645AD"/>
    <w:rsid w:val="00D657EC"/>
    <w:rsid w:val="00D715F3"/>
    <w:rsid w:val="00D7428E"/>
    <w:rsid w:val="00DB0BB9"/>
    <w:rsid w:val="00DE2884"/>
    <w:rsid w:val="00E235D7"/>
    <w:rsid w:val="00E358E7"/>
    <w:rsid w:val="00E8650E"/>
    <w:rsid w:val="00F13C81"/>
    <w:rsid w:val="00F15E8A"/>
    <w:rsid w:val="00F25A67"/>
    <w:rsid w:val="00F718C9"/>
    <w:rsid w:val="00F935B2"/>
    <w:rsid w:val="00F94C62"/>
    <w:rsid w:val="00FA405D"/>
    <w:rsid w:val="00FD70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FD0157E-B880-4ECC-AEBC-1208C019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82A"/>
  </w:style>
  <w:style w:type="paragraph" w:styleId="Footer">
    <w:name w:val="footer"/>
    <w:basedOn w:val="Normal"/>
    <w:link w:val="FooterChar"/>
    <w:uiPriority w:val="99"/>
    <w:unhideWhenUsed/>
    <w:rsid w:val="003E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82A"/>
  </w:style>
  <w:style w:type="character" w:styleId="Hyperlink">
    <w:name w:val="Hyperlink"/>
    <w:basedOn w:val="DefaultParagraphFont"/>
    <w:uiPriority w:val="99"/>
    <w:semiHidden/>
    <w:unhideWhenUsed/>
    <w:rsid w:val="009431A2"/>
    <w:rPr>
      <w:color w:val="0000FF"/>
      <w:u w:val="single"/>
    </w:rPr>
  </w:style>
  <w:style w:type="character" w:styleId="FollowedHyperlink">
    <w:name w:val="FollowedHyperlink"/>
    <w:basedOn w:val="DefaultParagraphFont"/>
    <w:uiPriority w:val="99"/>
    <w:semiHidden/>
    <w:unhideWhenUsed/>
    <w:rsid w:val="00A64995"/>
    <w:rPr>
      <w:color w:val="954F72" w:themeColor="followedHyperlink"/>
      <w:u w:val="single"/>
    </w:rPr>
  </w:style>
  <w:style w:type="paragraph" w:styleId="Bibliography">
    <w:name w:val="Bibliography"/>
    <w:basedOn w:val="Normal"/>
    <w:next w:val="Normal"/>
    <w:uiPriority w:val="37"/>
    <w:unhideWhenUsed/>
    <w:rsid w:val="009C4FF3"/>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Shanza PC</cp:lastModifiedBy>
  <cp:revision>2</cp:revision>
  <dcterms:created xsi:type="dcterms:W3CDTF">2019-12-08T20:51:00Z</dcterms:created>
  <dcterms:modified xsi:type="dcterms:W3CDTF">2019-12-08T20:51:00Z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id="crvK42xS"/&gt;&lt;style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