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</w:pPr>
      <w:r>
        <w:rPr>
          <w:rtl w:val="0"/>
          <w:lang w:val="en-US"/>
        </w:rPr>
        <w:t xml:space="preserve">Discussion Board </w:t>
      </w:r>
    </w:p>
    <w:p>
      <w:pPr>
        <w:pStyle w:val="Title 2"/>
      </w:pPr>
      <w:r>
        <w:rPr>
          <w:rtl w:val="0"/>
          <w:lang w:val="en-US"/>
        </w:rPr>
        <w:t>[Author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Name]</w:t>
      </w:r>
    </w:p>
    <w:p>
      <w:pPr>
        <w:pStyle w:val="Body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Section Title"/>
      </w:pPr>
      <w:r>
        <w:rPr>
          <w:rtl w:val="0"/>
          <w:lang w:val="en-US"/>
        </w:rPr>
        <w:t>Discussion Board</w:t>
      </w:r>
    </w:p>
    <w:p>
      <w:pPr>
        <w:pStyle w:val="Body"/>
        <w:ind w:left="720" w:hanging="72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Response 1</w:t>
      </w:r>
    </w:p>
    <w:p>
      <w:pPr>
        <w:pStyle w:val="Body"/>
        <w:ind w:firstLine="7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Charge description master (CDM) can be described as the database that contains all billable items which directly go on patients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’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accounts. It consists of all descriptions along with revenue codes, alternate codes for various payers and department associations. By utilizing last year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CDM codes, healthcare providers or healthcare facilities will inescapably be getting paid last year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reimbursement rates. While discussing the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repercussion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of not utilizing proper codes and charges, the consequences can range from being overpaid to being unpaid, that can result in an investigation for fraud or abuse.</w:t>
      </w:r>
    </w:p>
    <w:p>
      <w:pPr>
        <w:pStyle w:val="Body"/>
        <w:ind w:left="720" w:hanging="72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Response 2</w:t>
      </w:r>
    </w:p>
    <w:p>
      <w:pPr>
        <w:pStyle w:val="Body"/>
        <w:ind w:firstLine="7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 any work field, no one wants to be paid less or remain unpaid. So, for healthcare facilities or any other work field, there is a need to use proper CDM so that the organizations can make sure that the billing department is using the accurate codes.</w:t>
      </w:r>
    </w:p>
    <w:p>
      <w:pPr>
        <w:pStyle w:val="Body"/>
        <w:ind w:left="720" w:hanging="72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Response 3</w:t>
      </w:r>
    </w:p>
    <w:p>
      <w:pPr>
        <w:pStyle w:val="Body"/>
        <w:ind w:firstLine="7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Facilities can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assure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current CDM is used with the aid of internal auditing along with quality control of the central billing department.</w:t>
      </w:r>
    </w:p>
    <w:p>
      <w:pPr>
        <w:pStyle w:val="Body"/>
        <w:ind w:left="720" w:hanging="72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Part 2</w:t>
      </w: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cs="Arial Unicode MS" w:eastAsia="Arial Unicode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While reflecting upon my experience during the course, I believe that I have learned a lot. Initially, I was not familiar with the principles and conventions associated with managing the business. I have learned, not only business management concepts, but also gained significant knowledge about accounting, marketing strategies and compliance for managing a successful business.</w:t>
      </w:r>
    </w:p>
    <w:p>
      <w:pPr>
        <w:pStyle w:val="Body"/>
        <w:ind w:firstLine="7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most compelling topic that I learned in the course were related to business expenses. Previously, I had no idea regarding the taxes that an organization had to pay along with the reimbursement. After taking the course, I became familiar with the concept of reimbursement and how it badly affects an organization's business and increases business expenses.</w:t>
      </w:r>
    </w:p>
    <w:p>
      <w:pPr>
        <w:pStyle w:val="Body"/>
        <w:ind w:firstLine="7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Despite learning several new things, I think that I need to learn more about how management is related to interlocking functions of corporate policy and directing an organization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resources to attain objectives (Scolnik, 2009). Although, I am familiar with the policymaking and how controlling an organization comes under management concept but the making of corporate policy that facilitates in attaining desired objectives is a concept that is a bit unclear.</w:t>
      </w:r>
    </w:p>
    <w:p>
      <w:pPr>
        <w:pStyle w:val="Body"/>
        <w:ind w:firstLine="7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During the course, discussion boards facilitate a lot in learning new concepts and enhancing knowledge regarding the topic of discussion, however, I think that regular presentations of topics along with the discussion on case studies can aid in yielding additional information.</w:t>
      </w:r>
    </w:p>
    <w:p>
      <w:pPr>
        <w:pStyle w:val="Body"/>
        <w:ind w:left="720" w:hanging="7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ind w:left="720" w:hanging="7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ind w:left="720" w:hanging="7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ind w:left="720" w:hanging="7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ind w:left="720" w:hanging="7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ind w:left="720" w:hanging="7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ind w:left="720" w:hanging="7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ind w:left="720" w:hanging="7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ind w:left="720" w:hanging="72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References</w:t>
      </w:r>
    </w:p>
    <w:p>
      <w:pPr>
        <w:pStyle w:val="Body"/>
        <w:ind w:left="720" w:hanging="7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Scolnik, P. A. (2009, March). mAbs: a business perspective. In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MAbs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(Vol. 1, No. 2, pp. 179-184). Taylor &amp; Francis.</w:t>
      </w:r>
    </w:p>
    <w:p>
      <w:pPr>
        <w:pStyle w:val="Body"/>
        <w:ind w:left="720" w:hanging="7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ind w:left="720" w:hanging="720"/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440" w:right="1440" w:bottom="1440" w:left="144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rtl w:val="0"/>
        <w:lang w:val="en-US"/>
      </w:rPr>
      <w:t>BUSINESS AND MANAGEMENT</w:t>
      <w:tab/>
      <w:tab/>
      <w:tab/>
      <w:t xml:space="preserve">                                                                      </w:t>
    </w:r>
    <w:r>
      <w:rPr>
        <w:caps w:val="1"/>
        <w:rtl w:val="0"/>
      </w:rPr>
      <w:fldChar w:fldCharType="begin" w:fldLock="0"/>
    </w:r>
    <w:r>
      <w:rPr>
        <w:caps w:val="1"/>
        <w:rtl w:val="0"/>
      </w:rPr>
      <w:instrText xml:space="preserve"> PAGE </w:instrText>
    </w:r>
    <w:r>
      <w:rPr>
        <w:caps w:val="1"/>
        <w:rtl w:val="0"/>
      </w:rPr>
      <w:fldChar w:fldCharType="separate" w:fldLock="0"/>
    </w:r>
    <w:r>
      <w:rPr>
        <w:caps w:val="1"/>
        <w:rtl w:val="0"/>
      </w:rPr>
    </w:r>
    <w:r>
      <w:rPr>
        <w:caps w:val="1"/>
        <w:rtl w:val="0"/>
      </w:rPr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rtl w:val="0"/>
        <w:lang w:val="en-US"/>
      </w:rPr>
      <w:t>Running head:</w:t>
    </w:r>
    <w:r>
      <w:rPr>
        <w:caps w:val="1"/>
        <w:rtl w:val="0"/>
        <w:lang w:val="en-US"/>
      </w:rPr>
      <w:t xml:space="preserve"> BUSINESS AND MANAGEMENT</w:t>
      <w:tab/>
      <w:tab/>
      <w:t xml:space="preserve">                                                        1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4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0" w:after="0" w:line="48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4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 2">
    <w:name w:val="Title 2"/>
    <w:next w:val="Tit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4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ection Title">
    <w:name w:val="Section Title"/>
    <w:next w:val="Section Title"/>
    <w:pPr>
      <w:keepNext w:val="0"/>
      <w:keepLines w:val="0"/>
      <w:pageBreakBefore w:val="1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4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