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1A6089">
            <w:t>Intergenerational Caregiving Relationships
</w:t>
          </w:r>
        </w:sdtContent>
      </w:sdt>
    </w:p>
    <w:p w:rsidR="00B823AA" w:rsidP="00B823AA">
      <w:pPr>
        <w:pStyle w:val="Title2"/>
      </w:pPr>
      <w:r>
        <w:t>[Name of the Student]</w:t>
      </w:r>
    </w:p>
    <w:p w:rsidR="00E81978" w:rsidP="00B823AA">
      <w:pPr>
        <w:pStyle w:val="Title2"/>
      </w:pPr>
      <w:r>
        <w:t>[Name of the Institution]</w:t>
      </w:r>
    </w:p>
    <w:p w:rsidR="00F2324A">
      <w:r>
        <w:br w:type="page"/>
      </w:r>
    </w:p>
    <w:p w:rsidR="0075601D" w:rsidP="00180CBF">
      <w:pPr>
        <w:pStyle w:val="Heading1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r>
        <w:rPr>
          <w:rFonts w:asciiTheme="minorHAnsi" w:eastAsiaTheme="minorEastAsia" w:hAnsiTheme="minorHAnsi" w:cstheme="minorBidi"/>
          <w:b w:val="0"/>
          <w:bCs w:val="0"/>
        </w:rPr>
        <w:t>Intergenerational Caregiving Relationships
</w:t>
      </w:r>
    </w:p>
    <w:bookmarkEnd w:id="0"/>
    <w:bookmarkEnd w:id="1"/>
    <w:p w:rsidR="0077585B" w:rsidP="00110775">
      <w:pPr>
        <w:pStyle w:val="Title2"/>
        <w:rPr>
          <w:b/>
        </w:rPr>
      </w:pPr>
      <w:r>
        <w:rPr>
          <w:b/>
        </w:rPr>
        <w:t>Assignment #1</w:t>
      </w:r>
    </w:p>
    <w:p w:rsidR="001E0A96" w:rsidRPr="00A41451" w:rsidP="0077585B">
      <w:pPr>
        <w:pStyle w:val="Title2"/>
        <w:jc w:val="left"/>
        <w:rPr>
          <w:b/>
        </w:rPr>
      </w:pPr>
      <w:r w:rsidRPr="00A41451">
        <w:rPr>
          <w:b/>
        </w:rPr>
        <w:t>Introduction</w:t>
      </w:r>
    </w:p>
    <w:p w:rsidR="00A41451" w:rsidRPr="00110775" w:rsidP="00B0264C">
      <w:pPr>
        <w:pStyle w:val="Title2"/>
        <w:ind w:firstLine="720"/>
        <w:jc w:val="left"/>
      </w:pPr>
      <w:r>
        <w:t xml:space="preserve">Intergenerational caregiving relationships are inevitable </w:t>
      </w:r>
      <w:r w:rsidR="007A76AB">
        <w:t xml:space="preserve">to be positive and productive </w:t>
      </w:r>
      <w:r>
        <w:t xml:space="preserve">for maintaining a healthy atmosphere within the families. </w:t>
      </w:r>
      <w:r w:rsidR="00CD4331">
        <w:t>Many different aspects</w:t>
      </w:r>
      <w:r w:rsidR="00586AAB">
        <w:t xml:space="preserve"> like demographic, social, economic, ethnic, and situational contexts of the clients</w:t>
      </w:r>
      <w:r w:rsidR="00CD4331">
        <w:t xml:space="preserve"> are important to </w:t>
      </w:r>
      <w:r w:rsidR="0023346F">
        <w:t>be considered by the support workers to strengthen</w:t>
      </w:r>
      <w:r w:rsidR="00CD4331">
        <w:t xml:space="preserve"> these relationships for better results</w:t>
      </w:r>
      <w:r w:rsidR="00586AAB">
        <w:t xml:space="preserve">. </w:t>
      </w:r>
      <w:r w:rsidR="00155E12">
        <w:t xml:space="preserve">They should focus more on facilitating the family members to act in the right way rather than </w:t>
      </w:r>
      <w:r w:rsidR="00CA402C">
        <w:t xml:space="preserve">intruding their mutual </w:t>
      </w:r>
      <w:r w:rsidR="00DE512F">
        <w:t xml:space="preserve">family </w:t>
      </w:r>
      <w:r w:rsidR="00CA402C">
        <w:t>interactions by themselves.</w:t>
      </w:r>
      <w:r w:rsidR="00DE512F">
        <w:t xml:space="preserve"> Different generations in a family act </w:t>
      </w:r>
      <w:r w:rsidR="00D00E71">
        <w:t>in particular dim</w:t>
      </w:r>
      <w:r w:rsidR="00844BEA">
        <w:t>ensions throughout their lives and their ways shape the caregiving patterns in later life.</w:t>
      </w:r>
      <w:r w:rsidR="00B0264C">
        <w:t xml:space="preserve"> This implies that they can become valuable partners with the </w:t>
      </w:r>
      <w:r w:rsidR="00DD0B02">
        <w:t>support workers in the service delivery process.</w:t>
      </w:r>
      <w:r w:rsidR="00086A29">
        <w:t xml:space="preserve"> </w:t>
      </w:r>
      <w:r w:rsidR="00016F76">
        <w:t xml:space="preserve">Younger, middle, and </w:t>
      </w:r>
      <w:r w:rsidR="00CE442C">
        <w:t xml:space="preserve">older generations, and the community as well – all represent the framework </w:t>
      </w:r>
      <w:r w:rsidR="005A1FB9">
        <w:t>that suggests the preferred line of</w:t>
      </w:r>
      <w:r w:rsidR="00210E63">
        <w:t xml:space="preserve"> action for the </w:t>
      </w:r>
      <w:r w:rsidR="005F63FB">
        <w:t>support workers.</w:t>
      </w:r>
      <w:r w:rsidR="00844BEA">
        <w:t xml:space="preserve"> Intergenerational caregiving relationships get strengthened by </w:t>
      </w:r>
      <w:r w:rsidR="00547A37">
        <w:t xml:space="preserve">the ability of a family’s members to manage, adapt, and reorganize during the transitions that occur as </w:t>
      </w:r>
      <w:r w:rsidR="00D811BA">
        <w:t>possible</w:t>
      </w:r>
      <w:r w:rsidR="00547A37">
        <w:t xml:space="preserve"> incidents in life.</w:t>
      </w:r>
    </w:p>
    <w:p w:rsidR="00A41451" w:rsidRPr="00A41451" w:rsidP="0077585B">
      <w:pPr>
        <w:pStyle w:val="Title2"/>
        <w:jc w:val="left"/>
        <w:rPr>
          <w:b/>
        </w:rPr>
      </w:pPr>
      <w:r w:rsidRPr="00A41451">
        <w:rPr>
          <w:b/>
        </w:rPr>
        <w:t>Discussion</w:t>
      </w:r>
    </w:p>
    <w:p w:rsidR="00A41451" w:rsidP="0012288D">
      <w:pPr>
        <w:pStyle w:val="Title2"/>
        <w:ind w:firstLine="720"/>
        <w:jc w:val="left"/>
      </w:pPr>
      <w:r>
        <w:t xml:space="preserve">The case study involves a </w:t>
      </w:r>
      <w:r w:rsidR="0077533C">
        <w:t xml:space="preserve">family and a support worker for the aged mother. It gives an encouraging narrative of intergenerational caregiving relationships that </w:t>
      </w:r>
      <w:r w:rsidR="00AC3ED8">
        <w:t>tend to become more stable and strong with the incident happened</w:t>
      </w:r>
      <w:r w:rsidR="00F12D80">
        <w:t xml:space="preserve"> </w:t>
      </w:r>
      <w:r w:rsidR="00F12D80">
        <w:t>(</w:t>
      </w:r>
      <w:r w:rsidR="00F12D80">
        <w:t>Savelieva</w:t>
      </w:r>
      <w:r w:rsidR="00F12D80">
        <w:t xml:space="preserve"> et al., 2017)</w:t>
      </w:r>
      <w:r w:rsidR="00AC3ED8">
        <w:t xml:space="preserve">. The female </w:t>
      </w:r>
      <w:r w:rsidR="007024DF">
        <w:t>Personal Support Worker (PSW)</w:t>
      </w:r>
      <w:r w:rsidR="00AC3ED8">
        <w:t xml:space="preserve"> attends the old lady and provides her with </w:t>
      </w:r>
      <w:r w:rsidR="007024DF">
        <w:t xml:space="preserve">the required professional support. Moreover, the PSW understands the </w:t>
      </w:r>
      <w:r w:rsidR="00DA7213">
        <w:t xml:space="preserve">mutual connections between the family members. She does not take control of the situation. Instead, she facilitates the family members to adjust and adapt according to the </w:t>
      </w:r>
      <w:r w:rsidR="005D7B66">
        <w:t xml:space="preserve">situation. She intervenes in the situation only to reinforce the </w:t>
      </w:r>
      <w:r w:rsidR="00ED2423">
        <w:t xml:space="preserve">moral </w:t>
      </w:r>
      <w:r w:rsidR="003536D5">
        <w:t>value of</w:t>
      </w:r>
      <w:r w:rsidR="00A16B67">
        <w:t xml:space="preserve"> </w:t>
      </w:r>
      <w:r w:rsidR="00690290">
        <w:t xml:space="preserve">giving </w:t>
      </w:r>
      <w:r w:rsidRPr="00722EB2" w:rsidR="00690290">
        <w:rPr>
          <w:i/>
        </w:rPr>
        <w:t>respect</w:t>
      </w:r>
      <w:r w:rsidR="00690290">
        <w:t xml:space="preserve"> to</w:t>
      </w:r>
      <w:r w:rsidR="003536D5">
        <w:t xml:space="preserve"> each other </w:t>
      </w:r>
      <w:r w:rsidR="00690290">
        <w:t xml:space="preserve">so that they unconsciously </w:t>
      </w:r>
      <w:r w:rsidR="000B7551">
        <w:t>carry out the respectful behavior.</w:t>
      </w:r>
      <w:r w:rsidR="00895D85">
        <w:t xml:space="preserve"> When Mrs. A’s daughter is on the verge of starting a quarrel with her brother, the PSW </w:t>
      </w:r>
      <w:r w:rsidR="004E54A5">
        <w:t xml:space="preserve">changes the mood of dialogue by </w:t>
      </w:r>
      <w:r w:rsidR="009D7533">
        <w:t xml:space="preserve">taking the side of her brother. She ascertains that her brother is regularly paying visits to the aging mother, and that they together are taking good care of the grandma. </w:t>
      </w:r>
      <w:r w:rsidR="008B4066">
        <w:t xml:space="preserve">The PSW begins providing the usual personal care to the old lady and prepares for her bath. </w:t>
      </w:r>
      <w:r w:rsidR="00DD3077">
        <w:t xml:space="preserve">As the incident proceeds, all members of the family are seen showing a mutual understanding of one another’s situations. The brother feels guilty for not being present at the right time with her mother. The sister </w:t>
      </w:r>
      <w:r w:rsidR="00E55974">
        <w:t xml:space="preserve">is not persistent with her anger toward the brother; she knows his compulsion. The mother is also not complaining about why his son neglects </w:t>
      </w:r>
      <w:r w:rsidR="00BB190D">
        <w:t>his responsibility. It is v</w:t>
      </w:r>
      <w:r w:rsidR="00D562BE">
        <w:t xml:space="preserve">ivid that all members are aware of the </w:t>
      </w:r>
      <w:r w:rsidRPr="00722EB2" w:rsidR="00D562BE">
        <w:rPr>
          <w:i/>
        </w:rPr>
        <w:t>responsibility</w:t>
      </w:r>
      <w:r w:rsidR="00D562BE">
        <w:t xml:space="preserve"> they have unto others in the family</w:t>
      </w:r>
      <w:r w:rsidR="00326636">
        <w:t xml:space="preserve"> </w:t>
      </w:r>
      <w:r w:rsidR="00326636">
        <w:t>(</w:t>
      </w:r>
      <w:r w:rsidR="00326636">
        <w:t>Železná</w:t>
      </w:r>
      <w:r w:rsidR="00326636">
        <w:t>, 2018)</w:t>
      </w:r>
      <w:r w:rsidR="00D562BE">
        <w:t>.</w:t>
      </w:r>
    </w:p>
    <w:p w:rsidR="00962DE5" w:rsidRPr="00110775" w:rsidP="0042080B">
      <w:pPr>
        <w:pStyle w:val="Title2"/>
        <w:jc w:val="left"/>
      </w:pPr>
      <w:r>
        <w:tab/>
        <w:t xml:space="preserve">The family </w:t>
      </w:r>
      <w:r w:rsidR="00C024F1">
        <w:t xml:space="preserve">of Mrs. A demonstrates the </w:t>
      </w:r>
      <w:r w:rsidR="001E6DEB">
        <w:t xml:space="preserve">adaptability, adjustment, and reorganization as the incident approaches its end. </w:t>
      </w:r>
      <w:r w:rsidR="009E2741">
        <w:t xml:space="preserve">They are not ending up in an unsolvable conflict. </w:t>
      </w:r>
      <w:r w:rsidR="00D54DB5">
        <w:t xml:space="preserve">Instead, the conflict that comprises the tension created by the fall of grandma in the kitchen and the subsequent </w:t>
      </w:r>
      <w:r w:rsidR="00C84017">
        <w:t xml:space="preserve">worries of her daughter, PSW, and her son resolves with the confession of </w:t>
      </w:r>
      <w:r w:rsidR="006E7C03">
        <w:t xml:space="preserve">the “culprit”. They all make themselves fit in the new setting and display a good mental, ethical, and social </w:t>
      </w:r>
      <w:r>
        <w:t>behavior.</w:t>
      </w:r>
      <w:r w:rsidR="006B67CA">
        <w:t xml:space="preserve"> The family members </w:t>
      </w:r>
      <w:r w:rsidR="00624A3C">
        <w:t xml:space="preserve">support each other in the transitions that have happened to their setups. Both mother and daughter are easily persuaded by the </w:t>
      </w:r>
      <w:r w:rsidR="00B974FB">
        <w:t xml:space="preserve">son as they know he is living separately with his family and the new setup demands for increased focus on the </w:t>
      </w:r>
      <w:r w:rsidR="004B3D93">
        <w:t xml:space="preserve">related duties. The son also does not blame the sister for not being </w:t>
      </w:r>
      <w:r w:rsidR="00D416B2">
        <w:t xml:space="preserve">with the mom at the time the incident happened. He knows her sister has </w:t>
      </w:r>
      <w:r w:rsidR="009B1C63">
        <w:t>a separate arrangement for life.</w:t>
      </w:r>
      <w:r w:rsidR="00AB21B3">
        <w:t xml:space="preserve"> In short, the family </w:t>
      </w:r>
      <w:r w:rsidR="003741D1">
        <w:t>exhibits the approved activity concerning reciprocity and resilience</w:t>
      </w:r>
      <w:r w:rsidR="003B0150">
        <w:t xml:space="preserve"> </w:t>
      </w:r>
      <w:r w:rsidR="003B0150">
        <w:t>(</w:t>
      </w:r>
      <w:r w:rsidR="003B0150">
        <w:t>Souralová</w:t>
      </w:r>
      <w:r w:rsidR="003B0150">
        <w:t>, 2016)</w:t>
      </w:r>
      <w:r w:rsidR="003741D1">
        <w:t>.</w:t>
      </w:r>
      <w:r>
        <w:tab/>
      </w:r>
    </w:p>
    <w:p w:rsidR="00A41451" w:rsidRPr="00A41451" w:rsidP="0077585B">
      <w:pPr>
        <w:pStyle w:val="Title2"/>
        <w:jc w:val="left"/>
        <w:rPr>
          <w:b/>
        </w:rPr>
      </w:pPr>
      <w:r w:rsidRPr="00A41451">
        <w:rPr>
          <w:b/>
        </w:rPr>
        <w:t>Conclusion</w:t>
      </w:r>
    </w:p>
    <w:p w:rsidR="00A41451" w:rsidP="001E0A96">
      <w:pPr>
        <w:pStyle w:val="Title2"/>
        <w:jc w:val="left"/>
      </w:pPr>
      <w:r>
        <w:tab/>
      </w:r>
      <w:r w:rsidR="00D069FC">
        <w:t xml:space="preserve">The incident represents a type of conflict that can possibly have led to damaging the intergenerational caregiving relationships between them. </w:t>
      </w:r>
      <w:r w:rsidR="0033644A">
        <w:t>Yet, it proves to make their mutual bonds stronger due to their respectful, responsible, reciprocal, and resilient attitudes and behaviors toward one another.</w:t>
      </w:r>
      <w:r w:rsidR="001F16FA">
        <w:t xml:space="preserve"> They all participate in the caregiving process and make </w:t>
      </w:r>
      <w:r w:rsidR="00C75703">
        <w:t>the optimal aging happen for the old lady.</w:t>
      </w:r>
      <w:r w:rsidR="0033644A">
        <w:t xml:space="preserve"> </w:t>
      </w:r>
      <w:r w:rsidR="009271CE">
        <w:t xml:space="preserve">The PSW provides service and support to the family according to the </w:t>
      </w:r>
      <w:r w:rsidR="006A075E">
        <w:t xml:space="preserve">requirements of her profession. She knows the background of this family as well as the nature of mutual relationships between them. </w:t>
      </w:r>
      <w:r w:rsidR="00C75703">
        <w:t>The son provides</w:t>
      </w:r>
      <w:r w:rsidR="00624074">
        <w:t xml:space="preserve"> a valid reason for his absence, while both mother and daughter assert him for being right in his decision.</w:t>
      </w:r>
      <w:r w:rsidR="00535A28">
        <w:t xml:space="preserve"> It seems that things settle automatically for this family as they continue </w:t>
      </w:r>
      <w:r w:rsidR="001C072A">
        <w:t xml:space="preserve">to manage changes occurring </w:t>
      </w:r>
      <w:r w:rsidR="00C06624">
        <w:t>due to transitions.</w:t>
      </w:r>
    </w:p>
    <w:p w:rsidR="0077585B" w:rsidP="0077585B">
      <w:pPr>
        <w:pStyle w:val="Title2"/>
        <w:rPr>
          <w:b/>
        </w:rPr>
      </w:pPr>
      <w:r w:rsidRPr="0077585B">
        <w:rPr>
          <w:b/>
        </w:rPr>
        <w:t>Assignment #2</w:t>
      </w:r>
    </w:p>
    <w:p w:rsidR="00F12D80" w:rsidP="00755BE0">
      <w:pPr>
        <w:pStyle w:val="Title2"/>
        <w:jc w:val="left"/>
      </w:pPr>
      <w:r>
        <w:tab/>
        <w:t xml:space="preserve">A recent news article </w:t>
      </w:r>
      <w:r w:rsidR="006F15CB">
        <w:t>describes various myths related to the aging people</w:t>
      </w:r>
      <w:r w:rsidR="00F62B52">
        <w:t xml:space="preserve"> </w:t>
      </w:r>
      <w:r w:rsidR="00F62B52">
        <w:t>(</w:t>
      </w:r>
      <w:r w:rsidR="00F62B52">
        <w:rPr>
          <w:i/>
          <w:iCs/>
        </w:rPr>
        <w:t xml:space="preserve">Let’s start off the </w:t>
      </w:r>
      <w:r w:rsidR="00F62B52">
        <w:rPr>
          <w:i/>
          <w:iCs/>
        </w:rPr>
        <w:t>new year</w:t>
      </w:r>
      <w:r w:rsidR="00F62B52">
        <w:rPr>
          <w:i/>
          <w:iCs/>
        </w:rPr>
        <w:t xml:space="preserve"> right</w:t>
      </w:r>
      <w:r w:rsidR="00F62B52">
        <w:t xml:space="preserve">, </w:t>
      </w:r>
      <w:r w:rsidR="00F62B52">
        <w:t>n.d.</w:t>
      </w:r>
      <w:r w:rsidR="00F62B52">
        <w:t>)</w:t>
      </w:r>
      <w:r w:rsidR="006F15CB">
        <w:t xml:space="preserve">. These myths include that older people lose interest in </w:t>
      </w:r>
      <w:r w:rsidR="00402B6E">
        <w:t xml:space="preserve">outer world activities, show a lack of interest in building close relationships, </w:t>
      </w:r>
      <w:r w:rsidR="00412BAC">
        <w:t xml:space="preserve">contribute little to the society, and so on. Among these, the article discusses </w:t>
      </w:r>
      <w:r w:rsidR="0060556A">
        <w:t xml:space="preserve">that people usually think that older people do not like sex or intimacy. This myth is associated with the perception that they </w:t>
      </w:r>
      <w:r w:rsidR="00E02950">
        <w:t xml:space="preserve">have declining sexual health and activity. </w:t>
      </w:r>
      <w:r w:rsidR="00874D21">
        <w:t xml:space="preserve">However, a study conducted at the University of Michigan revealed that </w:t>
      </w:r>
      <w:r w:rsidR="00A50EE1">
        <w:t>older people are mostly interested in sex and intimacy</w:t>
      </w:r>
      <w:r w:rsidR="00CB5591">
        <w:t xml:space="preserve">. Nearly half of them are actively involved in this activity. In fact, </w:t>
      </w:r>
      <w:r w:rsidR="006A6EBC">
        <w:t xml:space="preserve">sexual activity is closely associated with their overall wellbeing. </w:t>
      </w:r>
      <w:r w:rsidR="006D538C">
        <w:t xml:space="preserve">The arguments are valid, as </w:t>
      </w:r>
      <w:r w:rsidR="00587218">
        <w:t xml:space="preserve">many examples support them. Studies give evidence on their </w:t>
      </w:r>
      <w:r w:rsidR="00E06E32">
        <w:t xml:space="preserve">validity. Pope </w:t>
      </w:r>
      <w:r w:rsidR="009A2111">
        <w:t>Francis says being old is not to be ill</w:t>
      </w:r>
      <w:r w:rsidR="00C8582E">
        <w:t xml:space="preserve"> </w:t>
      </w:r>
      <w:r w:rsidR="00C8582E">
        <w:t>(</w:t>
      </w:r>
      <w:r w:rsidR="00C8582E">
        <w:rPr>
          <w:i/>
          <w:iCs/>
        </w:rPr>
        <w:t>Old age is not an illness – Pope – The Mast Online</w:t>
      </w:r>
      <w:r w:rsidR="00C8582E">
        <w:t xml:space="preserve">, </w:t>
      </w:r>
      <w:r w:rsidR="00C8582E">
        <w:t>n.d.</w:t>
      </w:r>
      <w:r w:rsidR="00C8582E">
        <w:t>)</w:t>
      </w:r>
      <w:r w:rsidR="009A2111">
        <w:t xml:space="preserve">. </w:t>
      </w:r>
      <w:r w:rsidR="00173590">
        <w:t xml:space="preserve">Decreased opportunities for intimacy for the older may result in sexual </w:t>
      </w:r>
      <w:r w:rsidR="00AB033D">
        <w:t>harassment of youngsters</w:t>
      </w:r>
      <w:r w:rsidR="00173590">
        <w:t xml:space="preserve"> by them</w:t>
      </w:r>
      <w:r w:rsidR="00C8582E">
        <w:t xml:space="preserve"> </w:t>
      </w:r>
      <w:r w:rsidR="00C8582E">
        <w:t>(</w:t>
      </w:r>
      <w:r w:rsidR="00C8582E">
        <w:rPr>
          <w:i/>
          <w:iCs/>
        </w:rPr>
        <w:t>AG</w:t>
      </w:r>
      <w:r w:rsidR="00C8582E">
        <w:t xml:space="preserve">, </w:t>
      </w:r>
      <w:r w:rsidR="00C8582E">
        <w:t>n.d.</w:t>
      </w:r>
      <w:r w:rsidR="00C8582E">
        <w:t>)</w:t>
      </w:r>
      <w:r w:rsidR="00173590">
        <w:t>.</w:t>
      </w:r>
      <w:r>
        <w:br w:type="page"/>
      </w:r>
      <w:bookmarkStart w:id="2" w:name="_GoBack"/>
      <w:bookmarkEnd w:id="2"/>
    </w:p>
    <w:p w:rsidR="0077585B" w:rsidP="00755BE0">
      <w:pPr>
        <w:pStyle w:val="Title2"/>
      </w:pPr>
      <w:r>
        <w:t>References</w:t>
      </w:r>
    </w:p>
    <w:p w:rsidR="00F12D80" w:rsidRPr="00F12D80" w:rsidP="00755BE0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12D8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AG: Retired NJ Correction Officer Charged With Paying To Have Sex With 14-Year-Old Girl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. (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n.d.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). Retrieved February 4, 2020, from </w:t>
      </w:r>
      <w:hyperlink r:id="rId6" w:history="1">
        <w:r w:rsidRPr="00755BE0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https://www.newjerseynewsnetwork.com/story/41632678/ag-retired-nj-correction-officer-charged-with-paying-to-have-sex-with-14yearold-girl-2-charged-with-trafficking-juvenile</w:t>
        </w:r>
      </w:hyperlink>
    </w:p>
    <w:p w:rsidR="00F12D80" w:rsidRPr="00F12D80" w:rsidP="00755BE0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12D8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 xml:space="preserve">Let’s start off the </w:t>
      </w:r>
      <w:r w:rsidRPr="00F12D80" w:rsidR="00755BE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New Year</w:t>
      </w:r>
      <w:r w:rsidRPr="00F12D8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 xml:space="preserve"> right: Let’s think about positive aging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. (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n.d.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). Fauquier Times. Retrieved February 4, 2020, from </w:t>
      </w:r>
      <w:hyperlink r:id="rId7" w:history="1">
        <w:r w:rsidRPr="00755BE0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https://www.fauquier.com/lifestyles/let-s-start-off-the-new-year-right-let-s/article_1aab50b8-37db-11ea-a9db-2741594373dc.html</w:t>
        </w:r>
      </w:hyperlink>
    </w:p>
    <w:p w:rsidR="00F12D80" w:rsidRPr="00F12D80" w:rsidP="00755BE0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12D8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Old age is not an illness – Pope – The Mast Online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. (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n.d.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). Retrieved February 4, 2020, from </w:t>
      </w:r>
      <w:hyperlink r:id="rId8" w:history="1">
        <w:r w:rsidRPr="00755BE0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https://www.themastonline.com/2020/02/03/old-age-is-not-an-illness-pope/</w:t>
        </w:r>
      </w:hyperlink>
    </w:p>
    <w:p w:rsidR="00F12D80" w:rsidRPr="00F12D80" w:rsidP="00755BE0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12D80">
        <w:rPr>
          <w:rFonts w:ascii="Times New Roman" w:eastAsia="Times New Roman" w:hAnsi="Times New Roman" w:cs="Times New Roman"/>
          <w:kern w:val="0"/>
          <w:lang w:eastAsia="en-US"/>
        </w:rPr>
        <w:t>Savelieva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K.,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Pulkki-Råback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L.,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Jokela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M.,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Hintsanen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M.,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Merjonen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P.,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Hutri-Kähönen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N.,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Juonala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M.,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Viikari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J.,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Raitakari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O., &amp;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Keltikangas-Järvinen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L. (2017). Intergenerational continuity in qualities of the parent-child relationship: Mediating and moderating mechanisms. </w:t>
      </w:r>
      <w:r w:rsidRPr="00F12D8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Journal of Child and Family Studies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F12D8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26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(8), 2191–2201.</w:t>
      </w:r>
    </w:p>
    <w:p w:rsidR="00F12D80" w:rsidRPr="00F12D80" w:rsidP="00755BE0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12D80">
        <w:rPr>
          <w:rFonts w:ascii="Times New Roman" w:eastAsia="Times New Roman" w:hAnsi="Times New Roman" w:cs="Times New Roman"/>
          <w:kern w:val="0"/>
          <w:lang w:eastAsia="en-US"/>
        </w:rPr>
        <w:t>Souralová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A. (2016). </w:t>
      </w:r>
      <w:r w:rsidRPr="00F12D8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New perspectives on mutual dependency in care-giving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. 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Routledge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F12D80" w:rsidRPr="00F12D80" w:rsidP="00755BE0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12D80">
        <w:rPr>
          <w:rFonts w:ascii="Times New Roman" w:eastAsia="Times New Roman" w:hAnsi="Times New Roman" w:cs="Times New Roman"/>
          <w:kern w:val="0"/>
          <w:lang w:eastAsia="en-US"/>
        </w:rPr>
        <w:t>Železná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L. (2018). Care-giving to grandchildren and elderly parents: Role conflict or family solidarity? </w:t>
      </w:r>
      <w:r w:rsidRPr="00F12D8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Ageing &amp; Society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F12D80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38</w:t>
      </w:r>
      <w:r w:rsidRPr="00F12D80">
        <w:rPr>
          <w:rFonts w:ascii="Times New Roman" w:eastAsia="Times New Roman" w:hAnsi="Times New Roman" w:cs="Times New Roman"/>
          <w:kern w:val="0"/>
          <w:lang w:eastAsia="en-US"/>
        </w:rPr>
        <w:t>(5), 974–994.</w:t>
      </w:r>
      <w:r w:rsidRPr="00755BE0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</w:p>
    <w:p w:rsidR="00F12D80" w:rsidRPr="0077585B" w:rsidP="0077585B">
      <w:pPr>
        <w:pStyle w:val="Title2"/>
        <w:jc w:val="left"/>
      </w:pPr>
    </w:p>
    <w:sectPr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E82F24">
          <w:rPr>
            <w:rStyle w:val="Strong"/>
          </w:rPr>
          <w:t>gerontology (optimal aging</w:t>
        </w:r>
        <w:r w:rsidR="00E82F24">
          <w:rPr>
            <w:rStyle w:val="Strong"/>
          </w:rPr>
          <w:t>)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755BE0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1A6089">
          <w:rPr>
            <w:rStyle w:val="Strong"/>
          </w:rPr>
          <w:t>gerontology (</w:t>
        </w:r>
        <w:r w:rsidR="00E82F24">
          <w:rPr>
            <w:rStyle w:val="Strong"/>
          </w:rPr>
          <w:t>optimal aging</w:t>
        </w:r>
        <w:r w:rsidR="00E82F24">
          <w:rPr>
            <w:rStyle w:val="Strong"/>
          </w:rPr>
          <w:t>)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755BE0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8DD082F"/>
    <w:multiLevelType w:val="hybridMultilevel"/>
    <w:tmpl w:val="35845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FB87C21"/>
    <w:multiLevelType w:val="hybridMultilevel"/>
    <w:tmpl w:val="8F564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6F76"/>
    <w:rsid w:val="000265F6"/>
    <w:rsid w:val="000414F1"/>
    <w:rsid w:val="000519CD"/>
    <w:rsid w:val="00086A29"/>
    <w:rsid w:val="000A3CBB"/>
    <w:rsid w:val="000B52F9"/>
    <w:rsid w:val="000B7551"/>
    <w:rsid w:val="000D3F41"/>
    <w:rsid w:val="000D5C41"/>
    <w:rsid w:val="000E0D9C"/>
    <w:rsid w:val="00110775"/>
    <w:rsid w:val="0012288D"/>
    <w:rsid w:val="00131F4B"/>
    <w:rsid w:val="00155E12"/>
    <w:rsid w:val="00173590"/>
    <w:rsid w:val="001744D8"/>
    <w:rsid w:val="00180CBF"/>
    <w:rsid w:val="00192DC8"/>
    <w:rsid w:val="001A1EBB"/>
    <w:rsid w:val="001A6089"/>
    <w:rsid w:val="001C072A"/>
    <w:rsid w:val="001C1B79"/>
    <w:rsid w:val="001E0A96"/>
    <w:rsid w:val="001E6DEB"/>
    <w:rsid w:val="001F16FA"/>
    <w:rsid w:val="00210E63"/>
    <w:rsid w:val="00215A3C"/>
    <w:rsid w:val="0023346F"/>
    <w:rsid w:val="00281ADE"/>
    <w:rsid w:val="00286195"/>
    <w:rsid w:val="00296720"/>
    <w:rsid w:val="002D0BE7"/>
    <w:rsid w:val="002F06B7"/>
    <w:rsid w:val="00326636"/>
    <w:rsid w:val="0033644A"/>
    <w:rsid w:val="003536D5"/>
    <w:rsid w:val="00355DCA"/>
    <w:rsid w:val="0036172E"/>
    <w:rsid w:val="003741D1"/>
    <w:rsid w:val="003A278A"/>
    <w:rsid w:val="003B0150"/>
    <w:rsid w:val="003F7078"/>
    <w:rsid w:val="00402B6E"/>
    <w:rsid w:val="00412BAC"/>
    <w:rsid w:val="0042080B"/>
    <w:rsid w:val="00431004"/>
    <w:rsid w:val="004370D5"/>
    <w:rsid w:val="004B3D93"/>
    <w:rsid w:val="004C5E61"/>
    <w:rsid w:val="004E54A5"/>
    <w:rsid w:val="004F6F82"/>
    <w:rsid w:val="00504EAD"/>
    <w:rsid w:val="00515B64"/>
    <w:rsid w:val="00534BA6"/>
    <w:rsid w:val="00535A28"/>
    <w:rsid w:val="005438C7"/>
    <w:rsid w:val="00547A37"/>
    <w:rsid w:val="00551A02"/>
    <w:rsid w:val="005534FA"/>
    <w:rsid w:val="00586AAB"/>
    <w:rsid w:val="00587218"/>
    <w:rsid w:val="00587B98"/>
    <w:rsid w:val="00591B03"/>
    <w:rsid w:val="00594FAA"/>
    <w:rsid w:val="005A1FB9"/>
    <w:rsid w:val="005C5FAB"/>
    <w:rsid w:val="005D3A03"/>
    <w:rsid w:val="005D42D3"/>
    <w:rsid w:val="005D7B66"/>
    <w:rsid w:val="005F63FB"/>
    <w:rsid w:val="0060556A"/>
    <w:rsid w:val="00607FAE"/>
    <w:rsid w:val="00624074"/>
    <w:rsid w:val="00624A3C"/>
    <w:rsid w:val="006369D5"/>
    <w:rsid w:val="00690290"/>
    <w:rsid w:val="006A075E"/>
    <w:rsid w:val="006A46CB"/>
    <w:rsid w:val="006A6EBC"/>
    <w:rsid w:val="006B67CA"/>
    <w:rsid w:val="006D538C"/>
    <w:rsid w:val="006D601B"/>
    <w:rsid w:val="006E7C03"/>
    <w:rsid w:val="006F15CB"/>
    <w:rsid w:val="007024DF"/>
    <w:rsid w:val="00722EB2"/>
    <w:rsid w:val="007262C0"/>
    <w:rsid w:val="007332BC"/>
    <w:rsid w:val="00755BE0"/>
    <w:rsid w:val="0075601D"/>
    <w:rsid w:val="0077533C"/>
    <w:rsid w:val="0077585B"/>
    <w:rsid w:val="00786E0A"/>
    <w:rsid w:val="00795B43"/>
    <w:rsid w:val="007A20CB"/>
    <w:rsid w:val="007A76AB"/>
    <w:rsid w:val="007B20B6"/>
    <w:rsid w:val="007F4815"/>
    <w:rsid w:val="008002C0"/>
    <w:rsid w:val="00805834"/>
    <w:rsid w:val="00844BEA"/>
    <w:rsid w:val="008704E5"/>
    <w:rsid w:val="00874D21"/>
    <w:rsid w:val="008868AC"/>
    <w:rsid w:val="008958B5"/>
    <w:rsid w:val="00895D85"/>
    <w:rsid w:val="008B4066"/>
    <w:rsid w:val="008C5323"/>
    <w:rsid w:val="0091780F"/>
    <w:rsid w:val="009271CE"/>
    <w:rsid w:val="00930C02"/>
    <w:rsid w:val="00962DE5"/>
    <w:rsid w:val="009A2111"/>
    <w:rsid w:val="009A6A3B"/>
    <w:rsid w:val="009B1C63"/>
    <w:rsid w:val="009D7533"/>
    <w:rsid w:val="009E2741"/>
    <w:rsid w:val="009E42BB"/>
    <w:rsid w:val="00A043F0"/>
    <w:rsid w:val="00A16B67"/>
    <w:rsid w:val="00A40E95"/>
    <w:rsid w:val="00A41451"/>
    <w:rsid w:val="00A43F5F"/>
    <w:rsid w:val="00A45F47"/>
    <w:rsid w:val="00A50EE1"/>
    <w:rsid w:val="00AB033D"/>
    <w:rsid w:val="00AB21B3"/>
    <w:rsid w:val="00AC3ED8"/>
    <w:rsid w:val="00B0264C"/>
    <w:rsid w:val="00B33D88"/>
    <w:rsid w:val="00B34BD2"/>
    <w:rsid w:val="00B823AA"/>
    <w:rsid w:val="00B932D8"/>
    <w:rsid w:val="00B974FB"/>
    <w:rsid w:val="00BA45DB"/>
    <w:rsid w:val="00BB190D"/>
    <w:rsid w:val="00BF4184"/>
    <w:rsid w:val="00C024F1"/>
    <w:rsid w:val="00C0601E"/>
    <w:rsid w:val="00C06624"/>
    <w:rsid w:val="00C07FBA"/>
    <w:rsid w:val="00C31D30"/>
    <w:rsid w:val="00C34737"/>
    <w:rsid w:val="00C50272"/>
    <w:rsid w:val="00C5617F"/>
    <w:rsid w:val="00C57C72"/>
    <w:rsid w:val="00C628A3"/>
    <w:rsid w:val="00C73F57"/>
    <w:rsid w:val="00C75620"/>
    <w:rsid w:val="00C75703"/>
    <w:rsid w:val="00C84017"/>
    <w:rsid w:val="00C8502E"/>
    <w:rsid w:val="00C8582E"/>
    <w:rsid w:val="00C9415C"/>
    <w:rsid w:val="00CA402C"/>
    <w:rsid w:val="00CB2165"/>
    <w:rsid w:val="00CB5591"/>
    <w:rsid w:val="00CD10A1"/>
    <w:rsid w:val="00CD4331"/>
    <w:rsid w:val="00CD635C"/>
    <w:rsid w:val="00CD6E39"/>
    <w:rsid w:val="00CE091A"/>
    <w:rsid w:val="00CE442C"/>
    <w:rsid w:val="00CF6E91"/>
    <w:rsid w:val="00D00932"/>
    <w:rsid w:val="00D00E71"/>
    <w:rsid w:val="00D069FC"/>
    <w:rsid w:val="00D138E4"/>
    <w:rsid w:val="00D147D0"/>
    <w:rsid w:val="00D2259C"/>
    <w:rsid w:val="00D416B2"/>
    <w:rsid w:val="00D54DB5"/>
    <w:rsid w:val="00D562BE"/>
    <w:rsid w:val="00D567FD"/>
    <w:rsid w:val="00D811BA"/>
    <w:rsid w:val="00D85B68"/>
    <w:rsid w:val="00DA7213"/>
    <w:rsid w:val="00DB1144"/>
    <w:rsid w:val="00DD0B02"/>
    <w:rsid w:val="00DD3077"/>
    <w:rsid w:val="00DE512F"/>
    <w:rsid w:val="00E02950"/>
    <w:rsid w:val="00E06E32"/>
    <w:rsid w:val="00E32F40"/>
    <w:rsid w:val="00E51150"/>
    <w:rsid w:val="00E55974"/>
    <w:rsid w:val="00E6004D"/>
    <w:rsid w:val="00E6123A"/>
    <w:rsid w:val="00E743B1"/>
    <w:rsid w:val="00E81978"/>
    <w:rsid w:val="00E82F24"/>
    <w:rsid w:val="00E95337"/>
    <w:rsid w:val="00EB4610"/>
    <w:rsid w:val="00ED2423"/>
    <w:rsid w:val="00EE6F2A"/>
    <w:rsid w:val="00EF4D6D"/>
    <w:rsid w:val="00F12D80"/>
    <w:rsid w:val="00F2324A"/>
    <w:rsid w:val="00F379B7"/>
    <w:rsid w:val="00F47BC9"/>
    <w:rsid w:val="00F525FA"/>
    <w:rsid w:val="00F62B52"/>
    <w:rsid w:val="00FC10E3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F1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newjerseynewsnetwork.com/story/41632678/ag-retired-nj-correction-officer-charged-with-paying-to-have-sex-with-14yearold-girl-2-charged-with-trafficking-juvenile" TargetMode="External" /><Relationship Id="rId7" Type="http://schemas.openxmlformats.org/officeDocument/2006/relationships/hyperlink" Target="https://www.fauquier.com/lifestyles/let-s-start-off-the-new-year-right-let-s/article_1aab50b8-37db-11ea-a9db-2741594373dc.html" TargetMode="External" /><Relationship Id="rId8" Type="http://schemas.openxmlformats.org/officeDocument/2006/relationships/hyperlink" Target="https://www.themastonline.com/2020/02/03/old-age-is-not-an-illness-pope/" TargetMode="External" /><Relationship Id="rId9" Type="http://schemas.openxmlformats.org/officeDocument/2006/relationships/header" Target="head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32284"/>
    <w:rsid w:val="00313E00"/>
    <w:rsid w:val="00336195"/>
    <w:rsid w:val="004C38B1"/>
    <w:rsid w:val="00693D3E"/>
    <w:rsid w:val="007262C0"/>
    <w:rsid w:val="00D94B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gerontology (optimal aging)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B3929-3BD0-4726-B3FE-6D88AE56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481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Intergenerational Care-giving Relationships</vt:lpstr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Intergenerational Care-giving Relationships</dc:title>
  <dc:creator>Zack Gold</dc:creator>
  <cp:lastModifiedBy>SALAHUDDIN AZIZ</cp:lastModifiedBy>
  <cp:revision>16</cp:revision>
  <dcterms:created xsi:type="dcterms:W3CDTF">2020-01-30T18:56:00Z</dcterms:created>
  <dcterms:modified xsi:type="dcterms:W3CDTF">2020-02-04T01:28:00Z</dcterms:modified>
</cp:coreProperties>
</file>