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A5894" w14:textId="77777777" w:rsidR="000F5D2F" w:rsidRPr="00A97D17" w:rsidRDefault="000F5D2F" w:rsidP="000F5D2F">
      <w:pPr>
        <w:tabs>
          <w:tab w:val="left" w:pos="90"/>
        </w:tabs>
        <w:spacing w:line="480" w:lineRule="auto"/>
        <w:ind w:firstLine="720"/>
      </w:pPr>
    </w:p>
    <w:p w14:paraId="6E54E78D" w14:textId="77777777" w:rsidR="000F5D2F" w:rsidRPr="00A97D17" w:rsidRDefault="000F5D2F" w:rsidP="000F5D2F">
      <w:pPr>
        <w:tabs>
          <w:tab w:val="left" w:pos="90"/>
        </w:tabs>
        <w:spacing w:line="480" w:lineRule="auto"/>
        <w:ind w:firstLine="720"/>
      </w:pPr>
    </w:p>
    <w:p w14:paraId="4A43F87E" w14:textId="77777777" w:rsidR="000F5D2F" w:rsidRPr="00A97D17" w:rsidRDefault="000F5D2F" w:rsidP="000F5D2F">
      <w:pPr>
        <w:tabs>
          <w:tab w:val="left" w:pos="90"/>
        </w:tabs>
        <w:spacing w:line="480" w:lineRule="auto"/>
        <w:ind w:firstLine="720"/>
      </w:pPr>
    </w:p>
    <w:p w14:paraId="2CA0E5BF" w14:textId="77777777" w:rsidR="000F5D2F" w:rsidRPr="00A97D17" w:rsidRDefault="000F5D2F" w:rsidP="000F5D2F">
      <w:pPr>
        <w:tabs>
          <w:tab w:val="left" w:pos="90"/>
        </w:tabs>
        <w:spacing w:line="480" w:lineRule="auto"/>
        <w:ind w:firstLine="720"/>
      </w:pPr>
    </w:p>
    <w:p w14:paraId="339AA069" w14:textId="77777777" w:rsidR="000F5D2F" w:rsidRPr="00A97D17" w:rsidRDefault="000F5D2F" w:rsidP="000F5D2F">
      <w:pPr>
        <w:tabs>
          <w:tab w:val="left" w:pos="90"/>
        </w:tabs>
        <w:spacing w:line="480" w:lineRule="auto"/>
        <w:ind w:firstLine="720"/>
      </w:pPr>
    </w:p>
    <w:p w14:paraId="4E08B5AF" w14:textId="77777777" w:rsidR="000F5D2F" w:rsidRPr="00A97D17" w:rsidRDefault="000F5D2F" w:rsidP="000F5D2F">
      <w:pPr>
        <w:tabs>
          <w:tab w:val="left" w:pos="90"/>
        </w:tabs>
        <w:spacing w:line="480" w:lineRule="auto"/>
        <w:ind w:firstLine="720"/>
      </w:pPr>
    </w:p>
    <w:p w14:paraId="3F2ED6BD" w14:textId="77777777" w:rsidR="000F5D2F" w:rsidRPr="00A97D17" w:rsidRDefault="000F5D2F" w:rsidP="000F5D2F">
      <w:pPr>
        <w:tabs>
          <w:tab w:val="left" w:pos="90"/>
        </w:tabs>
        <w:spacing w:line="480" w:lineRule="auto"/>
        <w:ind w:firstLine="720"/>
      </w:pPr>
    </w:p>
    <w:p w14:paraId="02F0D42D" w14:textId="77777777" w:rsidR="000F5D2F" w:rsidRPr="00A97D17" w:rsidRDefault="000F5D2F" w:rsidP="000F5D2F">
      <w:pPr>
        <w:tabs>
          <w:tab w:val="left" w:pos="90"/>
        </w:tabs>
        <w:spacing w:line="480" w:lineRule="auto"/>
        <w:ind w:firstLine="720"/>
      </w:pPr>
    </w:p>
    <w:p w14:paraId="6C0868B5" w14:textId="77777777" w:rsidR="000F5D2F" w:rsidRDefault="002241D3" w:rsidP="000F5D2F">
      <w:pPr>
        <w:spacing w:line="480" w:lineRule="auto"/>
        <w:jc w:val="center"/>
      </w:pPr>
      <w:r>
        <w:t xml:space="preserve">Discussion and Evaluation of the </w:t>
      </w:r>
      <w:r w:rsidR="00754B7E">
        <w:t>R</w:t>
      </w:r>
      <w:r>
        <w:t xml:space="preserve">ole of Courts </w:t>
      </w:r>
    </w:p>
    <w:p w14:paraId="19A5E7F6" w14:textId="77777777" w:rsidR="000F5D2F" w:rsidRPr="00A97D17" w:rsidRDefault="002241D3" w:rsidP="000F5D2F">
      <w:pPr>
        <w:spacing w:line="480" w:lineRule="auto"/>
        <w:jc w:val="center"/>
      </w:pPr>
      <w:r>
        <w:t>McJames</w:t>
      </w:r>
    </w:p>
    <w:p w14:paraId="0CC08AAF" w14:textId="77777777" w:rsidR="002241D3" w:rsidRDefault="002241D3" w:rsidP="00B25E77">
      <w:pPr>
        <w:pStyle w:val="Title"/>
        <w:spacing w:line="480" w:lineRule="auto"/>
        <w:jc w:val="center"/>
        <w:rPr>
          <w:rFonts w:ascii="Times New Roman" w:hAnsi="Times New Roman" w:cs="Times New Roman"/>
          <w:sz w:val="24"/>
          <w:szCs w:val="24"/>
        </w:rPr>
      </w:pPr>
      <w:r>
        <w:rPr>
          <w:rFonts w:ascii="Courier New" w:hAnsi="Courier New" w:cs="Courier New"/>
          <w:b/>
        </w:rPr>
        <w:br w:type="page"/>
      </w:r>
      <w:r w:rsidRPr="00B409B0">
        <w:rPr>
          <w:rFonts w:ascii="Times New Roman" w:hAnsi="Times New Roman" w:cs="Times New Roman"/>
          <w:sz w:val="24"/>
          <w:szCs w:val="24"/>
        </w:rPr>
        <w:lastRenderedPageBreak/>
        <w:t xml:space="preserve">Discussion and Evaluation of the </w:t>
      </w:r>
      <w:r w:rsidR="00754B7E">
        <w:rPr>
          <w:rFonts w:ascii="Times New Roman" w:hAnsi="Times New Roman" w:cs="Times New Roman"/>
          <w:sz w:val="24"/>
          <w:szCs w:val="24"/>
        </w:rPr>
        <w:t>R</w:t>
      </w:r>
      <w:r w:rsidRPr="00B409B0">
        <w:rPr>
          <w:rFonts w:ascii="Times New Roman" w:hAnsi="Times New Roman" w:cs="Times New Roman"/>
          <w:sz w:val="24"/>
          <w:szCs w:val="24"/>
        </w:rPr>
        <w:t>ole of Courts</w:t>
      </w:r>
    </w:p>
    <w:p w14:paraId="51950589" w14:textId="70AA9000" w:rsidR="00AC027B" w:rsidRDefault="00EA7126" w:rsidP="00B25E77">
      <w:pPr>
        <w:spacing w:line="480" w:lineRule="auto"/>
      </w:pPr>
      <w:r>
        <w:tab/>
        <w:t xml:space="preserve">In the pursuit of analyzing the role of courts, it is pertinent to consider </w:t>
      </w:r>
      <w:r w:rsidR="00A40BFF">
        <w:t>whether</w:t>
      </w:r>
      <w:r>
        <w:t xml:space="preserve"> the courts in </w:t>
      </w:r>
      <w:r w:rsidR="00754B7E">
        <w:t xml:space="preserve">the </w:t>
      </w:r>
      <w:r>
        <w:t>UK work under the jurisdiction or not. Courts at present, are the necessary component of the UK legal system</w:t>
      </w:r>
      <w:r w:rsidR="00787AE8">
        <w:rPr>
          <w:rStyle w:val="FootnoteReference"/>
        </w:rPr>
        <w:footnoteReference w:id="1"/>
      </w:r>
      <w:r>
        <w:t xml:space="preserve">. This discussion will analyze the role of courts in </w:t>
      </w:r>
      <w:r w:rsidR="00754B7E">
        <w:t xml:space="preserve">the </w:t>
      </w:r>
      <w:r>
        <w:t>jurisdiction and how effectively they play their part. To initiate the analysis, it is important to consider what the court in the UK legal system is</w:t>
      </w:r>
      <w:r w:rsidR="00787AE8">
        <w:rPr>
          <w:rStyle w:val="FootnoteReference"/>
        </w:rPr>
        <w:footnoteReference w:id="2"/>
      </w:r>
      <w:r>
        <w:t>. To such effect, in the practice, a court is an authority, which consists of an individual who adjudicate</w:t>
      </w:r>
      <w:r w:rsidR="00754B7E">
        <w:t>s</w:t>
      </w:r>
      <w:r>
        <w:t xml:space="preserve"> and make</w:t>
      </w:r>
      <w:r w:rsidR="00053E9A">
        <w:t>s</w:t>
      </w:r>
      <w:r>
        <w:t xml:space="preserve"> claims, by following the legal practices enshrined by the larger legal system</w:t>
      </w:r>
      <w:r w:rsidR="00787AE8">
        <w:rPr>
          <w:rStyle w:val="FootnoteReference"/>
        </w:rPr>
        <w:footnoteReference w:id="3"/>
      </w:r>
      <w:r>
        <w:t>.</w:t>
      </w:r>
      <w:r w:rsidR="00A40BFF">
        <w:t xml:space="preserve"> Both </w:t>
      </w:r>
      <w:r w:rsidR="00AC027B">
        <w:t>in England and Wales, courts are bodies which hear disputes that arise with the breakdown of relationships or agreement</w:t>
      </w:r>
      <w:r w:rsidR="00053E9A">
        <w:t>s</w:t>
      </w:r>
      <w:r w:rsidR="00AC027B">
        <w:t xml:space="preserve"> between the parties which already had surrender</w:t>
      </w:r>
      <w:r w:rsidR="00053E9A">
        <w:t>ed</w:t>
      </w:r>
      <w:r w:rsidR="00AC027B">
        <w:t xml:space="preserve"> their authorities in front of the </w:t>
      </w:r>
      <w:r w:rsidR="00053E9A">
        <w:t>c</w:t>
      </w:r>
      <w:r w:rsidR="00AC027B">
        <w:t xml:space="preserve">ourt. However, depending upon the nature of </w:t>
      </w:r>
      <w:r w:rsidR="00754B7E">
        <w:t xml:space="preserve">the </w:t>
      </w:r>
      <w:r w:rsidR="00AC027B">
        <w:t xml:space="preserve">conflict, there </w:t>
      </w:r>
      <w:r w:rsidR="00053E9A">
        <w:t xml:space="preserve">are </w:t>
      </w:r>
      <w:r w:rsidR="00AC027B">
        <w:t>different level</w:t>
      </w:r>
      <w:r w:rsidR="00053E9A">
        <w:t>s</w:t>
      </w:r>
      <w:r w:rsidR="00AC027B">
        <w:t xml:space="preserve"> of court system</w:t>
      </w:r>
      <w:r w:rsidR="00053E9A">
        <w:t>s</w:t>
      </w:r>
      <w:r w:rsidR="00AC027B">
        <w:t xml:space="preserve"> like the Magistrate’s Court, the Appellate Court, County Court, Crown Court and her Majesty’s Court </w:t>
      </w:r>
      <w:proofErr w:type="spellStart"/>
      <w:r w:rsidR="00AC027B">
        <w:t>etc</w:t>
      </w:r>
      <w:proofErr w:type="spellEnd"/>
      <w:r w:rsidR="00787AE8">
        <w:rPr>
          <w:rStyle w:val="FootnoteReference"/>
        </w:rPr>
        <w:footnoteReference w:id="4"/>
      </w:r>
      <w:r w:rsidR="00AC027B">
        <w:t>.</w:t>
      </w:r>
    </w:p>
    <w:p w14:paraId="5D0227D1" w14:textId="12442426" w:rsidR="004D40AA" w:rsidRPr="004D40AA" w:rsidRDefault="00AC027B" w:rsidP="00B25E77">
      <w:pPr>
        <w:spacing w:line="480" w:lineRule="auto"/>
      </w:pPr>
      <w:r>
        <w:tab/>
        <w:t xml:space="preserve"> In the UK, the role of </w:t>
      </w:r>
      <w:r w:rsidR="00754B7E">
        <w:t xml:space="preserve">the </w:t>
      </w:r>
      <w:r>
        <w:t>court is important, since it protect</w:t>
      </w:r>
      <w:r w:rsidR="00754B7E">
        <w:t>s</w:t>
      </w:r>
      <w:r>
        <w:t xml:space="preserve"> the rights of the citizens (enshrined upon them through Constitution) and extends equal protection under the due law. Both the civil and criminal court, offer the opportunity to citizens</w:t>
      </w:r>
      <w:r w:rsidR="00053E9A">
        <w:t>,</w:t>
      </w:r>
      <w:r>
        <w:t xml:space="preserve"> that their disputes be heard by the judges who are neutral </w:t>
      </w:r>
      <w:r w:rsidR="00053E9A">
        <w:t>which</w:t>
      </w:r>
      <w:r>
        <w:t xml:space="preserve"> keeps the law upright</w:t>
      </w:r>
      <w:r w:rsidR="00787AE8">
        <w:rPr>
          <w:rStyle w:val="FootnoteReference"/>
        </w:rPr>
        <w:footnoteReference w:id="5"/>
      </w:r>
      <w:r>
        <w:t>. By doing this, the courts in England and Wales, ensure that neither of the defendant nor the claimant party faces any inconsistency in getting the due justice. They therefore,</w:t>
      </w:r>
      <w:r w:rsidR="00E6029A">
        <w:t xml:space="preserve"> enforce </w:t>
      </w:r>
      <w:r w:rsidR="00E6029A">
        <w:lastRenderedPageBreak/>
        <w:t>the law in a transpa</w:t>
      </w:r>
      <w:r w:rsidR="004D40AA">
        <w:t>rent and a more consistent way. U</w:t>
      </w:r>
      <w:r w:rsidR="004D40AA" w:rsidRPr="004D40AA">
        <w:t>nder a Common Law system, judges have to consider two things - the laws passed by Parliament as legislation, and the decisions made by previous courts as precedent</w:t>
      </w:r>
      <w:r w:rsidR="00787AE8">
        <w:rPr>
          <w:rStyle w:val="FootnoteReference"/>
        </w:rPr>
        <w:footnoteReference w:id="6"/>
      </w:r>
      <w:r w:rsidR="004D40AA" w:rsidRPr="004D40AA">
        <w:t xml:space="preserve">. </w:t>
      </w:r>
      <w:r w:rsidR="004D40AA">
        <w:t xml:space="preserve">It suggests that the </w:t>
      </w:r>
      <w:r w:rsidR="004D40AA" w:rsidRPr="004D40AA">
        <w:t>lower courts are bound by the decisions of higher courts, and only</w:t>
      </w:r>
      <w:r w:rsidR="00053E9A">
        <w:t xml:space="preserve"> the</w:t>
      </w:r>
      <w:r w:rsidR="004D40AA" w:rsidRPr="004D40AA">
        <w:t xml:space="preserve"> Parliament or the Supreme Court can take the law in a new direction</w:t>
      </w:r>
      <w:r w:rsidR="00787AE8">
        <w:rPr>
          <w:rStyle w:val="FootnoteReference"/>
        </w:rPr>
        <w:footnoteReference w:id="7"/>
      </w:r>
      <w:r w:rsidR="004D40AA" w:rsidRPr="004D40AA">
        <w:t>.</w:t>
      </w:r>
    </w:p>
    <w:p w14:paraId="36BE6EF8" w14:textId="2BA43AD7" w:rsidR="004D40AA" w:rsidRDefault="000429D6" w:rsidP="00B25E77">
      <w:pPr>
        <w:spacing w:line="480" w:lineRule="auto"/>
        <w:ind w:firstLine="720"/>
      </w:pPr>
      <w:r>
        <w:t xml:space="preserve">In understanding how the UK Courts have been upholding </w:t>
      </w:r>
      <w:r w:rsidR="00754B7E">
        <w:t xml:space="preserve">the </w:t>
      </w:r>
      <w:r>
        <w:t xml:space="preserve">law, it appears pertinent to consider the case of </w:t>
      </w:r>
      <w:r w:rsidR="004D40AA" w:rsidRPr="00E71A31">
        <w:rPr>
          <w:i/>
        </w:rPr>
        <w:t>Donoghue v Stevenson</w:t>
      </w:r>
      <w:r w:rsidR="00787AE8">
        <w:rPr>
          <w:rStyle w:val="FootnoteReference"/>
          <w:i/>
        </w:rPr>
        <w:footnoteReference w:id="8"/>
      </w:r>
      <w:r w:rsidR="004D40AA" w:rsidRPr="004D40AA">
        <w:t xml:space="preserve">. </w:t>
      </w:r>
      <w:r w:rsidR="00E71A31" w:rsidRPr="004D40AA">
        <w:t>Ms</w:t>
      </w:r>
      <w:r w:rsidR="00053E9A">
        <w:t>.</w:t>
      </w:r>
      <w:r w:rsidR="004D40AA" w:rsidRPr="004D40AA">
        <w:t xml:space="preserve"> Donoghue was enjoying </w:t>
      </w:r>
      <w:r w:rsidR="00754B7E">
        <w:t xml:space="preserve">a </w:t>
      </w:r>
      <w:r w:rsidR="004D40AA" w:rsidRPr="004D40AA">
        <w:t>beer at a bar when she discovered a snail at the bottom of it. She became very ill, so</w:t>
      </w:r>
      <w:r>
        <w:t xml:space="preserve"> she</w:t>
      </w:r>
      <w:r w:rsidR="004D40AA" w:rsidRPr="004D40AA">
        <w:t xml:space="preserve"> decided to sue for the medical costs and time off work</w:t>
      </w:r>
      <w:r>
        <w:t>.</w:t>
      </w:r>
      <w:r w:rsidR="004D40AA" w:rsidRPr="004D40AA">
        <w:t xml:space="preserve">  The problem for her was that the law at the time didn't offer a solution; she couldn't see inside the murky bottle, so it wasn't her fault for drinking it - and it wasn't the bar owner’s fault for the same reason. But at this time, there was no precedent for suing the manufacturer for negligence, and the courts had only just rejected the concept of </w:t>
      </w:r>
      <w:r w:rsidR="00754B7E">
        <w:t xml:space="preserve">a </w:t>
      </w:r>
      <w:r w:rsidR="004D40AA" w:rsidRPr="004D40AA">
        <w:t>manufacturer’s liability for negligence when someone sued the Barr soda company. But the courts did something very strange and plucked the justification out of older case law</w:t>
      </w:r>
      <w:r w:rsidR="00787AE8">
        <w:rPr>
          <w:rStyle w:val="FootnoteReference"/>
        </w:rPr>
        <w:footnoteReference w:id="9"/>
      </w:r>
      <w:r w:rsidR="004D40AA" w:rsidRPr="004D40AA">
        <w:t>. They argued that the manufacturer should, in fact, be liable, and in doing so</w:t>
      </w:r>
      <w:r w:rsidR="00053E9A">
        <w:t>,</w:t>
      </w:r>
      <w:r w:rsidR="004D40AA" w:rsidRPr="004D40AA">
        <w:t xml:space="preserve"> fundamentally changed</w:t>
      </w:r>
      <w:r w:rsidR="00053E9A">
        <w:t xml:space="preserve"> the</w:t>
      </w:r>
      <w:r w:rsidR="004D40AA" w:rsidRPr="004D40AA">
        <w:t xml:space="preserve"> negligence law without a piece of legislation ever being passed.</w:t>
      </w:r>
    </w:p>
    <w:p w14:paraId="42B3E51A" w14:textId="2C258EF2" w:rsidR="00754B7E" w:rsidRDefault="00E71A31" w:rsidP="00754B7E">
      <w:pPr>
        <w:spacing w:line="480" w:lineRule="auto"/>
        <w:ind w:firstLine="720"/>
      </w:pPr>
      <w:r>
        <w:t xml:space="preserve">To conclude, it is right to argue that the role of courts in England and Wales is imperative, as it prevails in the legal system and is being </w:t>
      </w:r>
      <w:r w:rsidR="00053E9A">
        <w:t>practiced</w:t>
      </w:r>
      <w:r>
        <w:t xml:space="preserve"> for a good number of years.</w:t>
      </w:r>
      <w:r w:rsidR="00B25E77">
        <w:t xml:space="preserve"> In addition to deciding about the cases, the courts provide a regulatory mechanism </w:t>
      </w:r>
      <w:r w:rsidR="00B25E77">
        <w:lastRenderedPageBreak/>
        <w:t>to the UK legal system. This court system offers fairness, openness and impartiality in the law which prevails in the law system</w:t>
      </w:r>
      <w:r w:rsidR="00787AE8">
        <w:rPr>
          <w:rStyle w:val="FootnoteReference"/>
        </w:rPr>
        <w:footnoteReference w:id="10"/>
      </w:r>
      <w:r w:rsidR="00B25E77">
        <w:t>. These courts also undertake a review of the constitution and evaluate and present issues which are referred to higher courts and to the Parliament</w:t>
      </w:r>
      <w:r w:rsidR="005B3C5E">
        <w:t>,</w:t>
      </w:r>
      <w:bookmarkStart w:id="0" w:name="_GoBack"/>
      <w:bookmarkEnd w:id="0"/>
      <w:r w:rsidR="00B25E77">
        <w:t xml:space="preserve"> as well.</w:t>
      </w:r>
    </w:p>
    <w:p w14:paraId="0A68FB74" w14:textId="77777777" w:rsidR="00787AE8" w:rsidRDefault="00754B7E" w:rsidP="00754B7E">
      <w:pPr>
        <w:spacing w:line="480" w:lineRule="auto"/>
      </w:pPr>
      <w:r>
        <w:br w:type="page"/>
      </w:r>
    </w:p>
    <w:p w14:paraId="78833EEB" w14:textId="77777777" w:rsidR="00E71A31" w:rsidRDefault="00787AE8" w:rsidP="00787AE8">
      <w:pPr>
        <w:pStyle w:val="Heading1"/>
        <w:spacing w:line="480" w:lineRule="auto"/>
        <w:jc w:val="center"/>
        <w:rPr>
          <w:rFonts w:ascii="Times New Roman" w:hAnsi="Times New Roman" w:cs="Times New Roman"/>
          <w:b/>
          <w:color w:val="auto"/>
          <w:sz w:val="24"/>
          <w:szCs w:val="24"/>
        </w:rPr>
      </w:pPr>
      <w:r w:rsidRPr="00787AE8">
        <w:rPr>
          <w:rFonts w:ascii="Times New Roman" w:hAnsi="Times New Roman" w:cs="Times New Roman"/>
          <w:b/>
          <w:color w:val="auto"/>
          <w:sz w:val="24"/>
          <w:szCs w:val="24"/>
        </w:rPr>
        <w:lastRenderedPageBreak/>
        <w:t>Bibliography:</w:t>
      </w:r>
    </w:p>
    <w:p w14:paraId="5E11BCE6" w14:textId="77777777" w:rsidR="00787AE8" w:rsidRPr="00787AE8" w:rsidRDefault="00787AE8" w:rsidP="00787AE8">
      <w:pPr>
        <w:pStyle w:val="Bibliography"/>
        <w:spacing w:line="480" w:lineRule="auto"/>
      </w:pPr>
      <w:r>
        <w:fldChar w:fldCharType="begin"/>
      </w:r>
      <w:r>
        <w:instrText xml:space="preserve"> ADDIN ZOTERO_BIBL {"uncited":[],"omitted":[],"custom":[]} CSL_BIBLIOGRAPHY </w:instrText>
      </w:r>
      <w:r>
        <w:fldChar w:fldCharType="separate"/>
      </w:r>
      <w:r w:rsidRPr="00787AE8">
        <w:t>“Civil.” Accessed December 21, 2019. https://www.judiciary.uk/about-the-judiciary/the-justice-system/jurisdictions/civil-jurisdiction/.</w:t>
      </w:r>
    </w:p>
    <w:p w14:paraId="6988A363" w14:textId="77777777" w:rsidR="00787AE8" w:rsidRPr="00787AE8" w:rsidRDefault="00787AE8" w:rsidP="00787AE8">
      <w:pPr>
        <w:pStyle w:val="Bibliography"/>
        <w:spacing w:line="480" w:lineRule="auto"/>
      </w:pPr>
      <w:r w:rsidRPr="00787AE8">
        <w:t>“Independence.” Accessed December 21, 2019. https://www.judiciary.uk/about-the-judiciary/the-judiciary-the-government-and-the-constitution/jud-acc-ind/independence/.</w:t>
      </w:r>
    </w:p>
    <w:p w14:paraId="39F0F305" w14:textId="77777777" w:rsidR="00787AE8" w:rsidRPr="00787AE8" w:rsidRDefault="00787AE8" w:rsidP="00787AE8">
      <w:pPr>
        <w:pStyle w:val="Bibliography"/>
        <w:spacing w:line="480" w:lineRule="auto"/>
      </w:pPr>
      <w:r w:rsidRPr="00787AE8">
        <w:t xml:space="preserve">Neyers, Jason W. “Donoghue v. Stevenson and the Rescue Doctrine: A Public Justification of Recovery in Situations Involving the Negligent Supply of Dangerous Structures.” </w:t>
      </w:r>
      <w:r w:rsidRPr="00787AE8">
        <w:rPr>
          <w:i/>
          <w:iCs/>
        </w:rPr>
        <w:t>U. Toronto LJ</w:t>
      </w:r>
      <w:r w:rsidRPr="00787AE8">
        <w:t xml:space="preserve"> 49 (1999): 475.</w:t>
      </w:r>
    </w:p>
    <w:p w14:paraId="6BA7C96D" w14:textId="77777777" w:rsidR="00787AE8" w:rsidRPr="00787AE8" w:rsidRDefault="00787AE8" w:rsidP="00787AE8">
      <w:pPr>
        <w:pStyle w:val="Bibliography"/>
        <w:spacing w:line="480" w:lineRule="auto"/>
      </w:pPr>
      <w:r w:rsidRPr="00787AE8">
        <w:t xml:space="preserve">Partington, Martin. </w:t>
      </w:r>
      <w:r w:rsidRPr="00787AE8">
        <w:rPr>
          <w:i/>
          <w:iCs/>
        </w:rPr>
        <w:t>An Introduction to the English Legal System</w:t>
      </w:r>
      <w:r w:rsidRPr="00787AE8">
        <w:t>. Oxford University Press, 2000.</w:t>
      </w:r>
    </w:p>
    <w:p w14:paraId="1EE746CC" w14:textId="77777777" w:rsidR="00787AE8" w:rsidRPr="00787AE8" w:rsidRDefault="00787AE8" w:rsidP="00787AE8">
      <w:pPr>
        <w:pStyle w:val="Bibliography"/>
        <w:spacing w:line="480" w:lineRule="auto"/>
      </w:pPr>
      <w:r w:rsidRPr="00787AE8">
        <w:t xml:space="preserve">Smit, Hans. “The Proposed United States-United Kingdom Convention on Recognition and Enforcement of Judgments: A Prototype for the Future.” </w:t>
      </w:r>
      <w:r w:rsidRPr="00787AE8">
        <w:rPr>
          <w:i/>
          <w:iCs/>
        </w:rPr>
        <w:t>Va. J. Int’l L.</w:t>
      </w:r>
      <w:r w:rsidRPr="00787AE8">
        <w:t xml:space="preserve"> 17 (1976): 443.</w:t>
      </w:r>
    </w:p>
    <w:p w14:paraId="2993BEAD" w14:textId="77777777" w:rsidR="00787AE8" w:rsidRPr="00787AE8" w:rsidRDefault="00787AE8" w:rsidP="00787AE8">
      <w:r>
        <w:fldChar w:fldCharType="end"/>
      </w:r>
    </w:p>
    <w:p w14:paraId="2406C007" w14:textId="77777777" w:rsidR="009876B9" w:rsidRPr="004D40AA" w:rsidRDefault="009876B9" w:rsidP="00B25E77">
      <w:pPr>
        <w:spacing w:line="480" w:lineRule="auto"/>
      </w:pPr>
    </w:p>
    <w:sectPr w:rsidR="009876B9" w:rsidRPr="004D40AA" w:rsidSect="000B782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226C" w14:textId="77777777" w:rsidR="00A16053" w:rsidRDefault="00A16053" w:rsidP="00017EF0">
      <w:r>
        <w:separator/>
      </w:r>
    </w:p>
  </w:endnote>
  <w:endnote w:type="continuationSeparator" w:id="0">
    <w:p w14:paraId="36CF88BF" w14:textId="77777777" w:rsidR="00A16053" w:rsidRDefault="00A16053" w:rsidP="0001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8383" w14:textId="77777777" w:rsidR="00A16053" w:rsidRDefault="00A16053" w:rsidP="00017EF0">
      <w:r>
        <w:separator/>
      </w:r>
    </w:p>
  </w:footnote>
  <w:footnote w:type="continuationSeparator" w:id="0">
    <w:p w14:paraId="02EDD9A6" w14:textId="77777777" w:rsidR="00A16053" w:rsidRDefault="00A16053" w:rsidP="00017EF0">
      <w:r>
        <w:continuationSeparator/>
      </w:r>
    </w:p>
  </w:footnote>
  <w:footnote w:id="1">
    <w:p w14:paraId="0BB6C92A"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{"citationID":"Q79wboFW","properties":{"formattedCitation":"\\uc0\\u8220{}Independence,\\uc0\\u8221{} accessed December 21, 2019, https://www.judiciary.uk/about-the-judiciary/the-judiciary-the-government-and-the-constitution/jud-acc-ind/independence/.","plainCitation":"“Independence,” accessed December 21, 2019, https://www.judiciary.uk/about-the-judiciary/the-judiciary-the-government-and-the-constitution/jud-acc-ind/independence/.","noteIndex":1},"citationItems":[{"id":134,"uris":["http://zotero.org/users/local/8reWiRZH/items/5C2IG3B2"],"uri":["http://zotero.org/users/local/8reWiRZH/items/5C2IG3B2"],"itemData":{"id":134,"type":"webpage","abstract":"Independence from whom and what? It is vitally important in a democracy that individual judges and the judiciary as a whole are impartial and independent of all external pressures and of each other so that those who appear before them and the wider public can have confidence that their cases will be decided fairly and […]","language":"en-GB","title":"Independence","URL":"https://www.judiciary.uk/about-the-judiciary/the-judiciary-the-government-and-the-constitution/jud-acc-ind/independence/","accessed":{"date-parts":[["2019",12,21]]}}}],"schema":"https://github.com/citation-style-language/schema/raw/master/csl-citation.json"} </w:instrText>
      </w:r>
      <w:r>
        <w:fldChar w:fldCharType="separate"/>
      </w:r>
      <w:r w:rsidRPr="00787AE8">
        <w:rPr>
          <w:szCs w:val="24"/>
        </w:rPr>
        <w:t>“Independence,” accessed December 21, 2019, https://www.judiciary.uk/about-the-judiciary/the-judiciary-the-government-and-the-constitution/jud-acc-ind/independence/.</w:t>
      </w:r>
      <w:r>
        <w:fldChar w:fldCharType="end"/>
      </w:r>
    </w:p>
  </w:footnote>
  <w:footnote w:id="2">
    <w:p w14:paraId="7E5018DC"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xexpiLRQ","properties":{"formattedCitation":"\\uc0\\u8220{}Independence.\\uc0\\u8221{}","plainCitation":"“Independence.”","noteIndex":2},"citationItems":[{"id":134,"uris":["http://zotero.org/users/local/8reWiRZH/items/5C2IG3B2"],"uri":["http://zotero.org/users/local/8reWiRZH/items/5C2IG3B2"],"itemData":{"id":134,"type":"webpage","abstract":"Independence from whom and what? It is vitally important in a democracy that individual judges and the judiciary as a whole are impartial and independent of all external pressures and of each other so that those who appear before them and the wider public can have confidence that their cases will be decided fairly and […]","language":"en-GB","title":"Independence","URL":"https://www.judiciary.uk/about-the-judiciary/the-judiciary-the-government-and-the-constitution/jud-acc-ind/independence/","accessed":{"date-parts":[["2019",12,21]]}}}],"schema":"https://github.com/citation-style-language/schema/raw/master/csl-citation.json"} </w:instrText>
      </w:r>
      <w:r>
        <w:fldChar w:fldCharType="separate"/>
      </w:r>
      <w:r w:rsidRPr="00787AE8">
        <w:rPr>
          <w:szCs w:val="24"/>
        </w:rPr>
        <w:t>“Independence.”</w:t>
      </w:r>
      <w:r>
        <w:fldChar w:fldCharType="end"/>
      </w:r>
    </w:p>
  </w:footnote>
  <w:footnote w:id="3">
    <w:p w14:paraId="61D6B07F"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{"citationID":"VtWx4Q5l","properties":{"formattedCitation":"Hans Smit, \\uc0\\u8220{}The Proposed United States-United Kingdom Convention on Recognition and Enforcement of Judgments: A Prototype for the Future,\\uc0\\u8221{} {\\i{}Va. J. Int\\uc0\\u8217{}l L.} 17 (1976): 443.","plainCitation":"Hans Smit, “The Proposed United States-United Kingdom Convention on Recognition and Enforcement of Judgments: A Prototype for the Future,” Va. J. Int’l L. 17 (1976): 443.","noteIndex":3},"citationItems":[{"id":136,"uris":["http://zotero.org/users/local/8reWiRZH/items/AHKUJITU"],"uri":["http://zotero.org/users/local/8reWiRZH/items/AHKUJITU"],"itemData":{"id":136,"type":"article-journal","container-title":"Va. J. Int'l L.","page":"443","source":"Google Scholar","title":"The Proposed United States-United Kingdom Convention on Recognition and Enforcement of Judgments: A Prototype for the Future","title-short":"The Proposed United States-United Kingdom Convention on Recognition and Enforcement of Judgments","volume":"17","author":[{"family":"Smit","given":"Hans"}],"issued":{"date-parts":[["1976"]]}}}],"schema":"https://github.com/citation-style-language/schema/raw/master/csl-citation.json"} </w:instrText>
      </w:r>
      <w:r>
        <w:fldChar w:fldCharType="separate"/>
      </w:r>
      <w:r w:rsidRPr="00787AE8">
        <w:rPr>
          <w:szCs w:val="24"/>
        </w:rPr>
        <w:t xml:space="preserve">Hans Smit, “The Proposed United States-United Kingdom Convention on Recognition and Enforcement of Judgments: A Prototype for the Future,” </w:t>
      </w:r>
      <w:r w:rsidRPr="00787AE8">
        <w:rPr>
          <w:i/>
          <w:iCs/>
          <w:szCs w:val="24"/>
        </w:rPr>
        <w:t>Va. J. Int’l L.</w:t>
      </w:r>
      <w:r w:rsidRPr="00787AE8">
        <w:rPr>
          <w:szCs w:val="24"/>
        </w:rPr>
        <w:t xml:space="preserve"> 17 (1976): 443.</w:t>
      </w:r>
      <w:r>
        <w:fldChar w:fldCharType="end"/>
      </w:r>
    </w:p>
  </w:footnote>
  <w:footnote w:id="4">
    <w:p w14:paraId="043DECA7"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IofaYrDM","properties":{"formattedCitation":"Smit.","plainCitation":"Smit.","noteIndex":4},"citationItems":[{"id":136,"uris":["http://zotero.org/users/local/8reWiRZH/items/AHKUJITU"],"uri":["http://zotero.org/users/local/8reWiRZH/items/AHKUJITU"],"itemData":{"id":136,"type":"article-journal","container-title":"Va. J. Int'l L.","page":"443","source":"Google Scholar","title":"The Proposed United States-United Kingdom Convention on Recognition and Enforcement of Judgments: A Prototype for the Future","title-short":"The Proposed United States-United Kingdom Convention on Recognition and Enforcement of Judgments","volume":"17","author":[{"family":"Smit","given":"Hans"}],"issued":{"date-parts":[["1976"]]}}}],"schema":"https://github.com/citation-style-language/schema/raw/master/csl-citation.json"} </w:instrText>
      </w:r>
      <w:r>
        <w:fldChar w:fldCharType="separate"/>
      </w:r>
      <w:r w:rsidRPr="00787AE8">
        <w:t>Smit.</w:t>
      </w:r>
      <w:r>
        <w:fldChar w:fldCharType="end"/>
      </w:r>
    </w:p>
  </w:footnote>
  <w:footnote w:id="5">
    <w:p w14:paraId="56AC8773"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{"citationID":"yiYCjXIO","properties":{"formattedCitation":"\\uc0\\u8220{}Civil,\\uc0\\u8221{} accessed December 21, 2019, https://www.judiciary.uk/about-the-judiciary/the-justice-system/jurisdictions/civil-jurisdiction/.","plainCitation":"“Civil,” accessed December 21, 2019, https://www.judiciary.uk/about-the-judiciary/the-justice-system/jurisdictions/civil-jurisdiction/.","noteIndex":5},"citationItems":[{"id":138,"uris":["http://zotero.org/users/local/8reWiRZH/items/NSHE247I"],"uri":["http://zotero.org/users/local/8reWiRZH/items/NSHE247I"],"itemData":{"id":138,"type":"webpage","abstract":"Civil justice in England and Wales Civil justice in England and Wales is mainly dealt with in the county courts and, in the case of more substantial or complex cases, the High Court. The jurisdiction covers a very wide range – from quite small or simple claims, for example damaged goods or recovery of debt, […]","language":"en-GB","title":"Civil","URL":"https://www.judiciary.uk/about-the-judiciary/the-justice-system/jurisdictions/civil-jurisdiction/","accessed":{"date-parts":[["2019",12,21]]}}}],"schema":"https://github.com/citation-style-language/schema/raw/master/csl-citation.json"} </w:instrText>
      </w:r>
      <w:r>
        <w:fldChar w:fldCharType="separate"/>
      </w:r>
      <w:r w:rsidRPr="00787AE8">
        <w:rPr>
          <w:szCs w:val="24"/>
        </w:rPr>
        <w:t>“Civil,” accessed December 21, 2019, https://www.judiciary.uk/about-the-judiciary/the-justice-system/jurisdictions/civil-jurisdiction/.</w:t>
      </w:r>
      <w:r>
        <w:fldChar w:fldCharType="end"/>
      </w:r>
    </w:p>
  </w:footnote>
  <w:footnote w:id="6">
    <w:p w14:paraId="33D53D3D"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{"citationID":"74PMFt39","properties":{"formattedCitation":"Martin Partington, {\\i{}An Introduction to the English Legal System} (Oxford University Press, 2000).","plainCitation":"Martin Partington, An Introduction to the English Legal System (Oxford University Press, 2000).","noteIndex":6},"citationItems":[{"id":140,"uris":["http://zotero.org/users/local/8reWiRZH/items/PDMTW75T"],"uri":["http://zotero.org/users/local/8reWiRZH/items/PDMTW75T"],"itemData":{"id":140,"type":"book","publisher":"Oxford University Press","source":"Google Scholar","title":"An introduction to the English legal system","author":[{"family":"Partington","given":"Martin"}],"issued":{"date-parts":[["2000"]]}}}],"schema":"https://github.com/citation-style-language/schema/raw/master/csl-citation.json"} </w:instrText>
      </w:r>
      <w:r>
        <w:fldChar w:fldCharType="separate"/>
      </w:r>
      <w:r w:rsidRPr="00787AE8">
        <w:rPr>
          <w:szCs w:val="24"/>
        </w:rPr>
        <w:t xml:space="preserve">Martin Partington, </w:t>
      </w:r>
      <w:r w:rsidRPr="00787AE8">
        <w:rPr>
          <w:i/>
          <w:iCs/>
          <w:szCs w:val="24"/>
        </w:rPr>
        <w:t>An Introduction to the English Legal System</w:t>
      </w:r>
      <w:r w:rsidRPr="00787AE8">
        <w:rPr>
          <w:szCs w:val="24"/>
        </w:rPr>
        <w:t xml:space="preserve"> (Oxford University Press, 2000).</w:t>
      </w:r>
      <w:r>
        <w:fldChar w:fldCharType="end"/>
      </w:r>
    </w:p>
  </w:footnote>
  <w:footnote w:id="7">
    <w:p w14:paraId="169B2DAC"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{"citationID":"Qhmt0sSc","properties":{"formattedCitation":"Smit, \\uc0\\u8220{}The Proposed United States-United Kingdom Convention on Recognition and Enforcement of Judgments.\\uc0\\u8221{}","plainCitation":"Smit, “The Proposed United States-United Kingdom Convention on Recognition and Enforcement of Judgments.”","noteIndex":7},"citationItems":[{"id":136,"uris":["http://zotero.org/users/local/8reWiRZH/items/AHKUJITU"],"uri":["http://zotero.org/users/local/8reWiRZH/items/AHKUJITU"],"itemData":{"id":136,"type":"article-journal","container-title":"Va. J. Int'l L.","page":"443","source":"Google Scholar","title":"The Proposed United States-United Kingdom Convention on Recognition and Enforcement of Judgments: A Prototype for the Future","title-short":"The Proposed United States-United Kingdom Convention on Recognition and Enforcement of Judgments","volume":"17","author":[{"family":"Smit","given":"Hans"}],"issued":{"date-parts":[["1976"]]}}}],"schema":"https://github.com/citation-style-language/schema/raw/master/csl-citation.json"} </w:instrText>
      </w:r>
      <w:r>
        <w:fldChar w:fldCharType="separate"/>
      </w:r>
      <w:r w:rsidRPr="00787AE8">
        <w:rPr>
          <w:szCs w:val="24"/>
        </w:rPr>
        <w:t>Smit, “The Proposed United States-United Kingdom Convention on Recognition and Enforcement of Judgments.”</w:t>
      </w:r>
      <w:r>
        <w:fldChar w:fldCharType="end"/>
      </w:r>
    </w:p>
  </w:footnote>
  <w:footnote w:id="8">
    <w:p w14:paraId="5A33D129"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{"citationID":"rkctF7rr","properties":{"formattedCitation":"Jason W. Neyers, \\uc0\\u8220{}Donoghue v. Stevenson and the Rescue Doctrine: A Public Justification of Recovery in Situations Involving the Negligent Supply of Dangerous Structures,\\uc0\\u8221{} {\\i{}U. Toronto LJ} 49 (1999): 475.","plainCitation":"Jason W. Neyers, “Donoghue v. Stevenson and the Rescue Doctrine: A Public Justification of Recovery in Situations Involving the Negligent Supply of Dangerous Structures,” U. Toronto LJ 49 (1999): 475.","noteIndex":8},"citationItems":[{"id":141,"uris":["http://zotero.org/users/local/8reWiRZH/items/PZ9WGTQJ"],"uri":["http://zotero.org/users/local/8reWiRZH/items/PZ9WGTQJ"],"itemData":{"id":141,"type":"article-journal","container-title":"U. Toronto LJ","page":"475","source":"Google Scholar","title":"Donoghue v. Stevenson and the Rescue Doctrine: A Public Justification of Recovery in Situations Involving the Negligent Supply of Dangerous Structures","title-short":"Donoghue v. Stevenson and the Rescue Doctrine","volume":"49","author":[{"family":"Neyers","given":"Jason W."}],"issued":{"date-parts":[["1999"]]}}}],"schema":"https://github.com/citation-style-language/schema/raw/master/csl-citation.json"} </w:instrText>
      </w:r>
      <w:r>
        <w:fldChar w:fldCharType="separate"/>
      </w:r>
      <w:r w:rsidRPr="00787AE8">
        <w:rPr>
          <w:szCs w:val="24"/>
        </w:rPr>
        <w:t xml:space="preserve">Jason W. Neyers, “Donoghue v. Stevenson and the Rescue Doctrine: A Public Justification of Recovery in Situations Involving the Negligent Supply of Dangerous Structures,” </w:t>
      </w:r>
      <w:r w:rsidRPr="00787AE8">
        <w:rPr>
          <w:i/>
          <w:iCs/>
          <w:szCs w:val="24"/>
        </w:rPr>
        <w:t>U. Toronto LJ</w:t>
      </w:r>
      <w:r w:rsidRPr="00787AE8">
        <w:rPr>
          <w:szCs w:val="24"/>
        </w:rPr>
        <w:t xml:space="preserve"> 49 (1999): 475.</w:t>
      </w:r>
      <w:r>
        <w:fldChar w:fldCharType="end"/>
      </w:r>
    </w:p>
  </w:footnote>
  <w:footnote w:id="9">
    <w:p w14:paraId="10EBFC25"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nz9WiNy8","properties":{"formattedCitation":"Neyers.","plainCitation":"Neyers.","noteIndex":9},"citationItems":[{"id":141,"uris":["http://zotero.org/users/local/8reWiRZH/items/PZ9WGTQJ"],"uri":["http://zotero.org/users/local/8reWiRZH/items/PZ9WGTQJ"],"itemData":{"id":141,"type":"article-journal","container-title":"U. Toronto LJ","page":"475","source":"Google Scholar","title":"Donoghue v. Stevenson and the Rescue Doctrine: A Public Justification of Recovery in Situations Involving the Negligent Supply of Dangerous Structures","title-short":"Donoghue v. Stevenson and the Rescue Doctrine","volume":"49","author":[{"family":"Neyers","given":"Jason W."}],"issued":{"date-parts":[["1999"]]}}}],"schema":"https://github.com/citation-style-language/schema/raw/master/csl-citation.json"} </w:instrText>
      </w:r>
      <w:r>
        <w:fldChar w:fldCharType="separate"/>
      </w:r>
      <w:r w:rsidRPr="00787AE8">
        <w:t>Neyers.</w:t>
      </w:r>
      <w:r>
        <w:fldChar w:fldCharType="end"/>
      </w:r>
    </w:p>
  </w:footnote>
  <w:footnote w:id="10">
    <w:p w14:paraId="4834E0A5" w14:textId="77777777" w:rsidR="00787AE8" w:rsidRDefault="00787AE8">
      <w:pPr>
        <w:pStyle w:val="FootnoteText"/>
      </w:pPr>
      <w:r>
        <w:rPr>
          <w:rStyle w:val="FootnoteReference"/>
        </w:rPr>
        <w:footnoteRef/>
      </w:r>
      <w:r>
        <w:t xml:space="preserve"> </w:t>
      </w:r>
      <w:r>
        <w:fldChar w:fldCharType="begin"/>
      </w:r>
      <w:r>
        <w:instrText xml:space="preserve"> ADDIN ZOTERO_ITEM CSL_CITATION {"citationID":"IPYV1Rjg","properties":{"formattedCitation":"Partington, {\\i{}An Introduction to the English Legal System}.","plainCitation":"Partington, An Introduction to the English Legal System.","noteIndex":10},"citationItems":[{"id":140,"uris":["http://zotero.org/users/local/8reWiRZH/items/PDMTW75T"],"uri":["http://zotero.org/users/local/8reWiRZH/items/PDMTW75T"],"itemData":{"id":140,"type":"book","publisher":"Oxford University Press","source":"Google Scholar","title":"An introduction to the English legal system","author":[{"family":"Partington","given":"Martin"}],"issued":{"date-parts":[["2000"]]}}}],"schema":"https://github.com/citation-style-language/schema/raw/master/csl-citation.json"} </w:instrText>
      </w:r>
      <w:r>
        <w:fldChar w:fldCharType="separate"/>
      </w:r>
      <w:r w:rsidRPr="00787AE8">
        <w:rPr>
          <w:szCs w:val="24"/>
        </w:rPr>
        <w:t xml:space="preserve">Partington, </w:t>
      </w:r>
      <w:r w:rsidRPr="00787AE8">
        <w:rPr>
          <w:i/>
          <w:iCs/>
          <w:szCs w:val="24"/>
        </w:rPr>
        <w:t>An Introduction to the English Legal System</w:t>
      </w:r>
      <w:r w:rsidRPr="00787AE8">
        <w:rPr>
          <w:szCs w:val="24"/>
        </w:rPr>
        <w:t>.</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0D2C" w14:textId="77777777" w:rsidR="000B7825" w:rsidRPr="00D262A6" w:rsidRDefault="002241D3" w:rsidP="002241D3">
    <w:pPr>
      <w:spacing w:line="480" w:lineRule="auto"/>
      <w:ind w:left="2880"/>
    </w:pPr>
    <w:r>
      <w:t xml:space="preserve">      Discussion and Evaluation of the role of Courts </w:t>
    </w:r>
    <w:r>
      <w:tab/>
    </w:r>
    <w:r w:rsidR="007C6196">
      <w:fldChar w:fldCharType="begin"/>
    </w:r>
    <w:r w:rsidR="007C6196">
      <w:instrText xml:space="preserve"> PAGE   \* MERGEFORMAT </w:instrText>
    </w:r>
    <w:r w:rsidR="007C6196">
      <w:fldChar w:fldCharType="separate"/>
    </w:r>
    <w:r w:rsidR="00754B7E">
      <w:rPr>
        <w:noProof/>
      </w:rPr>
      <w:t>5</w:t>
    </w:r>
    <w:r w:rsidR="007C6196">
      <w:rPr>
        <w:noProof/>
      </w:rPr>
      <w:fldChar w:fldCharType="end"/>
    </w:r>
  </w:p>
  <w:p w14:paraId="0A674D25" w14:textId="77777777" w:rsidR="000B7825" w:rsidRPr="00D262A6" w:rsidRDefault="000B7825" w:rsidP="00D262A6">
    <w:pPr>
      <w:pStyle w:val="Header"/>
      <w:jc w:val="right"/>
    </w:pPr>
  </w:p>
  <w:p w14:paraId="3807372B" w14:textId="77777777" w:rsidR="000B7825" w:rsidRPr="00D262A6" w:rsidRDefault="000B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7DA0"/>
    <w:multiLevelType w:val="hybridMultilevel"/>
    <w:tmpl w:val="4922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750C6"/>
    <w:multiLevelType w:val="hybridMultilevel"/>
    <w:tmpl w:val="EEC4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5506B"/>
    <w:multiLevelType w:val="multilevel"/>
    <w:tmpl w:val="D456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xtDA0NjMyNzIxNLZQ0lEKTi0uzszPAykwqgUA7EZHziwAAAA="/>
  </w:docVars>
  <w:rsids>
    <w:rsidRoot w:val="00017EF0"/>
    <w:rsid w:val="00017EF0"/>
    <w:rsid w:val="000429D6"/>
    <w:rsid w:val="00053E9A"/>
    <w:rsid w:val="000A547B"/>
    <w:rsid w:val="000B7825"/>
    <w:rsid w:val="000C6E11"/>
    <w:rsid w:val="000F5D2F"/>
    <w:rsid w:val="001479B2"/>
    <w:rsid w:val="00155AA4"/>
    <w:rsid w:val="0018020C"/>
    <w:rsid w:val="002241D3"/>
    <w:rsid w:val="00227D39"/>
    <w:rsid w:val="00231349"/>
    <w:rsid w:val="002331E0"/>
    <w:rsid w:val="002A26D4"/>
    <w:rsid w:val="003A193A"/>
    <w:rsid w:val="003B498F"/>
    <w:rsid w:val="003C398B"/>
    <w:rsid w:val="004379FF"/>
    <w:rsid w:val="004D40AA"/>
    <w:rsid w:val="00517E6B"/>
    <w:rsid w:val="0052406A"/>
    <w:rsid w:val="00531299"/>
    <w:rsid w:val="005B3C5E"/>
    <w:rsid w:val="006036C4"/>
    <w:rsid w:val="00677B2F"/>
    <w:rsid w:val="00754B7E"/>
    <w:rsid w:val="00787AE8"/>
    <w:rsid w:val="007904E9"/>
    <w:rsid w:val="007C6196"/>
    <w:rsid w:val="007D32A6"/>
    <w:rsid w:val="007D37B9"/>
    <w:rsid w:val="00807A6E"/>
    <w:rsid w:val="008A0361"/>
    <w:rsid w:val="008C2D22"/>
    <w:rsid w:val="008D2CBE"/>
    <w:rsid w:val="00927FB2"/>
    <w:rsid w:val="00943E9E"/>
    <w:rsid w:val="009532AD"/>
    <w:rsid w:val="009876B9"/>
    <w:rsid w:val="009E3AFA"/>
    <w:rsid w:val="00A16053"/>
    <w:rsid w:val="00A40BFF"/>
    <w:rsid w:val="00A67792"/>
    <w:rsid w:val="00AC027B"/>
    <w:rsid w:val="00AF3C3E"/>
    <w:rsid w:val="00B25E77"/>
    <w:rsid w:val="00B352D1"/>
    <w:rsid w:val="00B409B0"/>
    <w:rsid w:val="00B65E0B"/>
    <w:rsid w:val="00B917C3"/>
    <w:rsid w:val="00C7528C"/>
    <w:rsid w:val="00D11EE7"/>
    <w:rsid w:val="00D262A6"/>
    <w:rsid w:val="00D449E7"/>
    <w:rsid w:val="00E10ED7"/>
    <w:rsid w:val="00E6029A"/>
    <w:rsid w:val="00E71A31"/>
    <w:rsid w:val="00EA7126"/>
    <w:rsid w:val="00EB2A18"/>
    <w:rsid w:val="00F02A34"/>
    <w:rsid w:val="00F0449B"/>
    <w:rsid w:val="00F94064"/>
    <w:rsid w:val="00FF4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A4FD"/>
  <w15:docId w15:val="{FE25123B-0841-4801-A981-8ECDA1E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F0"/>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7A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7EF0"/>
    <w:pPr>
      <w:tabs>
        <w:tab w:val="center" w:pos="4320"/>
        <w:tab w:val="right" w:pos="8640"/>
      </w:tabs>
    </w:pPr>
  </w:style>
  <w:style w:type="character" w:customStyle="1" w:styleId="HeaderChar">
    <w:name w:val="Header Char"/>
    <w:basedOn w:val="DefaultParagraphFont"/>
    <w:link w:val="Header"/>
    <w:rsid w:val="00017EF0"/>
    <w:rPr>
      <w:rFonts w:ascii="Times New Roman" w:eastAsia="Times New Roman" w:hAnsi="Times New Roman" w:cs="Times New Roman"/>
      <w:sz w:val="24"/>
      <w:szCs w:val="24"/>
    </w:rPr>
  </w:style>
  <w:style w:type="paragraph" w:styleId="ListParagraph">
    <w:name w:val="List Paragraph"/>
    <w:basedOn w:val="Normal"/>
    <w:uiPriority w:val="34"/>
    <w:qFormat/>
    <w:rsid w:val="00017EF0"/>
    <w:pPr>
      <w:ind w:left="720"/>
      <w:contextualSpacing/>
    </w:pPr>
  </w:style>
  <w:style w:type="paragraph" w:styleId="FootnoteText">
    <w:name w:val="footnote text"/>
    <w:basedOn w:val="Normal"/>
    <w:link w:val="FootnoteTextChar"/>
    <w:uiPriority w:val="99"/>
    <w:semiHidden/>
    <w:unhideWhenUsed/>
    <w:rsid w:val="00017EF0"/>
    <w:rPr>
      <w:sz w:val="20"/>
      <w:szCs w:val="20"/>
    </w:rPr>
  </w:style>
  <w:style w:type="character" w:customStyle="1" w:styleId="FootnoteTextChar">
    <w:name w:val="Footnote Text Char"/>
    <w:basedOn w:val="DefaultParagraphFont"/>
    <w:link w:val="FootnoteText"/>
    <w:uiPriority w:val="99"/>
    <w:semiHidden/>
    <w:rsid w:val="00017E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7EF0"/>
    <w:rPr>
      <w:vertAlign w:val="superscript"/>
    </w:rPr>
  </w:style>
  <w:style w:type="paragraph" w:styleId="Footer">
    <w:name w:val="footer"/>
    <w:basedOn w:val="Normal"/>
    <w:link w:val="FooterChar"/>
    <w:uiPriority w:val="99"/>
    <w:unhideWhenUsed/>
    <w:rsid w:val="00D262A6"/>
    <w:pPr>
      <w:tabs>
        <w:tab w:val="center" w:pos="4680"/>
        <w:tab w:val="right" w:pos="9360"/>
      </w:tabs>
    </w:pPr>
  </w:style>
  <w:style w:type="character" w:customStyle="1" w:styleId="FooterChar">
    <w:name w:val="Footer Char"/>
    <w:basedOn w:val="DefaultParagraphFont"/>
    <w:link w:val="Footer"/>
    <w:uiPriority w:val="99"/>
    <w:rsid w:val="00D262A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409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9B0"/>
    <w:rPr>
      <w:rFonts w:asciiTheme="majorHAnsi" w:eastAsiaTheme="majorEastAsia" w:hAnsiTheme="majorHAnsi" w:cstheme="majorBidi"/>
      <w:spacing w:val="-10"/>
      <w:kern w:val="28"/>
      <w:sz w:val="56"/>
      <w:szCs w:val="56"/>
    </w:rPr>
  </w:style>
  <w:style w:type="character" w:customStyle="1" w:styleId="essayfootnotecitation">
    <w:name w:val="essay_footnotecitation"/>
    <w:basedOn w:val="DefaultParagraphFont"/>
    <w:rsid w:val="00EA7126"/>
  </w:style>
  <w:style w:type="character" w:styleId="Hyperlink">
    <w:name w:val="Hyperlink"/>
    <w:basedOn w:val="DefaultParagraphFont"/>
    <w:uiPriority w:val="99"/>
    <w:semiHidden/>
    <w:unhideWhenUsed/>
    <w:rsid w:val="00EA7126"/>
    <w:rPr>
      <w:color w:val="0000FF"/>
      <w:u w:val="single"/>
    </w:rPr>
  </w:style>
  <w:style w:type="paragraph" w:customStyle="1" w:styleId="uiqtextpara">
    <w:name w:val="ui_qtext_para"/>
    <w:basedOn w:val="Normal"/>
    <w:rsid w:val="004D40AA"/>
    <w:pPr>
      <w:spacing w:before="100" w:beforeAutospacing="1" w:after="100" w:afterAutospacing="1"/>
    </w:pPr>
  </w:style>
  <w:style w:type="character" w:customStyle="1" w:styleId="Heading1Char">
    <w:name w:val="Heading 1 Char"/>
    <w:basedOn w:val="DefaultParagraphFont"/>
    <w:link w:val="Heading1"/>
    <w:uiPriority w:val="9"/>
    <w:rsid w:val="00787AE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87AE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48730">
      <w:bodyDiv w:val="1"/>
      <w:marLeft w:val="0"/>
      <w:marRight w:val="0"/>
      <w:marTop w:val="0"/>
      <w:marBottom w:val="0"/>
      <w:divBdr>
        <w:top w:val="none" w:sz="0" w:space="0" w:color="auto"/>
        <w:left w:val="none" w:sz="0" w:space="0" w:color="auto"/>
        <w:bottom w:val="none" w:sz="0" w:space="0" w:color="auto"/>
        <w:right w:val="none" w:sz="0" w:space="0" w:color="auto"/>
      </w:divBdr>
    </w:div>
    <w:div w:id="12603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Morning</cp:lastModifiedBy>
  <cp:revision>2</cp:revision>
  <dcterms:created xsi:type="dcterms:W3CDTF">2019-12-21T17:57:00Z</dcterms:created>
  <dcterms:modified xsi:type="dcterms:W3CDTF">2019-12-21T17:57:00Z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id="FrI41vvw"/&gt;&lt;style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