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875" w:rsidRPr="00D6664A" w:rsidRDefault="00CF4875">
      <w:pPr>
        <w:rPr>
          <w:rFonts w:ascii="Times New Roman" w:hAnsi="Times New Roman"/>
          <w:sz w:val="24"/>
          <w:szCs w:val="24"/>
        </w:rPr>
      </w:pPr>
    </w:p>
    <w:p w:rsidR="003B380B" w:rsidRPr="00D6664A" w:rsidRDefault="003B380B">
      <w:pP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0D4A7F" w:rsidP="00CF4875">
      <w:pPr>
        <w:spacing w:after="0"/>
        <w:jc w:val="center"/>
        <w:rPr>
          <w:rFonts w:ascii="Times New Roman" w:hAnsi="Times New Roman"/>
          <w:sz w:val="24"/>
          <w:szCs w:val="24"/>
        </w:rPr>
      </w:pPr>
      <w:r>
        <w:rPr>
          <w:rFonts w:ascii="Times New Roman" w:hAnsi="Times New Roman"/>
          <w:sz w:val="24"/>
          <w:szCs w:val="24"/>
        </w:rPr>
        <w:t>Admin Law Merits Review</w:t>
      </w:r>
      <w:r w:rsidRPr="00D6664A">
        <w:rPr>
          <w:rFonts w:ascii="Times New Roman" w:hAnsi="Times New Roman"/>
          <w:sz w:val="24"/>
          <w:szCs w:val="24"/>
        </w:rPr>
        <w:t xml:space="preserve"> </w:t>
      </w:r>
    </w:p>
    <w:p w:rsidR="00CF4875" w:rsidRPr="00D6664A" w:rsidRDefault="00CF4875" w:rsidP="00CF4875">
      <w:pPr>
        <w:spacing w:after="0"/>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0D4A7F" w:rsidP="00CF4875">
      <w:pPr>
        <w:spacing w:after="0"/>
        <w:jc w:val="center"/>
        <w:rPr>
          <w:rFonts w:ascii="Times New Roman" w:hAnsi="Times New Roman"/>
          <w:sz w:val="24"/>
          <w:szCs w:val="24"/>
        </w:rPr>
      </w:pPr>
      <w:r>
        <w:rPr>
          <w:rFonts w:ascii="Times New Roman" w:hAnsi="Times New Roman"/>
          <w:sz w:val="24"/>
          <w:szCs w:val="24"/>
        </w:rPr>
        <w:t>Student’s Name</w:t>
      </w:r>
    </w:p>
    <w:p w:rsidR="00CF4875" w:rsidRPr="00D6664A" w:rsidRDefault="00CF4875" w:rsidP="00CF4875">
      <w:pPr>
        <w:spacing w:after="0"/>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0D4A7F" w:rsidP="00B81628">
      <w:pPr>
        <w:spacing w:after="0"/>
        <w:jc w:val="center"/>
        <w:rPr>
          <w:rFonts w:ascii="Times New Roman" w:hAnsi="Times New Roman"/>
          <w:sz w:val="24"/>
          <w:szCs w:val="24"/>
        </w:rPr>
      </w:pPr>
      <w:r>
        <w:rPr>
          <w:rFonts w:ascii="Times New Roman" w:hAnsi="Times New Roman"/>
          <w:sz w:val="24"/>
          <w:szCs w:val="24"/>
        </w:rPr>
        <w:t xml:space="preserve">Date </w:t>
      </w:r>
    </w:p>
    <w:p w:rsidR="00CF4875" w:rsidRPr="00D6664A" w:rsidRDefault="00CF4875" w:rsidP="00CF4875">
      <w:pPr>
        <w:spacing w:after="0"/>
        <w:jc w:val="center"/>
        <w:rPr>
          <w:rFonts w:ascii="Times New Roman" w:hAnsi="Times New Roman"/>
          <w:sz w:val="24"/>
          <w:szCs w:val="24"/>
        </w:rPr>
      </w:pPr>
    </w:p>
    <w:p w:rsidR="00962ABF" w:rsidRDefault="000D4A7F" w:rsidP="00A8560C">
      <w:pPr>
        <w:spacing w:after="0" w:line="480" w:lineRule="auto"/>
        <w:jc w:val="center"/>
        <w:rPr>
          <w:rFonts w:ascii="Times New Roman" w:hAnsi="Times New Roman"/>
          <w:sz w:val="24"/>
          <w:szCs w:val="24"/>
        </w:rPr>
      </w:pPr>
      <w:r w:rsidRPr="00D6664A">
        <w:rPr>
          <w:rFonts w:ascii="Times New Roman" w:hAnsi="Times New Roman"/>
          <w:sz w:val="24"/>
          <w:szCs w:val="24"/>
        </w:rPr>
        <w:br w:type="page"/>
      </w:r>
      <w:r w:rsidR="00A8560C">
        <w:rPr>
          <w:rFonts w:ascii="Times New Roman" w:hAnsi="Times New Roman"/>
          <w:sz w:val="24"/>
          <w:szCs w:val="24"/>
        </w:rPr>
        <w:lastRenderedPageBreak/>
        <w:t>Admin Law Merits Review</w:t>
      </w:r>
    </w:p>
    <w:p w:rsidR="006551FE" w:rsidRPr="00204A57" w:rsidRDefault="000D4A7F" w:rsidP="00A8560C">
      <w:pPr>
        <w:spacing w:after="0" w:line="480" w:lineRule="auto"/>
        <w:jc w:val="center"/>
        <w:rPr>
          <w:rFonts w:ascii="Times New Roman" w:hAnsi="Times New Roman"/>
          <w:b/>
          <w:bCs/>
          <w:sz w:val="24"/>
          <w:szCs w:val="24"/>
        </w:rPr>
      </w:pPr>
      <w:r w:rsidRPr="00204A57">
        <w:rPr>
          <w:rFonts w:ascii="Times New Roman" w:hAnsi="Times New Roman"/>
          <w:b/>
          <w:bCs/>
          <w:sz w:val="24"/>
          <w:szCs w:val="24"/>
        </w:rPr>
        <w:t>Introduction</w:t>
      </w:r>
    </w:p>
    <w:p w:rsidR="00CA07BD" w:rsidRDefault="000D4A7F" w:rsidP="00CA07BD">
      <w:pPr>
        <w:spacing w:after="0" w:line="480" w:lineRule="auto"/>
        <w:rPr>
          <w:rFonts w:ascii="Times New Roman" w:hAnsi="Times New Roman"/>
          <w:sz w:val="24"/>
          <w:szCs w:val="24"/>
        </w:rPr>
      </w:pPr>
      <w:r>
        <w:rPr>
          <w:rFonts w:ascii="Times New Roman" w:hAnsi="Times New Roman"/>
          <w:sz w:val="24"/>
          <w:szCs w:val="24"/>
        </w:rPr>
        <w:tab/>
      </w:r>
      <w:r w:rsidR="0010440A">
        <w:rPr>
          <w:rFonts w:ascii="Times New Roman" w:hAnsi="Times New Roman"/>
          <w:sz w:val="24"/>
          <w:szCs w:val="24"/>
        </w:rPr>
        <w:t xml:space="preserve">The organisation of Commonwealth Ombudsman recognised as an independent legislative entity established under the domain of Ombudsman Act 1976. </w:t>
      </w:r>
      <w:r w:rsidR="00BF1E79">
        <w:rPr>
          <w:rFonts w:ascii="Times New Roman" w:hAnsi="Times New Roman"/>
          <w:sz w:val="24"/>
          <w:szCs w:val="24"/>
        </w:rPr>
        <w:t xml:space="preserve">The main objective of this office is to resolve legal matters between </w:t>
      </w:r>
      <w:r w:rsidR="002D0E49">
        <w:rPr>
          <w:rFonts w:ascii="Times New Roman" w:hAnsi="Times New Roman"/>
          <w:sz w:val="24"/>
          <w:szCs w:val="24"/>
        </w:rPr>
        <w:t>people and government institutions.</w:t>
      </w:r>
      <w:r w:rsidR="00CC7922">
        <w:rPr>
          <w:rFonts w:ascii="Times New Roman" w:hAnsi="Times New Roman"/>
          <w:sz w:val="24"/>
          <w:szCs w:val="24"/>
        </w:rPr>
        <w:t xml:space="preserve"> </w:t>
      </w:r>
      <w:r w:rsidR="00041DF5">
        <w:rPr>
          <w:rFonts w:ascii="Times New Roman" w:hAnsi="Times New Roman"/>
          <w:sz w:val="24"/>
          <w:szCs w:val="24"/>
        </w:rPr>
        <w:t xml:space="preserve">Commonwealth Ombudsman is entitled to provide liberated and free services to individuals in order to resolve their complaints. </w:t>
      </w:r>
      <w:r w:rsidR="00150F2D">
        <w:rPr>
          <w:rFonts w:ascii="Times New Roman" w:hAnsi="Times New Roman"/>
          <w:sz w:val="24"/>
          <w:szCs w:val="24"/>
        </w:rPr>
        <w:t>Identification of significant roles and operations of this authority is essential to determine its actual statuary position</w:t>
      </w:r>
      <w:r w:rsidR="00D20476">
        <w:rPr>
          <w:rFonts w:ascii="Times New Roman" w:hAnsi="Times New Roman"/>
          <w:sz w:val="24"/>
          <w:szCs w:val="24"/>
        </w:rPr>
        <w:t xml:space="preserve"> </w:t>
      </w:r>
      <w:r>
        <w:rPr>
          <w:rStyle w:val="FootnoteReference"/>
          <w:rFonts w:ascii="Times New Roman" w:hAnsi="Times New Roman"/>
          <w:sz w:val="24"/>
          <w:szCs w:val="24"/>
        </w:rPr>
        <w:footnoteReference w:id="1"/>
      </w:r>
      <w:r w:rsidR="00150F2D">
        <w:rPr>
          <w:rFonts w:ascii="Times New Roman" w:hAnsi="Times New Roman"/>
          <w:sz w:val="24"/>
          <w:szCs w:val="24"/>
        </w:rPr>
        <w:t xml:space="preserve">. This form of consideration is important to evaluate the actual prospect of power for the authority of Commonwealth Ombudsman. The core objective of this institution is to </w:t>
      </w:r>
      <w:r w:rsidR="00D70195">
        <w:rPr>
          <w:rFonts w:ascii="Times New Roman" w:hAnsi="Times New Roman"/>
          <w:sz w:val="24"/>
          <w:szCs w:val="24"/>
        </w:rPr>
        <w:t xml:space="preserve">provide necessary protection to the community when it comes to their dealings with different Australian Government agencies and some specific private sector entities. </w:t>
      </w:r>
      <w:r w:rsidR="00C71181">
        <w:rPr>
          <w:rFonts w:ascii="Times New Roman" w:hAnsi="Times New Roman"/>
          <w:sz w:val="24"/>
          <w:szCs w:val="24"/>
        </w:rPr>
        <w:t>The management of Commonwealth Ombudsman is committed to ensuring fair actions of government institutions by ensuring proper handling of complaints, directing assessments, auditing and investigations</w:t>
      </w:r>
      <w:r w:rsidR="00E268F4">
        <w:rPr>
          <w:rFonts w:ascii="Times New Roman" w:hAnsi="Times New Roman"/>
          <w:sz w:val="24"/>
          <w:szCs w:val="24"/>
        </w:rPr>
        <w:t xml:space="preserve"> </w:t>
      </w:r>
      <w:r>
        <w:rPr>
          <w:rStyle w:val="FootnoteReference"/>
          <w:rFonts w:ascii="Times New Roman" w:hAnsi="Times New Roman"/>
          <w:sz w:val="24"/>
          <w:szCs w:val="24"/>
        </w:rPr>
        <w:footnoteReference w:id="2"/>
      </w:r>
      <w:r w:rsidR="00C71181">
        <w:rPr>
          <w:rFonts w:ascii="Times New Roman" w:hAnsi="Times New Roman"/>
          <w:sz w:val="24"/>
          <w:szCs w:val="24"/>
        </w:rPr>
        <w:t xml:space="preserve">. </w:t>
      </w:r>
      <w:r w:rsidR="00920C9A">
        <w:rPr>
          <w:rFonts w:ascii="Times New Roman" w:hAnsi="Times New Roman"/>
          <w:sz w:val="24"/>
          <w:szCs w:val="24"/>
        </w:rPr>
        <w:t>It is noteworthy</w:t>
      </w:r>
      <w:r w:rsidR="00734051">
        <w:rPr>
          <w:rFonts w:ascii="Times New Roman" w:hAnsi="Times New Roman"/>
          <w:sz w:val="24"/>
          <w:szCs w:val="24"/>
        </w:rPr>
        <w:t xml:space="preserve"> to indicate that the</w:t>
      </w:r>
      <w:r w:rsidR="00920C9A">
        <w:rPr>
          <w:rFonts w:ascii="Times New Roman" w:hAnsi="Times New Roman"/>
          <w:sz w:val="24"/>
          <w:szCs w:val="24"/>
        </w:rPr>
        <w:t xml:space="preserve"> powers or authorities of the Commonwealth Ombudsman are critically focused by critics in case of its approach to acting as an agent of legal reform. It is significant to examine the practical powers of the authority of Commonwealth Ombudsman by defining its role as a representative of any form of legal reform. This paper focuses to </w:t>
      </w:r>
      <w:r w:rsidR="00426128">
        <w:rPr>
          <w:rFonts w:ascii="Times New Roman" w:hAnsi="Times New Roman"/>
          <w:sz w:val="24"/>
          <w:szCs w:val="24"/>
        </w:rPr>
        <w:t>critically discuss the powers of the Commonweal</w:t>
      </w:r>
      <w:r w:rsidR="00F15FB4">
        <w:rPr>
          <w:rFonts w:ascii="Times New Roman" w:hAnsi="Times New Roman"/>
          <w:sz w:val="24"/>
          <w:szCs w:val="24"/>
        </w:rPr>
        <w:t>th Ombudsman to justify its appr</w:t>
      </w:r>
      <w:r w:rsidR="00426128">
        <w:rPr>
          <w:rFonts w:ascii="Times New Roman" w:hAnsi="Times New Roman"/>
          <w:sz w:val="24"/>
          <w:szCs w:val="24"/>
        </w:rPr>
        <w:t xml:space="preserve">oach of act as an agent of legal reform. </w:t>
      </w:r>
    </w:p>
    <w:p w:rsidR="0069524F" w:rsidRDefault="0069524F" w:rsidP="00A8560C">
      <w:pPr>
        <w:spacing w:after="0" w:line="480" w:lineRule="auto"/>
        <w:jc w:val="center"/>
        <w:rPr>
          <w:rFonts w:ascii="Times New Roman" w:hAnsi="Times New Roman"/>
          <w:sz w:val="24"/>
          <w:szCs w:val="24"/>
        </w:rPr>
      </w:pPr>
    </w:p>
    <w:p w:rsidR="0069524F" w:rsidRDefault="0069524F" w:rsidP="00A8560C">
      <w:pPr>
        <w:spacing w:after="0" w:line="480" w:lineRule="auto"/>
        <w:jc w:val="center"/>
        <w:rPr>
          <w:rFonts w:ascii="Times New Roman" w:hAnsi="Times New Roman"/>
          <w:sz w:val="24"/>
          <w:szCs w:val="24"/>
        </w:rPr>
      </w:pPr>
    </w:p>
    <w:p w:rsidR="006551FE" w:rsidRPr="00204A57" w:rsidRDefault="000D4A7F" w:rsidP="00A8560C">
      <w:pPr>
        <w:spacing w:after="0" w:line="480" w:lineRule="auto"/>
        <w:jc w:val="center"/>
        <w:rPr>
          <w:rFonts w:ascii="Times New Roman" w:hAnsi="Times New Roman"/>
          <w:b/>
          <w:bCs/>
          <w:sz w:val="24"/>
          <w:szCs w:val="24"/>
        </w:rPr>
      </w:pPr>
      <w:r w:rsidRPr="00204A57">
        <w:rPr>
          <w:rFonts w:ascii="Times New Roman" w:hAnsi="Times New Roman"/>
          <w:b/>
          <w:bCs/>
          <w:sz w:val="24"/>
          <w:szCs w:val="24"/>
        </w:rPr>
        <w:lastRenderedPageBreak/>
        <w:t>Discussion</w:t>
      </w:r>
    </w:p>
    <w:p w:rsidR="00817E2C" w:rsidRDefault="000D4A7F" w:rsidP="00817E2C">
      <w:pPr>
        <w:spacing w:after="0" w:line="480" w:lineRule="auto"/>
        <w:rPr>
          <w:rFonts w:ascii="Times New Roman" w:hAnsi="Times New Roman"/>
          <w:sz w:val="24"/>
          <w:szCs w:val="24"/>
        </w:rPr>
      </w:pPr>
      <w:r>
        <w:rPr>
          <w:rFonts w:ascii="Times New Roman" w:hAnsi="Times New Roman"/>
          <w:sz w:val="24"/>
          <w:szCs w:val="24"/>
        </w:rPr>
        <w:tab/>
        <w:t>The legitimate power of Commonwealth Ombudsman can be better identified by assessing particular fun</w:t>
      </w:r>
      <w:r w:rsidR="00F15FB4">
        <w:rPr>
          <w:rFonts w:ascii="Times New Roman" w:hAnsi="Times New Roman"/>
          <w:sz w:val="24"/>
          <w:szCs w:val="24"/>
        </w:rPr>
        <w:t>ctions and roles of this legislative body. This approach is helpful to determine the influence of this organisation when it comes to resolving different legal matters between community and government.</w:t>
      </w:r>
      <w:r w:rsidR="000B6F57">
        <w:rPr>
          <w:rFonts w:ascii="Times New Roman" w:hAnsi="Times New Roman"/>
          <w:sz w:val="24"/>
          <w:szCs w:val="24"/>
        </w:rPr>
        <w:t xml:space="preserve"> The standard of motion investigation is adopted by this organisation to resolve different disputes between related authorities. </w:t>
      </w:r>
      <w:r w:rsidR="00557945">
        <w:rPr>
          <w:rFonts w:ascii="Times New Roman" w:hAnsi="Times New Roman"/>
          <w:sz w:val="24"/>
          <w:szCs w:val="24"/>
        </w:rPr>
        <w:t xml:space="preserve">Identification of major functions of this organisation is essential to figure out its actual legal position. </w:t>
      </w:r>
      <w:r w:rsidR="007D6F34">
        <w:rPr>
          <w:rFonts w:ascii="Times New Roman" w:hAnsi="Times New Roman"/>
          <w:sz w:val="24"/>
          <w:szCs w:val="24"/>
        </w:rPr>
        <w:t xml:space="preserve">Various guiding principles are adopted by this authority to ensure suitable outcomes of resolution in the end. </w:t>
      </w:r>
    </w:p>
    <w:p w:rsidR="000458B3" w:rsidRDefault="000D4A7F" w:rsidP="00204A57">
      <w:pPr>
        <w:spacing w:after="0" w:line="480" w:lineRule="auto"/>
        <w:jc w:val="center"/>
        <w:rPr>
          <w:rFonts w:ascii="Times New Roman" w:hAnsi="Times New Roman"/>
          <w:sz w:val="24"/>
          <w:szCs w:val="24"/>
        </w:rPr>
      </w:pPr>
      <w:r>
        <w:rPr>
          <w:rFonts w:ascii="Times New Roman" w:hAnsi="Times New Roman"/>
          <w:sz w:val="24"/>
          <w:szCs w:val="24"/>
        </w:rPr>
        <w:t>Statutory Functions of Commonwealth Ombudsman</w:t>
      </w:r>
    </w:p>
    <w:p w:rsidR="002859AC" w:rsidRDefault="000D4A7F" w:rsidP="002859AC">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Assessment of Complaints:</w:t>
      </w:r>
      <w:r w:rsidR="00AC7249">
        <w:rPr>
          <w:rFonts w:ascii="Times New Roman" w:hAnsi="Times New Roman"/>
          <w:sz w:val="24"/>
          <w:szCs w:val="24"/>
        </w:rPr>
        <w:t xml:space="preserve"> </w:t>
      </w:r>
      <w:r w:rsidR="0086397C">
        <w:rPr>
          <w:rFonts w:ascii="Times New Roman" w:hAnsi="Times New Roman"/>
          <w:sz w:val="24"/>
          <w:szCs w:val="24"/>
        </w:rPr>
        <w:t xml:space="preserve">The focus is to conduct different reviews and investigations to evaluate the administrative approach of the country's officials, different agencies, and authorities. This specific function is further </w:t>
      </w:r>
      <w:r w:rsidR="00447A3F">
        <w:rPr>
          <w:rFonts w:ascii="Times New Roman" w:hAnsi="Times New Roman"/>
          <w:sz w:val="24"/>
          <w:szCs w:val="24"/>
        </w:rPr>
        <w:t>expanding</w:t>
      </w:r>
      <w:r w:rsidR="0086397C">
        <w:rPr>
          <w:rFonts w:ascii="Times New Roman" w:hAnsi="Times New Roman"/>
          <w:sz w:val="24"/>
          <w:szCs w:val="24"/>
        </w:rPr>
        <w:t xml:space="preserve"> in case of assessing the actions of registered private service providers. </w:t>
      </w:r>
    </w:p>
    <w:p w:rsidR="003601EE" w:rsidRDefault="000D4A7F" w:rsidP="002859AC">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Motion Investigations:</w:t>
      </w:r>
      <w:r w:rsidR="00447A3F">
        <w:rPr>
          <w:rFonts w:ascii="Times New Roman" w:hAnsi="Times New Roman"/>
          <w:sz w:val="24"/>
          <w:szCs w:val="24"/>
        </w:rPr>
        <w:t xml:space="preserve"> </w:t>
      </w:r>
      <w:r w:rsidR="00565CC6">
        <w:rPr>
          <w:rFonts w:ascii="Times New Roman" w:hAnsi="Times New Roman"/>
          <w:sz w:val="24"/>
          <w:szCs w:val="24"/>
        </w:rPr>
        <w:t xml:space="preserve">The specific and standardised form of investigation is adopted by this organisation to conduct investigations in case of administrative approaches of government authorities. </w:t>
      </w:r>
    </w:p>
    <w:p w:rsidR="003601EE" w:rsidRDefault="000D4A7F" w:rsidP="002859AC">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Compliance Audits:</w:t>
      </w:r>
      <w:r w:rsidR="00565CC6">
        <w:rPr>
          <w:rFonts w:ascii="Times New Roman" w:hAnsi="Times New Roman"/>
          <w:sz w:val="24"/>
          <w:szCs w:val="24"/>
        </w:rPr>
        <w:t xml:space="preserve"> Critically and comprehensively inspects the records of government agencies such as the prospects of the Australian Federal Police (AFP) and the Australian Crime Commission (ACC). The main aim of this approach is to guarantees a significant level of compliance with actual legal requirements.   </w:t>
      </w:r>
    </w:p>
    <w:p w:rsidR="003601EE" w:rsidRDefault="000D4A7F" w:rsidP="002859AC">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Immigration Detention Oversight:</w:t>
      </w:r>
      <w:r w:rsidR="00FD15AF">
        <w:rPr>
          <w:rFonts w:ascii="Times New Roman" w:hAnsi="Times New Roman"/>
          <w:sz w:val="24"/>
          <w:szCs w:val="24"/>
        </w:rPr>
        <w:t xml:space="preserve"> </w:t>
      </w:r>
      <w:r w:rsidR="009636CE">
        <w:rPr>
          <w:rFonts w:ascii="Times New Roman" w:hAnsi="Times New Roman"/>
          <w:sz w:val="24"/>
          <w:szCs w:val="24"/>
        </w:rPr>
        <w:t xml:space="preserve">The authority of Commonwealth Ombudsman is also responsible to provide targeted reports about the overall detention arrangements under the Migration Act 1958. </w:t>
      </w:r>
      <w:r w:rsidR="00652AFA">
        <w:rPr>
          <w:rFonts w:ascii="Times New Roman" w:hAnsi="Times New Roman"/>
          <w:sz w:val="24"/>
          <w:szCs w:val="24"/>
        </w:rPr>
        <w:t xml:space="preserve">The reports presented by this authority eventually delivered in the </w:t>
      </w:r>
      <w:r w:rsidR="00652AFA">
        <w:rPr>
          <w:rFonts w:ascii="Times New Roman" w:hAnsi="Times New Roman"/>
          <w:sz w:val="24"/>
          <w:szCs w:val="24"/>
        </w:rPr>
        <w:lastRenderedPageBreak/>
        <w:t>Parliament to make inferences about the detention facilities under the immigration program.</w:t>
      </w:r>
    </w:p>
    <w:p w:rsidR="00DF0E44" w:rsidRDefault="000D4A7F" w:rsidP="00817E2C">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 xml:space="preserve">The Commonwealth Public Interest Disclosure Scheme: </w:t>
      </w:r>
      <w:r w:rsidR="00652AFA">
        <w:rPr>
          <w:rFonts w:ascii="Times New Roman" w:hAnsi="Times New Roman"/>
          <w:sz w:val="24"/>
          <w:szCs w:val="24"/>
        </w:rPr>
        <w:t>The main agenda of this specific function is to provide the necessary encouragement to public officials in case of timely reporting of any form of suspected wrongdoing in the public sector of the country. It is one core responsibility of this authority to enhance awareness level about the Act and critically assess its relevant operations.</w:t>
      </w:r>
    </w:p>
    <w:p w:rsidR="008A05EE" w:rsidRDefault="000D4A7F" w:rsidP="00204A57">
      <w:pPr>
        <w:spacing w:after="0" w:line="480" w:lineRule="auto"/>
        <w:jc w:val="center"/>
        <w:rPr>
          <w:rFonts w:ascii="Times New Roman" w:hAnsi="Times New Roman"/>
          <w:sz w:val="24"/>
          <w:szCs w:val="24"/>
        </w:rPr>
      </w:pPr>
      <w:r>
        <w:rPr>
          <w:rFonts w:ascii="Times New Roman" w:hAnsi="Times New Roman"/>
          <w:sz w:val="24"/>
          <w:szCs w:val="24"/>
        </w:rPr>
        <w:t>Identification of Decision-Making Powers of Commonwealth Ombudsman</w:t>
      </w:r>
    </w:p>
    <w:p w:rsidR="00A9293F" w:rsidRDefault="000D4A7F" w:rsidP="008A05EE">
      <w:pPr>
        <w:spacing w:after="0" w:line="480" w:lineRule="auto"/>
        <w:rPr>
          <w:rFonts w:ascii="Times New Roman" w:hAnsi="Times New Roman"/>
          <w:sz w:val="24"/>
          <w:szCs w:val="24"/>
        </w:rPr>
      </w:pPr>
      <w:r>
        <w:rPr>
          <w:rFonts w:ascii="Times New Roman" w:hAnsi="Times New Roman"/>
          <w:sz w:val="24"/>
          <w:szCs w:val="24"/>
        </w:rPr>
        <w:tab/>
      </w:r>
      <w:r w:rsidR="006F7873">
        <w:rPr>
          <w:rFonts w:ascii="Times New Roman" w:hAnsi="Times New Roman"/>
          <w:sz w:val="24"/>
          <w:szCs w:val="24"/>
        </w:rPr>
        <w:t xml:space="preserve">Exploration of actual aspects of powers for the office of Commonwealth Ombudsman is essential to determine its influencing role as an agent of legal reforms. </w:t>
      </w:r>
      <w:r w:rsidR="00853AFF">
        <w:rPr>
          <w:rFonts w:ascii="Times New Roman" w:hAnsi="Times New Roman"/>
          <w:sz w:val="24"/>
          <w:szCs w:val="24"/>
        </w:rPr>
        <w:t xml:space="preserve">This form of examination is also viable to assess the actual effectiveness of the organisation’s role in case of different legal domains. </w:t>
      </w:r>
      <w:r w:rsidR="003F112C">
        <w:rPr>
          <w:rFonts w:ascii="Times New Roman" w:hAnsi="Times New Roman"/>
          <w:sz w:val="24"/>
          <w:szCs w:val="24"/>
        </w:rPr>
        <w:t>It is critical to indicate that the association of Commonwealth Ombudsman play its role as an independent and impartial authority that provide free services against the complaints that have not been resolved by concerned institutions</w:t>
      </w:r>
      <w:r w:rsidR="00F92E1B">
        <w:rPr>
          <w:rFonts w:ascii="Times New Roman" w:hAnsi="Times New Roman"/>
          <w:sz w:val="24"/>
          <w:szCs w:val="24"/>
        </w:rPr>
        <w:t xml:space="preserve"> </w:t>
      </w:r>
      <w:r>
        <w:rPr>
          <w:rStyle w:val="FootnoteReference"/>
          <w:rFonts w:ascii="Times New Roman" w:hAnsi="Times New Roman"/>
          <w:sz w:val="24"/>
          <w:szCs w:val="24"/>
        </w:rPr>
        <w:footnoteReference w:id="3"/>
      </w:r>
      <w:r w:rsidR="003F112C">
        <w:rPr>
          <w:rFonts w:ascii="Times New Roman" w:hAnsi="Times New Roman"/>
          <w:sz w:val="24"/>
          <w:szCs w:val="24"/>
        </w:rPr>
        <w:t xml:space="preserve">. </w:t>
      </w:r>
      <w:r w:rsidR="00F77C10">
        <w:rPr>
          <w:rFonts w:ascii="Times New Roman" w:hAnsi="Times New Roman"/>
          <w:sz w:val="24"/>
          <w:szCs w:val="24"/>
        </w:rPr>
        <w:t xml:space="preserve">In other words, the approach of maladministration is catered by the office of Commonwealth Ombudsman under the domain of legal foundations. </w:t>
      </w:r>
    </w:p>
    <w:p w:rsidR="004C76F4" w:rsidRDefault="000D4A7F" w:rsidP="008A05EE">
      <w:pPr>
        <w:spacing w:after="0" w:line="480" w:lineRule="auto"/>
        <w:rPr>
          <w:rFonts w:ascii="Times New Roman" w:hAnsi="Times New Roman"/>
          <w:sz w:val="24"/>
          <w:szCs w:val="24"/>
        </w:rPr>
      </w:pPr>
      <w:r>
        <w:rPr>
          <w:rFonts w:ascii="Times New Roman" w:hAnsi="Times New Roman"/>
          <w:sz w:val="24"/>
          <w:szCs w:val="24"/>
        </w:rPr>
        <w:tab/>
      </w:r>
      <w:r w:rsidR="00C54C98">
        <w:rPr>
          <w:rFonts w:ascii="Times New Roman" w:hAnsi="Times New Roman"/>
          <w:sz w:val="24"/>
          <w:szCs w:val="24"/>
        </w:rPr>
        <w:t xml:space="preserve">The parliament of the country gives power to the institution of Commonwealth Ombudsman to investigate all complaints that cause conflict between government organisations and the general public. </w:t>
      </w:r>
      <w:r w:rsidR="00F2411F">
        <w:rPr>
          <w:rFonts w:ascii="Times New Roman" w:hAnsi="Times New Roman"/>
          <w:sz w:val="24"/>
          <w:szCs w:val="24"/>
        </w:rPr>
        <w:t xml:space="preserve">It is critical to indicate that powers of assessment and legislative investigations of Commonwealth Ombudsman ultimately considered as the prominent </w:t>
      </w:r>
      <w:r w:rsidR="002B163A">
        <w:rPr>
          <w:rFonts w:ascii="Times New Roman" w:hAnsi="Times New Roman"/>
          <w:sz w:val="24"/>
          <w:szCs w:val="24"/>
        </w:rPr>
        <w:t>and independent authority.</w:t>
      </w:r>
      <w:r w:rsidR="00F2411F">
        <w:rPr>
          <w:rFonts w:ascii="Times New Roman" w:hAnsi="Times New Roman"/>
          <w:sz w:val="24"/>
          <w:szCs w:val="24"/>
        </w:rPr>
        <w:t xml:space="preserve"> </w:t>
      </w:r>
      <w:r w:rsidR="006C056D">
        <w:rPr>
          <w:rFonts w:ascii="Times New Roman" w:hAnsi="Times New Roman"/>
          <w:sz w:val="24"/>
          <w:szCs w:val="24"/>
        </w:rPr>
        <w:t xml:space="preserve">Legislative changes recommended </w:t>
      </w:r>
      <w:r w:rsidR="00637C36">
        <w:rPr>
          <w:rFonts w:ascii="Times New Roman" w:hAnsi="Times New Roman"/>
          <w:sz w:val="24"/>
          <w:szCs w:val="24"/>
        </w:rPr>
        <w:t xml:space="preserve">by this body in case of performance of different government offices to ensure better application of work. </w:t>
      </w:r>
      <w:r w:rsidR="006B333A">
        <w:rPr>
          <w:rFonts w:ascii="Times New Roman" w:hAnsi="Times New Roman"/>
          <w:sz w:val="24"/>
          <w:szCs w:val="24"/>
        </w:rPr>
        <w:t>“</w:t>
      </w:r>
      <w:r w:rsidR="002B163A">
        <w:rPr>
          <w:rFonts w:ascii="Times New Roman" w:hAnsi="Times New Roman"/>
          <w:sz w:val="24"/>
          <w:szCs w:val="24"/>
        </w:rPr>
        <w:t>O</w:t>
      </w:r>
      <w:r w:rsidR="006B333A">
        <w:rPr>
          <w:rFonts w:ascii="Times New Roman" w:hAnsi="Times New Roman"/>
          <w:sz w:val="24"/>
          <w:szCs w:val="24"/>
        </w:rPr>
        <w:t xml:space="preserve">wn motion” powers utilised </w:t>
      </w:r>
      <w:r w:rsidR="006B333A">
        <w:rPr>
          <w:rFonts w:ascii="Times New Roman" w:hAnsi="Times New Roman"/>
          <w:sz w:val="24"/>
          <w:szCs w:val="24"/>
        </w:rPr>
        <w:lastRenderedPageBreak/>
        <w:t xml:space="preserve">by Commonwealth Ombudsman </w:t>
      </w:r>
      <w:r w:rsidR="000701A4">
        <w:rPr>
          <w:rFonts w:ascii="Times New Roman" w:hAnsi="Times New Roman"/>
          <w:sz w:val="24"/>
          <w:szCs w:val="24"/>
        </w:rPr>
        <w:t>under the statutory domain of Ombudsman act</w:t>
      </w:r>
      <w:r w:rsidR="0084624E">
        <w:rPr>
          <w:rFonts w:ascii="Times New Roman" w:hAnsi="Times New Roman"/>
          <w:sz w:val="24"/>
          <w:szCs w:val="24"/>
        </w:rPr>
        <w:t xml:space="preserve"> </w:t>
      </w:r>
      <w:r>
        <w:rPr>
          <w:rStyle w:val="FootnoteReference"/>
          <w:rFonts w:ascii="Times New Roman" w:hAnsi="Times New Roman"/>
          <w:sz w:val="24"/>
          <w:szCs w:val="24"/>
        </w:rPr>
        <w:footnoteReference w:id="4"/>
      </w:r>
      <w:r w:rsidR="000701A4">
        <w:rPr>
          <w:rFonts w:ascii="Times New Roman" w:hAnsi="Times New Roman"/>
          <w:sz w:val="24"/>
          <w:szCs w:val="24"/>
        </w:rPr>
        <w:t xml:space="preserve">. </w:t>
      </w:r>
      <w:r w:rsidR="002B163A">
        <w:rPr>
          <w:rFonts w:ascii="Times New Roman" w:hAnsi="Times New Roman"/>
          <w:sz w:val="24"/>
          <w:szCs w:val="24"/>
        </w:rPr>
        <w:t>Furthermore</w:t>
      </w:r>
      <w:r w:rsidR="008E168D">
        <w:rPr>
          <w:rFonts w:ascii="Times New Roman" w:hAnsi="Times New Roman"/>
          <w:sz w:val="24"/>
          <w:szCs w:val="24"/>
        </w:rPr>
        <w:t>, it is also vital to mention that the authority of investigation is restricted for this office concerning to perspective of some specific legislative departments. It is established that the authority of Commonwealth Ombudsman is never allowed to evaluate the decisions of different ministries or judicial decisions</w:t>
      </w:r>
      <w:r w:rsidR="00827921">
        <w:rPr>
          <w:rFonts w:ascii="Times New Roman" w:hAnsi="Times New Roman"/>
          <w:sz w:val="24"/>
          <w:szCs w:val="24"/>
        </w:rPr>
        <w:t xml:space="preserve"> </w:t>
      </w:r>
      <w:r>
        <w:rPr>
          <w:rStyle w:val="FootnoteReference"/>
          <w:rFonts w:ascii="Times New Roman" w:hAnsi="Times New Roman"/>
          <w:sz w:val="24"/>
          <w:szCs w:val="24"/>
        </w:rPr>
        <w:footnoteReference w:id="5"/>
      </w:r>
      <w:r w:rsidR="008E168D">
        <w:rPr>
          <w:rFonts w:ascii="Times New Roman" w:hAnsi="Times New Roman"/>
          <w:sz w:val="24"/>
          <w:szCs w:val="24"/>
        </w:rPr>
        <w:t>. This specific phenomenon eventually limited the powers of the institution of Commonwealth Ombudsman</w:t>
      </w:r>
      <w:r w:rsidR="00724DDE">
        <w:rPr>
          <w:rFonts w:ascii="Times New Roman" w:hAnsi="Times New Roman"/>
          <w:sz w:val="24"/>
          <w:szCs w:val="24"/>
        </w:rPr>
        <w:t>. However,</w:t>
      </w:r>
      <w:r w:rsidR="008E168D">
        <w:rPr>
          <w:rFonts w:ascii="Times New Roman" w:hAnsi="Times New Roman"/>
          <w:sz w:val="24"/>
          <w:szCs w:val="24"/>
        </w:rPr>
        <w:t xml:space="preserve"> this office </w:t>
      </w:r>
      <w:r w:rsidR="00724DDE">
        <w:rPr>
          <w:rFonts w:ascii="Times New Roman" w:hAnsi="Times New Roman"/>
          <w:sz w:val="24"/>
          <w:szCs w:val="24"/>
        </w:rPr>
        <w:t>has</w:t>
      </w:r>
      <w:r w:rsidR="008E168D">
        <w:rPr>
          <w:rFonts w:ascii="Times New Roman" w:hAnsi="Times New Roman"/>
          <w:sz w:val="24"/>
          <w:szCs w:val="24"/>
        </w:rPr>
        <w:t xml:space="preserve"> an option to send legal recommendations to parliament to obtain the better legal prospect of government agencies.  </w:t>
      </w:r>
    </w:p>
    <w:p w:rsidR="002B163A" w:rsidRDefault="000D4A7F" w:rsidP="00204A57">
      <w:pPr>
        <w:spacing w:after="0" w:line="480" w:lineRule="auto"/>
        <w:jc w:val="center"/>
        <w:rPr>
          <w:rFonts w:ascii="Times New Roman" w:hAnsi="Times New Roman"/>
          <w:sz w:val="24"/>
          <w:szCs w:val="24"/>
        </w:rPr>
      </w:pPr>
      <w:r>
        <w:rPr>
          <w:rFonts w:ascii="Times New Roman" w:hAnsi="Times New Roman"/>
          <w:sz w:val="24"/>
          <w:szCs w:val="24"/>
        </w:rPr>
        <w:t>Consideration of Powers of Commonwealth Ombudsman to Act as Agent of Legal Reform</w:t>
      </w:r>
    </w:p>
    <w:p w:rsidR="0030419C" w:rsidRDefault="000D4A7F" w:rsidP="008A05EE">
      <w:pPr>
        <w:spacing w:after="0" w:line="480" w:lineRule="auto"/>
        <w:rPr>
          <w:rFonts w:ascii="Times New Roman" w:hAnsi="Times New Roman"/>
          <w:sz w:val="24"/>
          <w:szCs w:val="24"/>
        </w:rPr>
      </w:pPr>
      <w:r>
        <w:rPr>
          <w:rFonts w:ascii="Times New Roman" w:hAnsi="Times New Roman"/>
          <w:sz w:val="24"/>
          <w:szCs w:val="24"/>
        </w:rPr>
        <w:tab/>
        <w:t>It is vi</w:t>
      </w:r>
      <w:r>
        <w:rPr>
          <w:rFonts w:ascii="Times New Roman" w:hAnsi="Times New Roman"/>
          <w:sz w:val="24"/>
          <w:szCs w:val="24"/>
        </w:rPr>
        <w:t xml:space="preserve">tal to examine whether the ‘own motion’ powers of commonwealth Ombudsman are enough to play its role as an agent to offer different legal reform in the country. </w:t>
      </w:r>
      <w:r w:rsidR="001E1FDC">
        <w:rPr>
          <w:rFonts w:ascii="Times New Roman" w:hAnsi="Times New Roman"/>
          <w:sz w:val="24"/>
          <w:szCs w:val="24"/>
        </w:rPr>
        <w:t xml:space="preserve">Exploration of the evolving approach of this authority is mandatory to make better inferences about this particular argument. </w:t>
      </w:r>
      <w:r w:rsidR="00453FC7">
        <w:rPr>
          <w:rFonts w:ascii="Times New Roman" w:hAnsi="Times New Roman"/>
          <w:sz w:val="24"/>
          <w:szCs w:val="24"/>
        </w:rPr>
        <w:t>In recent years, the role of Commonwealth Ombudsman is expanding with the enhancement of different and crucial functions</w:t>
      </w:r>
      <w:r w:rsidR="00195BD5">
        <w:rPr>
          <w:rFonts w:ascii="Times New Roman" w:hAnsi="Times New Roman"/>
          <w:sz w:val="24"/>
          <w:szCs w:val="24"/>
        </w:rPr>
        <w:t xml:space="preserve"> </w:t>
      </w:r>
      <w:r>
        <w:rPr>
          <w:rStyle w:val="FootnoteReference"/>
          <w:rFonts w:ascii="Times New Roman" w:hAnsi="Times New Roman"/>
          <w:sz w:val="24"/>
          <w:szCs w:val="24"/>
        </w:rPr>
        <w:footnoteReference w:id="6"/>
      </w:r>
      <w:r w:rsidR="00453FC7">
        <w:rPr>
          <w:rFonts w:ascii="Times New Roman" w:hAnsi="Times New Roman"/>
          <w:sz w:val="24"/>
          <w:szCs w:val="24"/>
        </w:rPr>
        <w:t xml:space="preserve">. </w:t>
      </w:r>
      <w:r w:rsidR="00D94FDD">
        <w:rPr>
          <w:rFonts w:ascii="Times New Roman" w:hAnsi="Times New Roman"/>
          <w:sz w:val="24"/>
          <w:szCs w:val="24"/>
        </w:rPr>
        <w:t xml:space="preserve">Active consideration of auditing agency records complain handling, and publishing guidelines to effective decision making are some of significant aspects or functions performed by the legislative body of Commonwealth Ombudsman. </w:t>
      </w:r>
      <w:r w:rsidR="0097666E">
        <w:rPr>
          <w:rFonts w:ascii="Times New Roman" w:hAnsi="Times New Roman"/>
          <w:sz w:val="24"/>
          <w:szCs w:val="24"/>
        </w:rPr>
        <w:t>The powers of this authority are enhanced by offering different legal recommendations to the legislative body of parliament of the country. This specific legal indemnity allows this authority to play its role as an agent of legal reform in the country. It is critical to explore proper distinction in case of authority of decision-making and the approach to acting as an agent of legal reform</w:t>
      </w:r>
      <w:r w:rsidR="00862F8D">
        <w:rPr>
          <w:rFonts w:ascii="Times New Roman" w:hAnsi="Times New Roman"/>
          <w:sz w:val="24"/>
          <w:szCs w:val="24"/>
        </w:rPr>
        <w:t xml:space="preserve"> </w:t>
      </w:r>
      <w:r>
        <w:rPr>
          <w:rStyle w:val="FootnoteReference"/>
          <w:rFonts w:ascii="Times New Roman" w:hAnsi="Times New Roman"/>
          <w:sz w:val="24"/>
          <w:szCs w:val="24"/>
        </w:rPr>
        <w:footnoteReference w:id="7"/>
      </w:r>
      <w:r w:rsidR="0097666E">
        <w:rPr>
          <w:rFonts w:ascii="Times New Roman" w:hAnsi="Times New Roman"/>
          <w:sz w:val="24"/>
          <w:szCs w:val="24"/>
        </w:rPr>
        <w:t xml:space="preserve">. </w:t>
      </w:r>
      <w:r w:rsidR="00E02F7A">
        <w:rPr>
          <w:rFonts w:ascii="Times New Roman" w:hAnsi="Times New Roman"/>
          <w:sz w:val="24"/>
          <w:szCs w:val="24"/>
        </w:rPr>
        <w:t xml:space="preserve">The influential role of this authority can never be ignored as </w:t>
      </w:r>
      <w:r w:rsidR="00E02F7A">
        <w:rPr>
          <w:rFonts w:ascii="Times New Roman" w:hAnsi="Times New Roman"/>
          <w:sz w:val="24"/>
          <w:szCs w:val="24"/>
        </w:rPr>
        <w:lastRenderedPageBreak/>
        <w:t>it is the responsible institute of critically examine oversight actions of law enforcement agencies. Independent investigation eventually ensures to propose better legal reforms in the future to regulate the role of different legislative authorities.</w:t>
      </w:r>
    </w:p>
    <w:p w:rsidR="00550C63" w:rsidRDefault="000D4A7F" w:rsidP="008A05EE">
      <w:pPr>
        <w:spacing w:after="0" w:line="480" w:lineRule="auto"/>
        <w:rPr>
          <w:rFonts w:ascii="Times New Roman" w:hAnsi="Times New Roman"/>
          <w:sz w:val="24"/>
          <w:szCs w:val="24"/>
        </w:rPr>
      </w:pPr>
      <w:r>
        <w:rPr>
          <w:rFonts w:ascii="Times New Roman" w:hAnsi="Times New Roman"/>
          <w:sz w:val="24"/>
          <w:szCs w:val="24"/>
        </w:rPr>
        <w:tab/>
      </w:r>
      <w:r w:rsidR="002A18F2">
        <w:rPr>
          <w:rFonts w:ascii="Times New Roman" w:hAnsi="Times New Roman"/>
          <w:sz w:val="24"/>
          <w:szCs w:val="24"/>
        </w:rPr>
        <w:t xml:space="preserve">Different schemes developed and implemented by Commonwealth Ombudsman play their role as the necessary part of the overall legal framework to ensure proper access to justice. </w:t>
      </w:r>
      <w:r w:rsidR="00ED28A0">
        <w:rPr>
          <w:rFonts w:ascii="Times New Roman" w:hAnsi="Times New Roman"/>
          <w:sz w:val="24"/>
          <w:szCs w:val="24"/>
        </w:rPr>
        <w:t xml:space="preserve">Standards of public administration can never be formulated without the guidance of authority of Commonwealth Ombudsman. </w:t>
      </w:r>
      <w:r w:rsidR="00D65CA1">
        <w:rPr>
          <w:rFonts w:ascii="Times New Roman" w:hAnsi="Times New Roman"/>
          <w:sz w:val="24"/>
          <w:szCs w:val="24"/>
        </w:rPr>
        <w:t xml:space="preserve">The actions and decisions of public institutions are greatly influenced by the reports and advise presented by the office of Commonwealth Ombudsman. </w:t>
      </w:r>
      <w:r w:rsidR="00E839A3">
        <w:rPr>
          <w:rFonts w:ascii="Times New Roman" w:hAnsi="Times New Roman"/>
          <w:sz w:val="24"/>
          <w:szCs w:val="24"/>
        </w:rPr>
        <w:t>On the other hand, it is also critical to indicate that the role of this authority is limited when it comes to the approach of judicial decision making. The powers of this institute are limited in case of offering a new policy or legal reforms. This particular restriction appeared in case of the role of different government ministries and overall judicial paradigm</w:t>
      </w:r>
      <w:r w:rsidR="00253BC4">
        <w:rPr>
          <w:rFonts w:ascii="Times New Roman" w:hAnsi="Times New Roman"/>
          <w:sz w:val="24"/>
          <w:szCs w:val="24"/>
        </w:rPr>
        <w:t xml:space="preserve"> </w:t>
      </w:r>
      <w:r>
        <w:rPr>
          <w:rStyle w:val="FootnoteReference"/>
          <w:rFonts w:ascii="Times New Roman" w:hAnsi="Times New Roman"/>
          <w:sz w:val="24"/>
          <w:szCs w:val="24"/>
        </w:rPr>
        <w:footnoteReference w:id="8"/>
      </w:r>
      <w:r w:rsidR="00E839A3">
        <w:rPr>
          <w:rFonts w:ascii="Times New Roman" w:hAnsi="Times New Roman"/>
          <w:sz w:val="24"/>
          <w:szCs w:val="24"/>
        </w:rPr>
        <w:t>. The indirect role of Commonwealth Ombudsman as an agent of legal reform can never be overlooked by identifying its approach of sending advisory report</w:t>
      </w:r>
      <w:r w:rsidR="0065565E">
        <w:rPr>
          <w:rFonts w:ascii="Times New Roman" w:hAnsi="Times New Roman"/>
          <w:sz w:val="24"/>
          <w:szCs w:val="24"/>
        </w:rPr>
        <w:t xml:space="preserve">s to the parliament of the country. </w:t>
      </w:r>
      <w:r w:rsidR="00857D18">
        <w:rPr>
          <w:rFonts w:ascii="Times New Roman" w:hAnsi="Times New Roman"/>
          <w:sz w:val="24"/>
          <w:szCs w:val="24"/>
        </w:rPr>
        <w:t xml:space="preserve">The modern evolving office of Commonwealth Ombudsman is different as compared to its traditional role that only related to the limited domain of functions. With the passage of time, the powers and contributions of this institution are evolving with the compliance of different legal domains. The simple meaning of Ombudsman is to </w:t>
      </w:r>
      <w:r w:rsidR="003513D2">
        <w:rPr>
          <w:rFonts w:ascii="Times New Roman" w:hAnsi="Times New Roman"/>
          <w:sz w:val="24"/>
          <w:szCs w:val="24"/>
        </w:rPr>
        <w:t xml:space="preserve">play their role as an agent in case of identification of any mis-administration by government entities. </w:t>
      </w:r>
      <w:r w:rsidR="006B2697">
        <w:rPr>
          <w:rFonts w:ascii="Times New Roman" w:hAnsi="Times New Roman"/>
          <w:sz w:val="24"/>
          <w:szCs w:val="24"/>
        </w:rPr>
        <w:t xml:space="preserve">The independent entity of Commonwealth Ombudsman makes it easy for the decision-makers to develop necessary reforms concerning the performance approach of legal representatives in case of different government offices. </w:t>
      </w:r>
      <w:r w:rsidR="00D12089">
        <w:rPr>
          <w:rFonts w:ascii="Times New Roman" w:hAnsi="Times New Roman"/>
          <w:sz w:val="24"/>
          <w:szCs w:val="24"/>
        </w:rPr>
        <w:t xml:space="preserve">The </w:t>
      </w:r>
      <w:r w:rsidR="00D12089">
        <w:rPr>
          <w:rFonts w:ascii="Times New Roman" w:hAnsi="Times New Roman"/>
          <w:sz w:val="24"/>
          <w:szCs w:val="24"/>
        </w:rPr>
        <w:lastRenderedPageBreak/>
        <w:t xml:space="preserve">authority of Commonwealth Ombudsman as an agent of legal reform is responsible to </w:t>
      </w:r>
      <w:r w:rsidR="009835BF">
        <w:rPr>
          <w:rFonts w:ascii="Times New Roman" w:hAnsi="Times New Roman"/>
          <w:sz w:val="24"/>
          <w:szCs w:val="24"/>
        </w:rPr>
        <w:t xml:space="preserve">ensure legal fulfilment and consideration by government authorities. </w:t>
      </w:r>
    </w:p>
    <w:p w:rsidR="00973CB9" w:rsidRDefault="000D4A7F" w:rsidP="00204A57">
      <w:pPr>
        <w:spacing w:after="0" w:line="480" w:lineRule="auto"/>
        <w:jc w:val="center"/>
        <w:rPr>
          <w:rFonts w:ascii="Times New Roman" w:hAnsi="Times New Roman"/>
          <w:sz w:val="24"/>
          <w:szCs w:val="24"/>
        </w:rPr>
      </w:pPr>
      <w:r>
        <w:rPr>
          <w:rFonts w:ascii="Times New Roman" w:hAnsi="Times New Roman"/>
          <w:sz w:val="24"/>
          <w:szCs w:val="24"/>
        </w:rPr>
        <w:t>Consideration of Determ</w:t>
      </w:r>
      <w:r>
        <w:rPr>
          <w:rFonts w:ascii="Times New Roman" w:hAnsi="Times New Roman"/>
          <w:sz w:val="24"/>
          <w:szCs w:val="24"/>
        </w:rPr>
        <w:t>inative Powers</w:t>
      </w:r>
    </w:p>
    <w:p w:rsidR="00A84906" w:rsidRPr="00A84906" w:rsidRDefault="000D4A7F" w:rsidP="00204A57">
      <w:pPr>
        <w:spacing w:after="0" w:line="480" w:lineRule="auto"/>
        <w:ind w:firstLine="720"/>
        <w:rPr>
          <w:rFonts w:ascii="Times New Roman" w:hAnsi="Times New Roman"/>
          <w:sz w:val="24"/>
          <w:szCs w:val="24"/>
        </w:rPr>
      </w:pPr>
      <w:r>
        <w:rPr>
          <w:rFonts w:ascii="Times New Roman" w:hAnsi="Times New Roman"/>
          <w:sz w:val="24"/>
          <w:szCs w:val="24"/>
        </w:rPr>
        <w:t>A critical examination of different determinative powers in the context of authority of Commonwealth Ombudsman is also essential to identify as the legal position of this authority as an agent.</w:t>
      </w:r>
      <w:r w:rsidR="00AE02F1">
        <w:rPr>
          <w:rFonts w:ascii="Times New Roman" w:hAnsi="Times New Roman"/>
          <w:sz w:val="24"/>
          <w:szCs w:val="24"/>
        </w:rPr>
        <w:t xml:space="preserve"> </w:t>
      </w:r>
      <w:r w:rsidRPr="00A84906">
        <w:rPr>
          <w:rFonts w:ascii="Times New Roman" w:hAnsi="Times New Roman"/>
          <w:sz w:val="24"/>
          <w:szCs w:val="24"/>
        </w:rPr>
        <w:t>Lack of determinative powers in the context of</w:t>
      </w:r>
      <w:r w:rsidRPr="00A84906">
        <w:rPr>
          <w:rFonts w:ascii="Times New Roman" w:hAnsi="Times New Roman"/>
          <w:sz w:val="24"/>
          <w:szCs w:val="24"/>
        </w:rPr>
        <w:t xml:space="preserve"> commonwealth ombudsman</w:t>
      </w:r>
    </w:p>
    <w:p w:rsidR="00ED26A0" w:rsidRDefault="000D4A7F" w:rsidP="00A84906">
      <w:pPr>
        <w:spacing w:after="0" w:line="480" w:lineRule="auto"/>
        <w:rPr>
          <w:rFonts w:ascii="Times New Roman" w:hAnsi="Times New Roman"/>
          <w:sz w:val="24"/>
          <w:szCs w:val="24"/>
        </w:rPr>
      </w:pPr>
      <w:r w:rsidRPr="00A84906">
        <w:rPr>
          <w:rFonts w:ascii="Times New Roman" w:hAnsi="Times New Roman"/>
          <w:sz w:val="24"/>
          <w:szCs w:val="24"/>
        </w:rPr>
        <w:tab/>
        <w:t xml:space="preserve">It is important to consider the fact that the ombudsman is not a ‘toothless tiger’. A critical examination of the commonwealth ombudsman indicates that its actual influence is neither measurable nor enforceable. </w:t>
      </w:r>
      <w:r w:rsidRPr="00A84906">
        <w:rPr>
          <w:rFonts w:ascii="Times New Roman" w:hAnsi="Times New Roman"/>
          <w:sz w:val="24"/>
          <w:szCs w:val="24"/>
        </w:rPr>
        <w:t>Effectiveness of commonwealth ombudsman is undermined by the lack of determinative powers. The lack of determinative powers in commonwealth ombudsman did not impact its recommendation as agencies accepted the majority of the commonwealth ombudsman’s recomm</w:t>
      </w:r>
      <w:r w:rsidRPr="00A84906">
        <w:rPr>
          <w:rFonts w:ascii="Times New Roman" w:hAnsi="Times New Roman"/>
          <w:sz w:val="24"/>
          <w:szCs w:val="24"/>
        </w:rPr>
        <w:t>endations</w:t>
      </w:r>
      <w:r w:rsidR="001B4E5F">
        <w:rPr>
          <w:rFonts w:ascii="Times New Roman" w:hAnsi="Times New Roman"/>
          <w:sz w:val="24"/>
          <w:szCs w:val="24"/>
        </w:rPr>
        <w:t xml:space="preserve"> </w:t>
      </w:r>
      <w:r>
        <w:rPr>
          <w:rStyle w:val="FootnoteReference"/>
          <w:rFonts w:ascii="Times New Roman" w:hAnsi="Times New Roman"/>
          <w:sz w:val="24"/>
          <w:szCs w:val="24"/>
        </w:rPr>
        <w:footnoteReference w:id="9"/>
      </w:r>
      <w:r w:rsidRPr="00A84906">
        <w:rPr>
          <w:rFonts w:ascii="Times New Roman" w:hAnsi="Times New Roman"/>
          <w:sz w:val="24"/>
          <w:szCs w:val="24"/>
        </w:rPr>
        <w:t>. One must need to understand the fact that cooperative relationship between the commonwealth ombudsman and government agencies could in fact diminished as opposed to recommendatory powers. Due to the lack of determinative powers in commonwealth</w:t>
      </w:r>
      <w:r w:rsidRPr="00A84906">
        <w:rPr>
          <w:rFonts w:ascii="Times New Roman" w:hAnsi="Times New Roman"/>
          <w:sz w:val="24"/>
          <w:szCs w:val="24"/>
        </w:rPr>
        <w:t xml:space="preserve"> ombudsman’ recommendations, it had a limited power to provide relief as a tribunal or court could. A critical evaluation of the entire scenario determines that government works in accordance with procedural justice. </w:t>
      </w:r>
    </w:p>
    <w:p w:rsidR="004911A2" w:rsidRPr="00A84906" w:rsidRDefault="000D4A7F" w:rsidP="00ED26A0">
      <w:pPr>
        <w:spacing w:after="0" w:line="480" w:lineRule="auto"/>
        <w:ind w:firstLine="720"/>
        <w:rPr>
          <w:rFonts w:ascii="Times New Roman" w:hAnsi="Times New Roman"/>
          <w:sz w:val="24"/>
          <w:szCs w:val="24"/>
        </w:rPr>
      </w:pPr>
      <w:bookmarkStart w:id="0" w:name="_GoBack"/>
      <w:bookmarkEnd w:id="0"/>
      <w:r w:rsidRPr="00A84906">
        <w:rPr>
          <w:rFonts w:ascii="Times New Roman" w:hAnsi="Times New Roman"/>
          <w:sz w:val="24"/>
          <w:szCs w:val="24"/>
        </w:rPr>
        <w:t>Commonwealth ombudsman’s recommendation</w:t>
      </w:r>
      <w:r w:rsidRPr="00A84906">
        <w:rPr>
          <w:rFonts w:ascii="Times New Roman" w:hAnsi="Times New Roman"/>
          <w:sz w:val="24"/>
          <w:szCs w:val="24"/>
        </w:rPr>
        <w:t>s are more like substantive correctness of decisions, which significantly lack determinative decree. Matters such as delay lost paperwork, discourtesy, inexplicable reasons, and misleading advice are prevalent issues that ultimately generated various compl</w:t>
      </w:r>
      <w:r w:rsidRPr="00A84906">
        <w:rPr>
          <w:rFonts w:ascii="Times New Roman" w:hAnsi="Times New Roman"/>
          <w:sz w:val="24"/>
          <w:szCs w:val="24"/>
        </w:rPr>
        <w:t xml:space="preserve">aints regarding the recommendations of commonwealth ombudsman. If a recommendation has influential power, then it is more likely to make a significant difference </w:t>
      </w:r>
      <w:r w:rsidRPr="00A84906">
        <w:rPr>
          <w:rFonts w:ascii="Times New Roman" w:hAnsi="Times New Roman"/>
          <w:sz w:val="24"/>
          <w:szCs w:val="24"/>
        </w:rPr>
        <w:lastRenderedPageBreak/>
        <w:t>regarding a specific scenario</w:t>
      </w:r>
      <w:r w:rsidR="00B103A2">
        <w:rPr>
          <w:rFonts w:ascii="Times New Roman" w:hAnsi="Times New Roman"/>
          <w:sz w:val="24"/>
          <w:szCs w:val="24"/>
        </w:rPr>
        <w:t xml:space="preserve"> </w:t>
      </w:r>
      <w:r>
        <w:rPr>
          <w:rStyle w:val="FootnoteReference"/>
          <w:rFonts w:ascii="Times New Roman" w:hAnsi="Times New Roman"/>
          <w:sz w:val="24"/>
          <w:szCs w:val="24"/>
        </w:rPr>
        <w:footnoteReference w:id="10"/>
      </w:r>
      <w:r w:rsidRPr="00A84906">
        <w:rPr>
          <w:rFonts w:ascii="Times New Roman" w:hAnsi="Times New Roman"/>
          <w:sz w:val="24"/>
          <w:szCs w:val="24"/>
        </w:rPr>
        <w:t>. However, the commonwealth ombudsman's recommendations lack in</w:t>
      </w:r>
      <w:r w:rsidRPr="00A84906">
        <w:rPr>
          <w:rFonts w:ascii="Times New Roman" w:hAnsi="Times New Roman"/>
          <w:sz w:val="24"/>
          <w:szCs w:val="24"/>
        </w:rPr>
        <w:t xml:space="preserve">fluential powers, so it did not force any agency to do anything as per provided recommendations. It is important to consider the fact that without having any determinative power, the commonwealth ombudsman's recommendations compel agencies to make changes </w:t>
      </w:r>
      <w:r w:rsidRPr="00A84906">
        <w:rPr>
          <w:rFonts w:ascii="Times New Roman" w:hAnsi="Times New Roman"/>
          <w:sz w:val="24"/>
          <w:szCs w:val="24"/>
        </w:rPr>
        <w:t>accordingly. A critical evaluation of the entire scenario indicates that the commonwealth ombudsman's recommendations forced government decision-makers to act with integrity</w:t>
      </w:r>
      <w:r w:rsidR="00474495">
        <w:rPr>
          <w:rFonts w:ascii="Times New Roman" w:hAnsi="Times New Roman"/>
          <w:sz w:val="24"/>
          <w:szCs w:val="24"/>
        </w:rPr>
        <w:t xml:space="preserve"> </w:t>
      </w:r>
      <w:r>
        <w:rPr>
          <w:rStyle w:val="FootnoteReference"/>
          <w:rFonts w:ascii="Times New Roman" w:hAnsi="Times New Roman"/>
          <w:sz w:val="24"/>
          <w:szCs w:val="24"/>
        </w:rPr>
        <w:footnoteReference w:id="11"/>
      </w:r>
      <w:r w:rsidRPr="00A84906">
        <w:rPr>
          <w:rFonts w:ascii="Times New Roman" w:hAnsi="Times New Roman"/>
          <w:sz w:val="24"/>
          <w:szCs w:val="24"/>
        </w:rPr>
        <w:t>. However, if the commonwealth ombudsman’s recommendations had the jurisdiction o</w:t>
      </w:r>
      <w:r w:rsidRPr="00A84906">
        <w:rPr>
          <w:rFonts w:ascii="Times New Roman" w:hAnsi="Times New Roman"/>
          <w:sz w:val="24"/>
          <w:szCs w:val="24"/>
        </w:rPr>
        <w:t>r determinative power, then it would be more likely to influence government agencies in an effective manner.</w:t>
      </w:r>
    </w:p>
    <w:p w:rsidR="006551FE" w:rsidRPr="00204A57" w:rsidRDefault="000D4A7F" w:rsidP="00A8560C">
      <w:pPr>
        <w:spacing w:after="0" w:line="480" w:lineRule="auto"/>
        <w:jc w:val="center"/>
        <w:rPr>
          <w:rFonts w:ascii="Times New Roman" w:hAnsi="Times New Roman"/>
          <w:b/>
          <w:bCs/>
          <w:sz w:val="24"/>
          <w:szCs w:val="24"/>
        </w:rPr>
      </w:pPr>
      <w:r w:rsidRPr="00204A57">
        <w:rPr>
          <w:rFonts w:ascii="Times New Roman" w:hAnsi="Times New Roman"/>
          <w:b/>
          <w:bCs/>
          <w:sz w:val="24"/>
          <w:szCs w:val="24"/>
        </w:rPr>
        <w:t>Conclusion</w:t>
      </w:r>
    </w:p>
    <w:p w:rsidR="00756410" w:rsidRDefault="000D4A7F" w:rsidP="00204A57">
      <w:pPr>
        <w:spacing w:after="0" w:line="480" w:lineRule="auto"/>
        <w:ind w:firstLine="720"/>
        <w:rPr>
          <w:rFonts w:ascii="Times New Roman" w:hAnsi="Times New Roman"/>
          <w:sz w:val="24"/>
          <w:szCs w:val="24"/>
        </w:rPr>
      </w:pPr>
      <w:r>
        <w:rPr>
          <w:rFonts w:ascii="Times New Roman" w:hAnsi="Times New Roman"/>
          <w:sz w:val="24"/>
          <w:szCs w:val="24"/>
        </w:rPr>
        <w:t>To conclude the critical discussion about the role of Commonwealth Ombudsman as an agent of legal reform, it is necessary to mention that this argument is to connect with many different aspects of consideration. The powers of this independent authority ar</w:t>
      </w:r>
      <w:r>
        <w:rPr>
          <w:rFonts w:ascii="Times New Roman" w:hAnsi="Times New Roman"/>
          <w:sz w:val="24"/>
          <w:szCs w:val="24"/>
        </w:rPr>
        <w:t>e evolving with the expansion of different legal functions. The entity of Commonwealth Ombudsman never has any direct role as the active part in the procedure of legal reforms. There is consideration of indirect involvement of this authority as an agent to</w:t>
      </w:r>
      <w:r>
        <w:rPr>
          <w:rFonts w:ascii="Times New Roman" w:hAnsi="Times New Roman"/>
          <w:sz w:val="24"/>
          <w:szCs w:val="24"/>
        </w:rPr>
        <w:t xml:space="preserve"> critically examine the approach of existing laws by evaluating the performance of different administrative authorities. In this particular prospect, the role of Commonwealth Ombudsman is critically effective as an effective agent to influence the overall </w:t>
      </w:r>
      <w:r>
        <w:rPr>
          <w:rFonts w:ascii="Times New Roman" w:hAnsi="Times New Roman"/>
          <w:sz w:val="24"/>
          <w:szCs w:val="24"/>
        </w:rPr>
        <w:t xml:space="preserve">process of legal reforms in the country. </w:t>
      </w:r>
      <w:r w:rsidR="005E0FB0">
        <w:rPr>
          <w:rFonts w:ascii="Times New Roman" w:hAnsi="Times New Roman"/>
          <w:sz w:val="24"/>
          <w:szCs w:val="24"/>
        </w:rPr>
        <w:t xml:space="preserve">Furthermore, the authority of this institution is </w:t>
      </w:r>
      <w:r w:rsidR="005E0FB0">
        <w:rPr>
          <w:rFonts w:ascii="Times New Roman" w:hAnsi="Times New Roman"/>
          <w:sz w:val="24"/>
          <w:szCs w:val="24"/>
        </w:rPr>
        <w:lastRenderedPageBreak/>
        <w:t>limited as it has no participation in legal decision making or legal amendments but it acts as an agent to advocate and assess different legislative changes.</w:t>
      </w:r>
    </w:p>
    <w:p w:rsidR="00756410" w:rsidRDefault="000D4A7F">
      <w:pPr>
        <w:spacing w:after="0" w:line="240" w:lineRule="auto"/>
        <w:rPr>
          <w:rFonts w:ascii="Times New Roman" w:hAnsi="Times New Roman"/>
          <w:sz w:val="24"/>
          <w:szCs w:val="24"/>
        </w:rPr>
      </w:pPr>
      <w:r>
        <w:rPr>
          <w:rFonts w:ascii="Times New Roman" w:hAnsi="Times New Roman"/>
          <w:sz w:val="24"/>
          <w:szCs w:val="24"/>
        </w:rPr>
        <w:br w:type="page"/>
      </w:r>
    </w:p>
    <w:p w:rsidR="00AE02F1" w:rsidRDefault="000D4A7F" w:rsidP="00756410">
      <w:pPr>
        <w:spacing w:after="0" w:line="480" w:lineRule="auto"/>
        <w:jc w:val="center"/>
        <w:rPr>
          <w:rFonts w:ascii="Times New Roman" w:hAnsi="Times New Roman"/>
          <w:sz w:val="24"/>
          <w:szCs w:val="24"/>
        </w:rPr>
      </w:pPr>
      <w:r w:rsidRPr="00756410">
        <w:rPr>
          <w:rFonts w:ascii="Times New Roman" w:hAnsi="Times New Roman"/>
          <w:sz w:val="24"/>
          <w:szCs w:val="24"/>
        </w:rPr>
        <w:lastRenderedPageBreak/>
        <w:t>Bibli</w:t>
      </w:r>
      <w:r w:rsidRPr="00756410">
        <w:rPr>
          <w:rFonts w:ascii="Times New Roman" w:hAnsi="Times New Roman"/>
          <w:sz w:val="24"/>
          <w:szCs w:val="24"/>
        </w:rPr>
        <w:t>ography</w:t>
      </w:r>
    </w:p>
    <w:p w:rsidR="00474495" w:rsidRPr="00474495" w:rsidRDefault="000D4A7F" w:rsidP="004666A5">
      <w:pPr>
        <w:pStyle w:val="Bibliography"/>
        <w:ind w:left="720" w:hanging="720"/>
        <w:rPr>
          <w:rFonts w:ascii="Times New Roman" w:hAnsi="Times New Roman"/>
          <w:sz w:val="24"/>
        </w:rPr>
      </w:pPr>
      <w:r>
        <w:fldChar w:fldCharType="begin"/>
      </w:r>
      <w:r>
        <w:instrText xml:space="preserve"> ADDIN ZOTERO_BIBL {"uncited":[],"omitted":[],"custom":[]} CSL_BIBLIOGRAPHY </w:instrText>
      </w:r>
      <w:r>
        <w:fldChar w:fldCharType="separate"/>
      </w:r>
      <w:r w:rsidRPr="00474495">
        <w:rPr>
          <w:rFonts w:ascii="Times New Roman" w:hAnsi="Times New Roman"/>
          <w:sz w:val="24"/>
        </w:rPr>
        <w:t xml:space="preserve">Ayeni, Victor, Hayden Thomas and Linda C Reif, </w:t>
      </w:r>
      <w:r w:rsidRPr="00474495">
        <w:rPr>
          <w:rFonts w:ascii="Times New Roman" w:hAnsi="Times New Roman"/>
          <w:i/>
          <w:iCs/>
          <w:sz w:val="24"/>
        </w:rPr>
        <w:t>Strengthening Ombudsman and Human Rights Institutions in Commonwealth Small and Island States: The Caribbean Experience</w:t>
      </w:r>
      <w:r w:rsidRPr="00474495">
        <w:rPr>
          <w:rFonts w:ascii="Times New Roman" w:hAnsi="Times New Roman"/>
          <w:sz w:val="24"/>
        </w:rPr>
        <w:t xml:space="preserve"> (Comm</w:t>
      </w:r>
      <w:r w:rsidRPr="00474495">
        <w:rPr>
          <w:rFonts w:ascii="Times New Roman" w:hAnsi="Times New Roman"/>
          <w:sz w:val="24"/>
        </w:rPr>
        <w:t>onwealth Secretariat, 2000)</w:t>
      </w:r>
    </w:p>
    <w:p w:rsidR="00474495" w:rsidRPr="00474495" w:rsidRDefault="000D4A7F" w:rsidP="004666A5">
      <w:pPr>
        <w:pStyle w:val="Bibliography"/>
        <w:ind w:left="720" w:hanging="720"/>
        <w:rPr>
          <w:rFonts w:ascii="Times New Roman" w:hAnsi="Times New Roman"/>
          <w:sz w:val="24"/>
        </w:rPr>
      </w:pPr>
      <w:r w:rsidRPr="00474495">
        <w:rPr>
          <w:rFonts w:ascii="Times New Roman" w:hAnsi="Times New Roman"/>
          <w:sz w:val="24"/>
        </w:rPr>
        <w:t xml:space="preserve">Brown, AJ and Brian Head, ‘Ombudsman, Corruption Commission or Police Integrity Authority? Choices for Institutional Capacity in Australia’s Integrity Systems’ in </w:t>
      </w:r>
      <w:r w:rsidRPr="00474495">
        <w:rPr>
          <w:rFonts w:ascii="Times New Roman" w:hAnsi="Times New Roman"/>
          <w:i/>
          <w:iCs/>
          <w:sz w:val="24"/>
        </w:rPr>
        <w:t>Australasian Political Studies Association Conference, Adelaide (</w:t>
      </w:r>
      <w:r w:rsidRPr="00474495">
        <w:rPr>
          <w:rFonts w:ascii="Times New Roman" w:hAnsi="Times New Roman"/>
          <w:i/>
          <w:iCs/>
          <w:sz w:val="24"/>
        </w:rPr>
        <w:t>29 Sept-1 Oct 2004)</w:t>
      </w:r>
      <w:r w:rsidRPr="00474495">
        <w:rPr>
          <w:rFonts w:ascii="Times New Roman" w:hAnsi="Times New Roman"/>
          <w:sz w:val="24"/>
        </w:rPr>
        <w:t xml:space="preserve"> (2004)</w:t>
      </w:r>
    </w:p>
    <w:p w:rsidR="00474495" w:rsidRPr="00474495" w:rsidRDefault="000D4A7F" w:rsidP="004666A5">
      <w:pPr>
        <w:pStyle w:val="Bibliography"/>
        <w:ind w:left="720" w:hanging="720"/>
        <w:rPr>
          <w:rFonts w:ascii="Times New Roman" w:hAnsi="Times New Roman"/>
          <w:sz w:val="24"/>
        </w:rPr>
      </w:pPr>
      <w:r w:rsidRPr="00474495">
        <w:rPr>
          <w:rFonts w:ascii="Times New Roman" w:hAnsi="Times New Roman"/>
          <w:sz w:val="24"/>
        </w:rPr>
        <w:t xml:space="preserve">Byrnes, Andrew, Hilary Charlesworth and Gabrielle McKinnon, </w:t>
      </w:r>
      <w:r w:rsidRPr="00474495">
        <w:rPr>
          <w:rFonts w:ascii="Times New Roman" w:hAnsi="Times New Roman"/>
          <w:i/>
          <w:iCs/>
          <w:sz w:val="24"/>
        </w:rPr>
        <w:t>Bills of Rights in Australia: History, Politics and Law</w:t>
      </w:r>
      <w:r w:rsidRPr="00474495">
        <w:rPr>
          <w:rFonts w:ascii="Times New Roman" w:hAnsi="Times New Roman"/>
          <w:sz w:val="24"/>
        </w:rPr>
        <w:t xml:space="preserve"> (UNSW Press, 2009)</w:t>
      </w:r>
    </w:p>
    <w:p w:rsidR="00474495" w:rsidRPr="00474495" w:rsidRDefault="000D4A7F" w:rsidP="004666A5">
      <w:pPr>
        <w:pStyle w:val="Bibliography"/>
        <w:ind w:left="720" w:hanging="720"/>
        <w:rPr>
          <w:rFonts w:ascii="Times New Roman" w:hAnsi="Times New Roman"/>
          <w:sz w:val="24"/>
        </w:rPr>
      </w:pPr>
      <w:r w:rsidRPr="00474495">
        <w:rPr>
          <w:rFonts w:ascii="Times New Roman" w:hAnsi="Times New Roman"/>
          <w:sz w:val="24"/>
        </w:rPr>
        <w:t xml:space="preserve">Pearce, Dennis, ‘Ombudsman in Australia’ [2000] </w:t>
      </w:r>
      <w:r w:rsidRPr="00474495">
        <w:rPr>
          <w:rFonts w:ascii="Times New Roman" w:hAnsi="Times New Roman"/>
          <w:i/>
          <w:iCs/>
          <w:sz w:val="24"/>
        </w:rPr>
        <w:t>Righting wrongs</w:t>
      </w:r>
      <w:r w:rsidRPr="00474495">
        <w:rPr>
          <w:rFonts w:ascii="Times New Roman" w:hAnsi="Times New Roman"/>
          <w:sz w:val="24"/>
        </w:rPr>
        <w:t xml:space="preserve"> 93</w:t>
      </w:r>
    </w:p>
    <w:p w:rsidR="00474495" w:rsidRPr="00474495" w:rsidRDefault="000D4A7F" w:rsidP="004666A5">
      <w:pPr>
        <w:pStyle w:val="Bibliography"/>
        <w:ind w:left="720" w:hanging="720"/>
        <w:rPr>
          <w:rFonts w:ascii="Times New Roman" w:hAnsi="Times New Roman"/>
          <w:sz w:val="24"/>
        </w:rPr>
      </w:pPr>
      <w:r w:rsidRPr="00474495">
        <w:rPr>
          <w:rFonts w:ascii="Times New Roman" w:hAnsi="Times New Roman"/>
          <w:sz w:val="24"/>
        </w:rPr>
        <w:t>Snell, RD, ‘Australian Ombudsman: A Continual Work in Progress’</w:t>
      </w:r>
    </w:p>
    <w:p w:rsidR="00474495" w:rsidRPr="00474495" w:rsidRDefault="000D4A7F" w:rsidP="004666A5">
      <w:pPr>
        <w:pStyle w:val="Bibliography"/>
        <w:ind w:left="720" w:hanging="720"/>
        <w:rPr>
          <w:rFonts w:ascii="Times New Roman" w:hAnsi="Times New Roman"/>
          <w:sz w:val="24"/>
        </w:rPr>
      </w:pPr>
      <w:r w:rsidRPr="00474495">
        <w:rPr>
          <w:rFonts w:ascii="Times New Roman" w:hAnsi="Times New Roman"/>
          <w:sz w:val="24"/>
        </w:rPr>
        <w:t>Stuhmcke, Anita, ‘Changing Relations between Government and Citizen: Administrative Law and the Work of the Australian Common</w:t>
      </w:r>
      <w:r w:rsidRPr="00474495">
        <w:rPr>
          <w:rFonts w:ascii="Times New Roman" w:hAnsi="Times New Roman"/>
          <w:sz w:val="24"/>
        </w:rPr>
        <w:t xml:space="preserve">wealth Ombudsman’ (2008) 67(3) </w:t>
      </w:r>
      <w:r w:rsidRPr="00474495">
        <w:rPr>
          <w:rFonts w:ascii="Times New Roman" w:hAnsi="Times New Roman"/>
          <w:i/>
          <w:iCs/>
          <w:sz w:val="24"/>
        </w:rPr>
        <w:t>Australian journal of public administration</w:t>
      </w:r>
      <w:r w:rsidRPr="00474495">
        <w:rPr>
          <w:rFonts w:ascii="Times New Roman" w:hAnsi="Times New Roman"/>
          <w:sz w:val="24"/>
        </w:rPr>
        <w:t xml:space="preserve"> 321</w:t>
      </w:r>
    </w:p>
    <w:p w:rsidR="00474495" w:rsidRPr="00474495" w:rsidRDefault="000D4A7F" w:rsidP="004666A5">
      <w:pPr>
        <w:pStyle w:val="Bibliography"/>
        <w:ind w:left="720" w:hanging="720"/>
        <w:rPr>
          <w:rFonts w:ascii="Times New Roman" w:hAnsi="Times New Roman"/>
          <w:sz w:val="24"/>
        </w:rPr>
      </w:pPr>
      <w:r w:rsidRPr="00474495">
        <w:rPr>
          <w:rFonts w:ascii="Times New Roman" w:hAnsi="Times New Roman"/>
          <w:sz w:val="24"/>
        </w:rPr>
        <w:t xml:space="preserve">Stuhmcke, Anita, ‘“Each for Themselves” or “One for All”? The Changing Emphasis of the Commonwealth Ombudsman’ (2010) 38(1) </w:t>
      </w:r>
      <w:r w:rsidRPr="00474495">
        <w:rPr>
          <w:rFonts w:ascii="Times New Roman" w:hAnsi="Times New Roman"/>
          <w:i/>
          <w:iCs/>
          <w:sz w:val="24"/>
        </w:rPr>
        <w:t>Federal Law Review</w:t>
      </w:r>
      <w:r w:rsidRPr="00474495">
        <w:rPr>
          <w:rFonts w:ascii="Times New Roman" w:hAnsi="Times New Roman"/>
          <w:sz w:val="24"/>
        </w:rPr>
        <w:t xml:space="preserve"> 143</w:t>
      </w:r>
    </w:p>
    <w:p w:rsidR="00474495" w:rsidRPr="00474495" w:rsidRDefault="000D4A7F" w:rsidP="004666A5">
      <w:pPr>
        <w:pStyle w:val="Bibliography"/>
        <w:ind w:left="720" w:hanging="720"/>
        <w:rPr>
          <w:rFonts w:ascii="Times New Roman" w:hAnsi="Times New Roman"/>
          <w:sz w:val="24"/>
        </w:rPr>
      </w:pPr>
      <w:r w:rsidRPr="00474495">
        <w:rPr>
          <w:rFonts w:ascii="Times New Roman" w:hAnsi="Times New Roman"/>
          <w:sz w:val="24"/>
        </w:rPr>
        <w:t>Tai, Benny YT, ‘Models of Ombu</w:t>
      </w:r>
      <w:r w:rsidRPr="00474495">
        <w:rPr>
          <w:rFonts w:ascii="Times New Roman" w:hAnsi="Times New Roman"/>
          <w:sz w:val="24"/>
        </w:rPr>
        <w:t xml:space="preserve">dsman and Human Rights Protection’ [2010] </w:t>
      </w:r>
      <w:r w:rsidRPr="00474495">
        <w:rPr>
          <w:rFonts w:ascii="Times New Roman" w:hAnsi="Times New Roman"/>
          <w:i/>
          <w:iCs/>
          <w:sz w:val="24"/>
        </w:rPr>
        <w:t>International Journal of Politics and Good Governance</w:t>
      </w:r>
    </w:p>
    <w:p w:rsidR="00474495" w:rsidRPr="00474495" w:rsidRDefault="000D4A7F" w:rsidP="004666A5">
      <w:pPr>
        <w:pStyle w:val="Bibliography"/>
        <w:ind w:left="720" w:hanging="720"/>
        <w:rPr>
          <w:rFonts w:ascii="Times New Roman" w:hAnsi="Times New Roman"/>
          <w:sz w:val="24"/>
        </w:rPr>
      </w:pPr>
      <w:r w:rsidRPr="00474495">
        <w:rPr>
          <w:rFonts w:ascii="Times New Roman" w:hAnsi="Times New Roman"/>
          <w:sz w:val="24"/>
        </w:rPr>
        <w:t xml:space="preserve">Wood, John TD, ‘The Commonwealth Ombudsman—Time for Independence?’ [2005] </w:t>
      </w:r>
      <w:r w:rsidRPr="00474495">
        <w:rPr>
          <w:rFonts w:ascii="Times New Roman" w:hAnsi="Times New Roman"/>
          <w:i/>
          <w:iCs/>
          <w:sz w:val="24"/>
        </w:rPr>
        <w:t>Democratic Audit of Australia, Canberra</w:t>
      </w:r>
    </w:p>
    <w:p w:rsidR="00474495" w:rsidRPr="00474495" w:rsidRDefault="000D4A7F" w:rsidP="004666A5">
      <w:pPr>
        <w:pStyle w:val="Bibliography"/>
        <w:ind w:left="720" w:hanging="720"/>
        <w:rPr>
          <w:rFonts w:ascii="Times New Roman" w:hAnsi="Times New Roman"/>
          <w:sz w:val="24"/>
        </w:rPr>
      </w:pPr>
      <w:r w:rsidRPr="00474495">
        <w:rPr>
          <w:rFonts w:ascii="Times New Roman" w:hAnsi="Times New Roman"/>
          <w:sz w:val="24"/>
        </w:rPr>
        <w:t>Neave, Colin, ‘Exploring the Role of the Commo</w:t>
      </w:r>
      <w:r w:rsidRPr="00474495">
        <w:rPr>
          <w:rFonts w:ascii="Times New Roman" w:hAnsi="Times New Roman"/>
          <w:sz w:val="24"/>
        </w:rPr>
        <w:t xml:space="preserve">nwealth Ombudsman in Relation to Parliament’, </w:t>
      </w:r>
      <w:r w:rsidRPr="00474495">
        <w:rPr>
          <w:rFonts w:ascii="Times New Roman" w:hAnsi="Times New Roman"/>
          <w:i/>
          <w:iCs/>
          <w:sz w:val="24"/>
        </w:rPr>
        <w:t>Parliament of Australia</w:t>
      </w:r>
      <w:r w:rsidRPr="00474495">
        <w:rPr>
          <w:rFonts w:ascii="Times New Roman" w:hAnsi="Times New Roman"/>
          <w:sz w:val="24"/>
        </w:rPr>
        <w:t xml:space="preserve"> (2019)</w:t>
      </w:r>
    </w:p>
    <w:p w:rsidR="00756410" w:rsidRPr="00756410" w:rsidRDefault="000D4A7F" w:rsidP="004666A5">
      <w:pPr>
        <w:spacing w:after="0" w:line="480" w:lineRule="auto"/>
        <w:ind w:left="720" w:hanging="720"/>
        <w:rPr>
          <w:rFonts w:ascii="Times New Roman" w:hAnsi="Times New Roman"/>
          <w:sz w:val="24"/>
          <w:szCs w:val="24"/>
        </w:rPr>
      </w:pPr>
      <w:r>
        <w:rPr>
          <w:rFonts w:ascii="Times New Roman" w:hAnsi="Times New Roman"/>
          <w:sz w:val="24"/>
          <w:szCs w:val="24"/>
        </w:rPr>
        <w:fldChar w:fldCharType="end"/>
      </w:r>
    </w:p>
    <w:sectPr w:rsidR="00756410" w:rsidRPr="00756410"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A7F" w:rsidRDefault="000D4A7F">
      <w:pPr>
        <w:spacing w:after="0" w:line="240" w:lineRule="auto"/>
      </w:pPr>
      <w:r>
        <w:separator/>
      </w:r>
    </w:p>
  </w:endnote>
  <w:endnote w:type="continuationSeparator" w:id="0">
    <w:p w:rsidR="000D4A7F" w:rsidRDefault="000D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Times">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A7F" w:rsidRDefault="000D4A7F" w:rsidP="00CF4875">
      <w:pPr>
        <w:spacing w:after="0" w:line="240" w:lineRule="auto"/>
      </w:pPr>
      <w:r>
        <w:separator/>
      </w:r>
    </w:p>
  </w:footnote>
  <w:footnote w:type="continuationSeparator" w:id="0">
    <w:p w:rsidR="000D4A7F" w:rsidRDefault="000D4A7F" w:rsidP="00CF4875">
      <w:pPr>
        <w:spacing w:after="0" w:line="240" w:lineRule="auto"/>
      </w:pPr>
      <w:r>
        <w:continuationSeparator/>
      </w:r>
    </w:p>
  </w:footnote>
  <w:footnote w:id="1">
    <w:p w:rsidR="00D20476" w:rsidRPr="0069524F" w:rsidRDefault="000D4A7F">
      <w:pPr>
        <w:pStyle w:val="FootnoteText"/>
        <w:rPr>
          <w:rFonts w:ascii="Times New Roman" w:hAnsi="Times New Roman"/>
        </w:rPr>
      </w:pPr>
      <w:r>
        <w:rPr>
          <w:rStyle w:val="FootnoteReference"/>
        </w:rPr>
        <w:footnoteRef/>
      </w:r>
      <w:r>
        <w:t xml:space="preserve"> </w:t>
      </w:r>
      <w:r w:rsidRPr="0069524F">
        <w:rPr>
          <w:rFonts w:ascii="Times New Roman" w:hAnsi="Times New Roman"/>
        </w:rPr>
        <w:fldChar w:fldCharType="begin"/>
      </w:r>
      <w:r w:rsidRPr="0069524F">
        <w:rPr>
          <w:rFonts w:ascii="Times New Roman" w:hAnsi="Times New Roman"/>
        </w:rPr>
        <w:instrText xml:space="preserve"> ADDIN ZOTERO_ITEM CSL_CITATION {"citationID":"6oZRQfJh","properties":{"formattedCitation":"Dennis Pearce, \\uc0\\u8216{}Ombudsman in Australia\\uc0\\u8217{} [2000] {\\i{}Righting wrongs} 93.","plainCitation":"Dennis Pearce, ‘Ombudsman in Australia’ [2000]</w:instrText>
      </w:r>
      <w:r w:rsidRPr="0069524F">
        <w:rPr>
          <w:rFonts w:ascii="Times New Roman" w:hAnsi="Times New Roman"/>
        </w:rPr>
        <w:instrText xml:space="preserve"> Righting wrongs 93.","noteIndex":1},"citationItems":[{"id":70,"uris":["http://zotero.org/users/local/qLzeF6Hj/items/E7Z833J8"],"uri":["http://zotero.org/users/local/qLzeF6Hj/items/E7Z833J8"],"itemData":{"id":70,"type":"article-journal","title":"Ombudsman </w:instrText>
      </w:r>
      <w:r w:rsidRPr="0069524F">
        <w:rPr>
          <w:rFonts w:ascii="Times New Roman" w:hAnsi="Times New Roman"/>
        </w:rPr>
        <w:instrText xml:space="preserve">in Australia","container-title":"Righting wrongs","page":"93-106","author":[{"family":"Pearce","given":"Dennis"}],"issued":{"date-parts":[["2000"]]}}}],"schema":"https://github.com/citation-style-language/schema/raw/master/csl-citation.json"} </w:instrText>
      </w:r>
      <w:r w:rsidRPr="0069524F">
        <w:rPr>
          <w:rFonts w:ascii="Times New Roman" w:hAnsi="Times New Roman"/>
        </w:rPr>
        <w:fldChar w:fldCharType="separate"/>
      </w:r>
      <w:r w:rsidRPr="0069524F">
        <w:rPr>
          <w:rFonts w:ascii="Times New Roman" w:hAnsi="Times New Roman"/>
          <w:szCs w:val="24"/>
        </w:rPr>
        <w:t>Dennis Pearce</w:t>
      </w:r>
      <w:r w:rsidRPr="0069524F">
        <w:rPr>
          <w:rFonts w:ascii="Times New Roman" w:hAnsi="Times New Roman"/>
          <w:szCs w:val="24"/>
        </w:rPr>
        <w:t xml:space="preserve">, ‘Ombudsman in Australia’ [2000] </w:t>
      </w:r>
      <w:r w:rsidRPr="0069524F">
        <w:rPr>
          <w:rFonts w:ascii="Times New Roman" w:hAnsi="Times New Roman"/>
          <w:i/>
          <w:iCs/>
          <w:szCs w:val="24"/>
        </w:rPr>
        <w:t>Righting wrongs</w:t>
      </w:r>
      <w:r w:rsidRPr="0069524F">
        <w:rPr>
          <w:rFonts w:ascii="Times New Roman" w:hAnsi="Times New Roman"/>
          <w:szCs w:val="24"/>
        </w:rPr>
        <w:t xml:space="preserve"> 93.</w:t>
      </w:r>
      <w:r w:rsidRPr="0069524F">
        <w:rPr>
          <w:rFonts w:ascii="Times New Roman" w:hAnsi="Times New Roman"/>
        </w:rPr>
        <w:fldChar w:fldCharType="end"/>
      </w:r>
    </w:p>
  </w:footnote>
  <w:footnote w:id="2">
    <w:p w:rsidR="00E268F4" w:rsidRDefault="000D4A7F">
      <w:pPr>
        <w:pStyle w:val="FootnoteText"/>
      </w:pPr>
      <w:r w:rsidRPr="0069524F">
        <w:rPr>
          <w:rStyle w:val="FootnoteReference"/>
          <w:rFonts w:ascii="Times New Roman" w:hAnsi="Times New Roman"/>
        </w:rPr>
        <w:footnoteRef/>
      </w:r>
      <w:r w:rsidRPr="0069524F">
        <w:rPr>
          <w:rFonts w:ascii="Times New Roman" w:hAnsi="Times New Roman"/>
        </w:rPr>
        <w:t xml:space="preserve"> </w:t>
      </w:r>
      <w:r w:rsidRPr="0069524F">
        <w:rPr>
          <w:rFonts w:ascii="Times New Roman" w:hAnsi="Times New Roman"/>
        </w:rPr>
        <w:fldChar w:fldCharType="begin"/>
      </w:r>
      <w:r w:rsidRPr="0069524F">
        <w:rPr>
          <w:rFonts w:ascii="Times New Roman" w:hAnsi="Times New Roman"/>
        </w:rPr>
        <w:instrText xml:space="preserve"> ADDIN ZOTERO_ITEM CSL_CITATION {"citationID":"wdXHvCKL","properties":{"formattedCitation":"Anita Stuhmcke, \\uc0\\u8216{}\\uc0\\u8220{}Each for Themselves\\uc0\\u8221{} or \\uc0\\u8220{}One for Al</w:instrText>
      </w:r>
      <w:r w:rsidRPr="0069524F">
        <w:rPr>
          <w:rFonts w:ascii="Times New Roman" w:hAnsi="Times New Roman"/>
        </w:rPr>
        <w:instrText>l\\uc0\\u8221{}? The Changing Emphasis of the Commonwealth Ombudsman\\uc0\\u8217{} (2010) 38(1) {\\i{}Federal Law Review} 143.","plainCitation":"Anita Stuhmcke, ‘“Each for Themselves” or “One for All”? The Changing Emphasis of the Commonwealth Ombudsman’ (</w:instrText>
      </w:r>
      <w:r w:rsidRPr="0069524F">
        <w:rPr>
          <w:rFonts w:ascii="Times New Roman" w:hAnsi="Times New Roman"/>
        </w:rPr>
        <w:instrText>2010) 38(1) Federal Law Review 143.","noteIndex":1},"citationItems":[{"id":69,"uris":["http://zotero.org/users/local/qLzeF6Hj/items/KTTKMDEH"],"uri":["http://zotero.org/users/local/qLzeF6Hj/items/KTTKMDEH"],"itemData":{"id":69,"type":"article-journal","tit</w:instrText>
      </w:r>
      <w:r w:rsidRPr="0069524F">
        <w:rPr>
          <w:rFonts w:ascii="Times New Roman" w:hAnsi="Times New Roman"/>
        </w:rPr>
        <w:instrText>le":"‘Each for Themselves’ or ‘One for all’? the Changing Emphasis of the Commonwealth Ombudsman","container-title":"Federal Law Review","page":"143-167","volume":"38","issue":"1","author":[{"family":"Stuhmcke","given":"Anita"}],"issued":{"date-parts":[["2</w:instrText>
      </w:r>
      <w:r w:rsidRPr="0069524F">
        <w:rPr>
          <w:rFonts w:ascii="Times New Roman" w:hAnsi="Times New Roman"/>
        </w:rPr>
        <w:instrText xml:space="preserve">010"]]}}}],"schema":"https://github.com/citation-style-language/schema/raw/master/csl-citation.json"} </w:instrText>
      </w:r>
      <w:r w:rsidRPr="0069524F">
        <w:rPr>
          <w:rFonts w:ascii="Times New Roman" w:hAnsi="Times New Roman"/>
        </w:rPr>
        <w:fldChar w:fldCharType="separate"/>
      </w:r>
      <w:r w:rsidRPr="0069524F">
        <w:rPr>
          <w:rFonts w:ascii="Times New Roman" w:hAnsi="Times New Roman"/>
          <w:szCs w:val="24"/>
        </w:rPr>
        <w:t xml:space="preserve">Anita Stuhmcke, ‘“Each for Themselves” or “One for All”? The Changing Emphasis of the Commonwealth Ombudsman’ (2010) 38(1) </w:t>
      </w:r>
      <w:r w:rsidRPr="0069524F">
        <w:rPr>
          <w:rFonts w:ascii="Times New Roman" w:hAnsi="Times New Roman"/>
          <w:i/>
          <w:iCs/>
          <w:szCs w:val="24"/>
        </w:rPr>
        <w:t>Federal Law Review</w:t>
      </w:r>
      <w:r w:rsidRPr="0069524F">
        <w:rPr>
          <w:rFonts w:ascii="Times New Roman" w:hAnsi="Times New Roman"/>
          <w:szCs w:val="24"/>
        </w:rPr>
        <w:t xml:space="preserve"> 143.</w:t>
      </w:r>
      <w:r w:rsidRPr="0069524F">
        <w:rPr>
          <w:rFonts w:ascii="Times New Roman" w:hAnsi="Times New Roman"/>
        </w:rPr>
        <w:fldChar w:fldCharType="end"/>
      </w:r>
    </w:p>
  </w:footnote>
  <w:footnote w:id="3">
    <w:p w:rsidR="00F92E1B" w:rsidRPr="0069524F" w:rsidRDefault="000D4A7F">
      <w:pPr>
        <w:pStyle w:val="FootnoteText"/>
        <w:rPr>
          <w:rFonts w:ascii="Times New Roman" w:hAnsi="Times New Roman"/>
        </w:rPr>
      </w:pPr>
      <w:r>
        <w:rPr>
          <w:rStyle w:val="FootnoteReference"/>
        </w:rPr>
        <w:footnoteRef/>
      </w:r>
      <w:r>
        <w:t xml:space="preserve"> </w:t>
      </w:r>
      <w:r w:rsidRPr="0069524F">
        <w:rPr>
          <w:rFonts w:ascii="Times New Roman" w:hAnsi="Times New Roman"/>
        </w:rPr>
        <w:fldChar w:fldCharType="begin"/>
      </w:r>
      <w:r w:rsidRPr="0069524F">
        <w:rPr>
          <w:rFonts w:ascii="Times New Roman" w:hAnsi="Times New Roman"/>
        </w:rPr>
        <w:instrText xml:space="preserve"> A</w:instrText>
      </w:r>
      <w:r w:rsidRPr="0069524F">
        <w:rPr>
          <w:rFonts w:ascii="Times New Roman" w:hAnsi="Times New Roman"/>
        </w:rPr>
        <w:instrText>DDIN ZOTERO_ITEM CSL_CITATION {"citationID":"ac07J1Tr","properties":{"formattedCitation":"Victor Ayeni, Hayden Thomas and Linda C Reif, {\\i{}Strengthening Ombudsman and Human Rights Institutions in Commonwealth Small and Island States: The Caribbean Exper</w:instrText>
      </w:r>
      <w:r w:rsidRPr="0069524F">
        <w:rPr>
          <w:rFonts w:ascii="Times New Roman" w:hAnsi="Times New Roman"/>
        </w:rPr>
        <w:instrText>ience} (Commonwealth Secretariat, 2000).","plainCitation":"Victor Ayeni, Hayden Thomas and Linda C Reif, Strengthening Ombudsman and Human Rights Institutions in Commonwealth Small and Island States: The Caribbean Experience (Commonwealth Secretariat, 2000</w:instrText>
      </w:r>
      <w:r w:rsidRPr="0069524F">
        <w:rPr>
          <w:rFonts w:ascii="Times New Roman" w:hAnsi="Times New Roman"/>
        </w:rPr>
        <w:instrText>).","noteIndex":1},"citationItems":[{"id":68,"uris":["http://zotero.org/users/local/qLzeF6Hj/items/4TAXYM77"],"uri":["http://zotero.org/users/local/qLzeF6Hj/items/4TAXYM77"],"itemData":{"id":68,"type":"book","title":"Strengthening ombudsman and human right</w:instrText>
      </w:r>
      <w:r w:rsidRPr="0069524F">
        <w:rPr>
          <w:rFonts w:ascii="Times New Roman" w:hAnsi="Times New Roman"/>
        </w:rPr>
        <w:instrText>s institutions in Commonwealth small and island states: the Caribbean experience","publisher":"Commonwealth Secretariat","ISBN":"0-85092-639-4","author":[{"family":"Ayeni","given":"Victor"},{"family":"Thomas","given":"Hayden"},{"family":"Reif","given":"Lin</w:instrText>
      </w:r>
      <w:r w:rsidRPr="0069524F">
        <w:rPr>
          <w:rFonts w:ascii="Times New Roman" w:hAnsi="Times New Roman"/>
        </w:rPr>
        <w:instrText xml:space="preserve">da C."}],"issued":{"date-parts":[["2000"]]}}}],"schema":"https://github.com/citation-style-language/schema/raw/master/csl-citation.json"} </w:instrText>
      </w:r>
      <w:r w:rsidRPr="0069524F">
        <w:rPr>
          <w:rFonts w:ascii="Times New Roman" w:hAnsi="Times New Roman"/>
        </w:rPr>
        <w:fldChar w:fldCharType="separate"/>
      </w:r>
      <w:r w:rsidRPr="0069524F">
        <w:rPr>
          <w:rFonts w:ascii="Times New Roman" w:hAnsi="Times New Roman"/>
          <w:szCs w:val="24"/>
        </w:rPr>
        <w:t xml:space="preserve">Victor Ayeni, Hayden Thomas and Linda C Reif, </w:t>
      </w:r>
      <w:r w:rsidRPr="0069524F">
        <w:rPr>
          <w:rFonts w:ascii="Times New Roman" w:hAnsi="Times New Roman"/>
          <w:i/>
          <w:iCs/>
          <w:szCs w:val="24"/>
        </w:rPr>
        <w:t>Strengthening Ombudsman and Human Rights Institutions in Commonwealth Sm</w:t>
      </w:r>
      <w:r w:rsidRPr="0069524F">
        <w:rPr>
          <w:rFonts w:ascii="Times New Roman" w:hAnsi="Times New Roman"/>
          <w:i/>
          <w:iCs/>
          <w:szCs w:val="24"/>
        </w:rPr>
        <w:t>all and Island States: The Caribbean Experience</w:t>
      </w:r>
      <w:r w:rsidRPr="0069524F">
        <w:rPr>
          <w:rFonts w:ascii="Times New Roman" w:hAnsi="Times New Roman"/>
          <w:szCs w:val="24"/>
        </w:rPr>
        <w:t xml:space="preserve"> (Commonwealth Secretariat, 2000).</w:t>
      </w:r>
      <w:r w:rsidRPr="0069524F">
        <w:rPr>
          <w:rFonts w:ascii="Times New Roman" w:hAnsi="Times New Roman"/>
        </w:rPr>
        <w:fldChar w:fldCharType="end"/>
      </w:r>
    </w:p>
  </w:footnote>
  <w:footnote w:id="4">
    <w:p w:rsidR="0084624E" w:rsidRPr="00F35EA2" w:rsidRDefault="000D4A7F">
      <w:pPr>
        <w:pStyle w:val="FootnoteText"/>
        <w:rPr>
          <w:rFonts w:ascii="Times New Roman" w:hAnsi="Times New Roman"/>
        </w:rPr>
      </w:pPr>
      <w:r>
        <w:rPr>
          <w:rStyle w:val="FootnoteReference"/>
        </w:rPr>
        <w:footnoteRef/>
      </w:r>
      <w:r>
        <w:t xml:space="preserve"> </w:t>
      </w:r>
      <w:r w:rsidRPr="00F35EA2">
        <w:rPr>
          <w:rFonts w:ascii="Times New Roman" w:hAnsi="Times New Roman"/>
        </w:rPr>
        <w:fldChar w:fldCharType="begin"/>
      </w:r>
      <w:r w:rsidRPr="00F35EA2">
        <w:rPr>
          <w:rFonts w:ascii="Times New Roman" w:hAnsi="Times New Roman"/>
        </w:rPr>
        <w:instrText xml:space="preserve"> ADDIN ZOTERO_ITEM CSL_CITATION {"citationID":"7d8RvuQG","properties":{"formattedCitation":"Colin Neave, \\uc0\\u8216{}Exploring the Role of the Commonwealth Ombudsman i</w:instrText>
      </w:r>
      <w:r w:rsidRPr="00F35EA2">
        <w:rPr>
          <w:rFonts w:ascii="Times New Roman" w:hAnsi="Times New Roman"/>
        </w:rPr>
        <w:instrText>n Relation to Parliament\\uc0\\u8217{}, {\\i{}Parliament of Australia} (2019).","plainCitation":"Colin Neave, ‘Exploring the Role of the Commonwealth Ombudsman in Relation to Parliament’, Parliament of Australia (2019).","noteIndex":4},"citationItems":[{"i</w:instrText>
      </w:r>
      <w:r w:rsidRPr="00F35EA2">
        <w:rPr>
          <w:rFonts w:ascii="Times New Roman" w:hAnsi="Times New Roman"/>
        </w:rPr>
        <w:instrText>d":75,"uris":["http://zotero.org/users/local/qLzeF6Hj/items/89DSYZT5"],"uri":["http://zotero.org/users/local/qLzeF6Hj/items/89DSYZT5"],"itemData":{"id":75,"type":"webpage","title":"Exploring the Role of the Commonwealth Ombudsman in Relation to Parliament"</w:instrText>
      </w:r>
      <w:r w:rsidRPr="00F35EA2">
        <w:rPr>
          <w:rFonts w:ascii="Times New Roman" w:hAnsi="Times New Roman"/>
        </w:rPr>
        <w:instrText xml:space="preserve">,"container-title":"Parliament of Australia","author":[{"family":"Neave","given":"Colin"}],"issued":{"date-parts":[["2019"]]}}}],"schema":"https://github.com/citation-style-language/schema/raw/master/csl-citation.json"} </w:instrText>
      </w:r>
      <w:r w:rsidRPr="00F35EA2">
        <w:rPr>
          <w:rFonts w:ascii="Times New Roman" w:hAnsi="Times New Roman"/>
        </w:rPr>
        <w:fldChar w:fldCharType="separate"/>
      </w:r>
      <w:r w:rsidRPr="00F35EA2">
        <w:rPr>
          <w:rFonts w:ascii="Times New Roman" w:hAnsi="Times New Roman"/>
          <w:szCs w:val="24"/>
        </w:rPr>
        <w:t xml:space="preserve">Colin Neave, ‘Exploring the Role of </w:t>
      </w:r>
      <w:r w:rsidRPr="00F35EA2">
        <w:rPr>
          <w:rFonts w:ascii="Times New Roman" w:hAnsi="Times New Roman"/>
          <w:szCs w:val="24"/>
        </w:rPr>
        <w:t xml:space="preserve">the Commonwealth Ombudsman in Relation to Parliament’, </w:t>
      </w:r>
      <w:r w:rsidRPr="00F35EA2">
        <w:rPr>
          <w:rFonts w:ascii="Times New Roman" w:hAnsi="Times New Roman"/>
          <w:i/>
          <w:iCs/>
          <w:szCs w:val="24"/>
        </w:rPr>
        <w:t>Parliament of Australia</w:t>
      </w:r>
      <w:r w:rsidRPr="00F35EA2">
        <w:rPr>
          <w:rFonts w:ascii="Times New Roman" w:hAnsi="Times New Roman"/>
          <w:szCs w:val="24"/>
        </w:rPr>
        <w:t xml:space="preserve"> (2019).</w:t>
      </w:r>
      <w:r w:rsidRPr="00F35EA2">
        <w:rPr>
          <w:rFonts w:ascii="Times New Roman" w:hAnsi="Times New Roman"/>
        </w:rPr>
        <w:fldChar w:fldCharType="end"/>
      </w:r>
    </w:p>
  </w:footnote>
  <w:footnote w:id="5">
    <w:p w:rsidR="00827921" w:rsidRPr="00F35EA2" w:rsidRDefault="000D4A7F">
      <w:pPr>
        <w:pStyle w:val="FootnoteText"/>
        <w:rPr>
          <w:rFonts w:ascii="Times New Roman" w:hAnsi="Times New Roman"/>
        </w:rPr>
      </w:pPr>
      <w:r w:rsidRPr="00F35EA2">
        <w:rPr>
          <w:rStyle w:val="FootnoteReference"/>
          <w:rFonts w:ascii="Times New Roman" w:hAnsi="Times New Roman"/>
        </w:rPr>
        <w:footnoteRef/>
      </w:r>
      <w:r w:rsidRPr="00F35EA2">
        <w:rPr>
          <w:rFonts w:ascii="Times New Roman" w:hAnsi="Times New Roman"/>
        </w:rPr>
        <w:t xml:space="preserve"> </w:t>
      </w:r>
      <w:r w:rsidRPr="00F35EA2">
        <w:rPr>
          <w:rFonts w:ascii="Times New Roman" w:hAnsi="Times New Roman"/>
        </w:rPr>
        <w:fldChar w:fldCharType="begin"/>
      </w:r>
      <w:r w:rsidRPr="00F35EA2">
        <w:rPr>
          <w:rFonts w:ascii="Times New Roman" w:hAnsi="Times New Roman"/>
        </w:rPr>
        <w:instrText xml:space="preserve"> ADDIN ZOTERO_ITEM CSL_CITATION {"citationID":"XcmI1BR0","properties":{"formattedCitation":"Benny YT Tai, \\uc0\\u8216{}Models of Ombudsman and Human Rights Protection\\uc0\\u8217{} [2010] {\\i{}International Journal of Politics and Good Governance}.","pla</w:instrText>
      </w:r>
      <w:r w:rsidRPr="00F35EA2">
        <w:rPr>
          <w:rFonts w:ascii="Times New Roman" w:hAnsi="Times New Roman"/>
        </w:rPr>
        <w:instrText>inCitation":"Benny YT Tai, ‘Models of Ombudsman and Human Rights Protection’ [2010] International Journal of Politics and Good Governance.","noteIndex":4},"citationItems":[{"id":72,"uris":["http://zotero.org/users/local/qLzeF6Hj/items/29YB79FQ"],"uri":["ht</w:instrText>
      </w:r>
      <w:r w:rsidRPr="00F35EA2">
        <w:rPr>
          <w:rFonts w:ascii="Times New Roman" w:hAnsi="Times New Roman"/>
        </w:rPr>
        <w:instrText>tp://zotero.org/users/local/qLzeF6Hj/items/29YB79FQ"],"itemData":{"id":72,"type":"article-journal","title":"Models of Ombudsman and Human Rights Protection","container-title":"International Journal of Politics and Good Governance","author":[{"family":"Tai"</w:instrText>
      </w:r>
      <w:r w:rsidRPr="00F35EA2">
        <w:rPr>
          <w:rFonts w:ascii="Times New Roman" w:hAnsi="Times New Roman"/>
        </w:rPr>
        <w:instrText xml:space="preserve">,"given":"Benny YT"}],"issued":{"date-parts":[["2010"]]}}}],"schema":"https://github.com/citation-style-language/schema/raw/master/csl-citation.json"} </w:instrText>
      </w:r>
      <w:r w:rsidRPr="00F35EA2">
        <w:rPr>
          <w:rFonts w:ascii="Times New Roman" w:hAnsi="Times New Roman"/>
        </w:rPr>
        <w:fldChar w:fldCharType="separate"/>
      </w:r>
      <w:r w:rsidRPr="00F35EA2">
        <w:rPr>
          <w:rFonts w:ascii="Times New Roman" w:hAnsi="Times New Roman"/>
          <w:szCs w:val="24"/>
        </w:rPr>
        <w:t xml:space="preserve">Benny YT Tai, ‘Models of Ombudsman and Human Rights Protection’ [2010] </w:t>
      </w:r>
      <w:r w:rsidRPr="00F35EA2">
        <w:rPr>
          <w:rFonts w:ascii="Times New Roman" w:hAnsi="Times New Roman"/>
          <w:i/>
          <w:iCs/>
          <w:szCs w:val="24"/>
        </w:rPr>
        <w:t xml:space="preserve">International Journal of Politics </w:t>
      </w:r>
      <w:r w:rsidRPr="00F35EA2">
        <w:rPr>
          <w:rFonts w:ascii="Times New Roman" w:hAnsi="Times New Roman"/>
          <w:i/>
          <w:iCs/>
          <w:szCs w:val="24"/>
        </w:rPr>
        <w:t>and Good Governance</w:t>
      </w:r>
      <w:r w:rsidRPr="00F35EA2">
        <w:rPr>
          <w:rFonts w:ascii="Times New Roman" w:hAnsi="Times New Roman"/>
          <w:szCs w:val="24"/>
        </w:rPr>
        <w:t>.</w:t>
      </w:r>
      <w:r w:rsidRPr="00F35EA2">
        <w:rPr>
          <w:rFonts w:ascii="Times New Roman" w:hAnsi="Times New Roman"/>
        </w:rPr>
        <w:fldChar w:fldCharType="end"/>
      </w:r>
    </w:p>
  </w:footnote>
  <w:footnote w:id="6">
    <w:p w:rsidR="00195BD5" w:rsidRDefault="000D4A7F">
      <w:pPr>
        <w:pStyle w:val="FootnoteText"/>
      </w:pPr>
      <w:r w:rsidRPr="00F35EA2">
        <w:rPr>
          <w:rStyle w:val="FootnoteReference"/>
          <w:rFonts w:ascii="Times New Roman" w:hAnsi="Times New Roman"/>
        </w:rPr>
        <w:footnoteRef/>
      </w:r>
      <w:r w:rsidRPr="00F35EA2">
        <w:rPr>
          <w:rFonts w:ascii="Times New Roman" w:hAnsi="Times New Roman"/>
        </w:rPr>
        <w:t xml:space="preserve"> </w:t>
      </w:r>
      <w:r w:rsidRPr="00F35EA2">
        <w:rPr>
          <w:rFonts w:ascii="Times New Roman" w:hAnsi="Times New Roman"/>
        </w:rPr>
        <w:fldChar w:fldCharType="begin"/>
      </w:r>
      <w:r w:rsidRPr="00F35EA2">
        <w:rPr>
          <w:rFonts w:ascii="Times New Roman" w:hAnsi="Times New Roman"/>
        </w:rPr>
        <w:instrText xml:space="preserve"> ADDIN ZOTERO_ITEM CSL_CITATION {"citationID":"dWX8pVV7","properties":{"formattedCitation":"RD Snell, \\uc0\\u8216{}Australian Ombudsman: A Continual Work in Progress\\uc0\\u8217{}.","plainCitation":"RD Snell, ‘Australian Ombudsma</w:instrText>
      </w:r>
      <w:r w:rsidRPr="00F35EA2">
        <w:rPr>
          <w:rFonts w:ascii="Times New Roman" w:hAnsi="Times New Roman"/>
        </w:rPr>
        <w:instrText>n: A Continual Work in Progress’.","noteIndex":5},"citationItems":[{"id":73,"uris":["http://zotero.org/users/local/qLzeF6Hj/items/98JD9U78"],"uri":["http://zotero.org/users/local/qLzeF6Hj/items/98JD9U78"],"itemData":{"id":73,"type":"article-journal","title</w:instrText>
      </w:r>
      <w:r w:rsidRPr="00F35EA2">
        <w:rPr>
          <w:rFonts w:ascii="Times New Roman" w:hAnsi="Times New Roman"/>
        </w:rPr>
        <w:instrText xml:space="preserve">":"Australian Ombudsman: A continual work in progress","author":[{"family":"Snell","given":"R. D."}],"issued":{"date-parts":[["2007"]]}}}],"schema":"https://github.com/citation-style-language/schema/raw/master/csl-citation.json"} </w:instrText>
      </w:r>
      <w:r w:rsidRPr="00F35EA2">
        <w:rPr>
          <w:rFonts w:ascii="Times New Roman" w:hAnsi="Times New Roman"/>
        </w:rPr>
        <w:fldChar w:fldCharType="separate"/>
      </w:r>
      <w:r w:rsidRPr="00F35EA2">
        <w:rPr>
          <w:rFonts w:ascii="Times New Roman" w:hAnsi="Times New Roman"/>
          <w:szCs w:val="24"/>
        </w:rPr>
        <w:t>RD Snell, ‘Australian Ombu</w:t>
      </w:r>
      <w:r w:rsidRPr="00F35EA2">
        <w:rPr>
          <w:rFonts w:ascii="Times New Roman" w:hAnsi="Times New Roman"/>
          <w:szCs w:val="24"/>
        </w:rPr>
        <w:t>dsman: A Continual Work in Progress’.</w:t>
      </w:r>
      <w:r w:rsidRPr="00F35EA2">
        <w:rPr>
          <w:rFonts w:ascii="Times New Roman" w:hAnsi="Times New Roman"/>
        </w:rPr>
        <w:fldChar w:fldCharType="end"/>
      </w:r>
    </w:p>
  </w:footnote>
  <w:footnote w:id="7">
    <w:p w:rsidR="00862F8D" w:rsidRPr="00F35EA2" w:rsidRDefault="000D4A7F">
      <w:pPr>
        <w:pStyle w:val="FootnoteText"/>
        <w:rPr>
          <w:rFonts w:ascii="Times New Roman" w:hAnsi="Times New Roman"/>
        </w:rPr>
      </w:pPr>
      <w:r w:rsidRPr="00F35EA2">
        <w:rPr>
          <w:rStyle w:val="FootnoteReference"/>
          <w:rFonts w:ascii="Times New Roman" w:hAnsi="Times New Roman"/>
        </w:rPr>
        <w:footnoteRef/>
      </w:r>
      <w:r w:rsidRPr="00F35EA2">
        <w:rPr>
          <w:rFonts w:ascii="Times New Roman" w:hAnsi="Times New Roman"/>
        </w:rPr>
        <w:t xml:space="preserve"> </w:t>
      </w:r>
      <w:r w:rsidRPr="00F35EA2">
        <w:rPr>
          <w:rFonts w:ascii="Times New Roman" w:hAnsi="Times New Roman"/>
        </w:rPr>
        <w:fldChar w:fldCharType="begin"/>
      </w:r>
      <w:r w:rsidR="0084624E" w:rsidRPr="00F35EA2">
        <w:rPr>
          <w:rFonts w:ascii="Times New Roman" w:hAnsi="Times New Roman"/>
        </w:rPr>
        <w:instrText xml:space="preserve"> ADDIN ZOTERO_ITEM CSL_CITATION {"citationID":"woZi08PT","properties":{"formattedCitation":"Anita Stuhmcke, \\uc0\\u8216{}Changing Relations between Government and Citizen: Administrative Law and the Work of the Australian Commonwealth Ombudsman\\uc0\\u8217{} (2008) 67(3) {\\i{}Australian journal of public administration} 321.","plainCitation":"Anita Stuhmcke, ‘Changing Relations between Government and Citizen: Administrative Law and the Work of the Australian Commonwealth Ombudsman’ (2008) 67(3) Australian journal of public administration 321.","noteIndex":7},"citationItems":[{"id":67,"uris":["http://zotero.org/users/local/qLzeF6Hj/items/V3LZB9ED"],"uri":["http://zotero.org/users/local/qLzeF6Hj/items/V3LZB9ED"],"itemData":{"id":67,"type":"article-journal","title":"Changing relations between government and citizen: administrative law and the work of the Australian commonwealth Ombudsman","container-title":"Australian journal of public administration","page":"321-339","volume":"67","issue":"3","author":[{"family":"Stuhmcke","given":"Anita"}],"issued":{"date-parts":[["2008"]]}}}],"schema":"https://github.com/citation-style-language/schema/raw/master/csl-citation.json"} </w:instrText>
      </w:r>
      <w:r w:rsidRPr="00F35EA2">
        <w:rPr>
          <w:rFonts w:ascii="Times New Roman" w:hAnsi="Times New Roman"/>
        </w:rPr>
        <w:fldChar w:fldCharType="separate"/>
      </w:r>
      <w:r w:rsidRPr="00F35EA2">
        <w:rPr>
          <w:rFonts w:ascii="Times New Roman" w:hAnsi="Times New Roman"/>
          <w:szCs w:val="24"/>
        </w:rPr>
        <w:t>Anita Stuhmcke, ‘Changing Relations between Governm</w:t>
      </w:r>
      <w:r w:rsidRPr="00F35EA2">
        <w:rPr>
          <w:rFonts w:ascii="Times New Roman" w:hAnsi="Times New Roman"/>
          <w:szCs w:val="24"/>
        </w:rPr>
        <w:t xml:space="preserve">ent and Citizen: Administrative Law and the Work of the Australian Commonwealth Ombudsman’ (2008) 67(3) </w:t>
      </w:r>
      <w:r w:rsidRPr="00F35EA2">
        <w:rPr>
          <w:rFonts w:ascii="Times New Roman" w:hAnsi="Times New Roman"/>
          <w:i/>
          <w:iCs/>
          <w:szCs w:val="24"/>
        </w:rPr>
        <w:t>Australian journal of public administration</w:t>
      </w:r>
      <w:r w:rsidRPr="00F35EA2">
        <w:rPr>
          <w:rFonts w:ascii="Times New Roman" w:hAnsi="Times New Roman"/>
          <w:szCs w:val="24"/>
        </w:rPr>
        <w:t xml:space="preserve"> 321.</w:t>
      </w:r>
      <w:r w:rsidRPr="00F35EA2">
        <w:rPr>
          <w:rFonts w:ascii="Times New Roman" w:hAnsi="Times New Roman"/>
        </w:rPr>
        <w:fldChar w:fldCharType="end"/>
      </w:r>
    </w:p>
  </w:footnote>
  <w:footnote w:id="8">
    <w:p w:rsidR="00253BC4" w:rsidRDefault="000D4A7F">
      <w:pPr>
        <w:pStyle w:val="FootnoteText"/>
      </w:pPr>
      <w:r>
        <w:rPr>
          <w:rStyle w:val="FootnoteReference"/>
        </w:rPr>
        <w:footnoteRef/>
      </w:r>
      <w:r w:rsidRPr="00A12FD5">
        <w:rPr>
          <w:rFonts w:ascii="Times New Roman" w:hAnsi="Times New Roman"/>
        </w:rPr>
        <w:t xml:space="preserve"> </w:t>
      </w:r>
      <w:r w:rsidRPr="00A12FD5">
        <w:rPr>
          <w:rFonts w:ascii="Times New Roman" w:hAnsi="Times New Roman"/>
        </w:rPr>
        <w:fldChar w:fldCharType="begin"/>
      </w:r>
      <w:r w:rsidR="0084624E" w:rsidRPr="00A12FD5">
        <w:rPr>
          <w:rFonts w:ascii="Times New Roman" w:hAnsi="Times New Roman"/>
        </w:rPr>
        <w:instrText xml:space="preserve"> ADDIN ZOTERO_ITEM CSL_CITATION {"citationID":"a86tZCn9","properties":{"formattedCitation":"Ibid.","plainCitation":"Ibid.","noteIndex":8},"citationItems":[{"id":67,"uris":["http://zotero.org/users/local/qLzeF6Hj/items/V3LZB9ED"],"uri":["http://zotero.org/users/local/qLzeF6Hj/items/V3LZB9ED"],"itemData":{"id":67,"type":"article-journal","title":"Changing relations between government and citizen: administrative law and the work of the Australian commonwealth Ombudsman","container-title":"Australian journal of public administration","page":"321-339","volume":"67","issue":"3","author":[{"family":"Stuhmcke","given":"Anita"}],"issued":{"date-parts":[["2008"]]}}}],"schema":"https://github.com/citation-style-language/schema/raw/master/csl-citation.json"} </w:instrText>
      </w:r>
      <w:r w:rsidRPr="00A12FD5">
        <w:rPr>
          <w:rFonts w:ascii="Times New Roman" w:hAnsi="Times New Roman"/>
        </w:rPr>
        <w:fldChar w:fldCharType="separate"/>
      </w:r>
      <w:r w:rsidRPr="00A12FD5">
        <w:rPr>
          <w:rFonts w:ascii="Times New Roman" w:hAnsi="Times New Roman"/>
        </w:rPr>
        <w:t>Ibid.</w:t>
      </w:r>
      <w:r w:rsidRPr="00A12FD5">
        <w:rPr>
          <w:rFonts w:ascii="Times New Roman" w:hAnsi="Times New Roman"/>
        </w:rPr>
        <w:fldChar w:fldCharType="end"/>
      </w:r>
    </w:p>
  </w:footnote>
  <w:footnote w:id="9">
    <w:p w:rsidR="001B4E5F" w:rsidRDefault="000D4A7F">
      <w:pPr>
        <w:pStyle w:val="FootnoteText"/>
      </w:pPr>
      <w:r>
        <w:rPr>
          <w:rStyle w:val="FootnoteReference"/>
        </w:rPr>
        <w:footnoteRef/>
      </w:r>
      <w:r w:rsidRPr="00134511">
        <w:rPr>
          <w:rFonts w:ascii="Times New Roman" w:hAnsi="Times New Roman"/>
        </w:rPr>
        <w:t xml:space="preserve"> </w:t>
      </w:r>
      <w:r w:rsidRPr="00134511">
        <w:rPr>
          <w:rFonts w:ascii="Times New Roman" w:hAnsi="Times New Roman"/>
        </w:rPr>
        <w:fldChar w:fldCharType="begin"/>
      </w:r>
      <w:r w:rsidRPr="00134511">
        <w:rPr>
          <w:rFonts w:ascii="Times New Roman" w:hAnsi="Times New Roman"/>
        </w:rPr>
        <w:instrText xml:space="preserve"> ADDIN ZOTERO_ITEM CSL_CITATION {"citationID":"FXyBJ8g1","properties":{"formattedCitation":"John T</w:instrText>
      </w:r>
      <w:r w:rsidRPr="00134511">
        <w:rPr>
          <w:rFonts w:ascii="Times New Roman" w:hAnsi="Times New Roman"/>
        </w:rPr>
        <w:instrText xml:space="preserve">D Wood, \\uc0\\u8216{}The Commonwealth Ombudsman\\uc0\\u8212{}Time for Independence?\\uc0\\u8217{} [2005] {\\i{}Democratic Audit of Australia, Canberra}.","plainCitation":"John TD Wood, ‘The Commonwealth Ombudsman—Time for Independence?’ [2005] Democratic </w:instrText>
      </w:r>
      <w:r w:rsidRPr="00134511">
        <w:rPr>
          <w:rFonts w:ascii="Times New Roman" w:hAnsi="Times New Roman"/>
        </w:rPr>
        <w:instrText>Audit of Australia, Canberra.","noteIndex":9},"citationItems":[{"id":76,"uris":["http://zotero.org/users/local/qLzeF6Hj/items/GJ8MRJ76"],"uri":["http://zotero.org/users/local/qLzeF6Hj/items/GJ8MRJ76"],"itemData":{"id":76,"type":"article-journal","title":"T</w:instrText>
      </w:r>
      <w:r w:rsidRPr="00134511">
        <w:rPr>
          <w:rFonts w:ascii="Times New Roman" w:hAnsi="Times New Roman"/>
        </w:rPr>
        <w:instrText>he Commonwealth Ombudsman—Time for Independence?","container-title":"Democratic Audit of Australia, Canberra","author":[{"family":"Wood","given":"John TD"}],"issued":{"date-parts":[["2005"]]}}}],"schema":"https://github.com/citation-style-language/schema/r</w:instrText>
      </w:r>
      <w:r w:rsidRPr="00134511">
        <w:rPr>
          <w:rFonts w:ascii="Times New Roman" w:hAnsi="Times New Roman"/>
        </w:rPr>
        <w:instrText xml:space="preserve">aw/master/csl-citation.json"} </w:instrText>
      </w:r>
      <w:r w:rsidRPr="00134511">
        <w:rPr>
          <w:rFonts w:ascii="Times New Roman" w:hAnsi="Times New Roman"/>
        </w:rPr>
        <w:fldChar w:fldCharType="separate"/>
      </w:r>
      <w:r w:rsidRPr="00134511">
        <w:rPr>
          <w:rFonts w:ascii="Times New Roman" w:hAnsi="Times New Roman"/>
          <w:szCs w:val="24"/>
        </w:rPr>
        <w:t xml:space="preserve">John TD Wood, ‘The Commonwealth Ombudsman—Time for Independence?’ [2005] </w:t>
      </w:r>
      <w:r w:rsidRPr="00134511">
        <w:rPr>
          <w:rFonts w:ascii="Times New Roman" w:hAnsi="Times New Roman"/>
          <w:i/>
          <w:iCs/>
          <w:szCs w:val="24"/>
        </w:rPr>
        <w:t>Democratic Audit of Australia, Canberra</w:t>
      </w:r>
      <w:r w:rsidRPr="00134511">
        <w:rPr>
          <w:rFonts w:ascii="Times New Roman" w:hAnsi="Times New Roman"/>
          <w:szCs w:val="24"/>
        </w:rPr>
        <w:t>.</w:t>
      </w:r>
      <w:r w:rsidRPr="00134511">
        <w:rPr>
          <w:rFonts w:ascii="Times New Roman" w:hAnsi="Times New Roman"/>
        </w:rPr>
        <w:fldChar w:fldCharType="end"/>
      </w:r>
    </w:p>
  </w:footnote>
  <w:footnote w:id="10">
    <w:p w:rsidR="00B103A2" w:rsidRPr="008C3E8D" w:rsidRDefault="000D4A7F">
      <w:pPr>
        <w:pStyle w:val="FootnoteText"/>
        <w:rPr>
          <w:rFonts w:ascii="Times New Roman" w:hAnsi="Times New Roman"/>
        </w:rPr>
      </w:pPr>
      <w:r>
        <w:rPr>
          <w:rStyle w:val="FootnoteReference"/>
        </w:rPr>
        <w:footnoteRef/>
      </w:r>
      <w:r>
        <w:t xml:space="preserve"> </w:t>
      </w:r>
      <w:r w:rsidRPr="008C3E8D">
        <w:rPr>
          <w:rFonts w:ascii="Times New Roman" w:hAnsi="Times New Roman"/>
        </w:rPr>
        <w:fldChar w:fldCharType="begin"/>
      </w:r>
      <w:r w:rsidRPr="008C3E8D">
        <w:rPr>
          <w:rFonts w:ascii="Times New Roman" w:hAnsi="Times New Roman"/>
        </w:rPr>
        <w:instrText xml:space="preserve"> ADDIN ZOTERO_ITEM CSL_CITATION {"citationID":"Meh88brM","properties":{"formattedCitation":"AJ Brown and Brian Head, \\uc0\\u8216{}Ombudsman, Corruption Commission or Police Integrity Authority? Choices for Institutional Capacity in Australia\\uc0\\u8217{}</w:instrText>
      </w:r>
      <w:r w:rsidRPr="008C3E8D">
        <w:rPr>
          <w:rFonts w:ascii="Times New Roman" w:hAnsi="Times New Roman"/>
        </w:rPr>
        <w:instrText>s Integrity Systems\\uc0\\u8217{} in {\\i{}Australasian Political Studies Association Conference, Adelaide (29 Sept-1 Oct 2004)} (2004).","plainCitation":"AJ Brown and Brian Head, ‘Ombudsman, Corruption Commission or Police Integrity Authority? Choices for</w:instrText>
      </w:r>
      <w:r w:rsidRPr="008C3E8D">
        <w:rPr>
          <w:rFonts w:ascii="Times New Roman" w:hAnsi="Times New Roman"/>
        </w:rPr>
        <w:instrText xml:space="preserve"> Institutional Capacity in Australia’s Integrity Systems’ in Australasian Political Studies Association Conference, Adelaide (29 Sept-1 Oct 2004) (2004).","noteIndex":8},"citationItems":[{"id":74,"uris":["http://zotero.org/users/local/qLzeF6Hj/items/RRP2C6</w:instrText>
      </w:r>
      <w:r w:rsidRPr="008C3E8D">
        <w:rPr>
          <w:rFonts w:ascii="Times New Roman" w:hAnsi="Times New Roman"/>
        </w:rPr>
        <w:instrText>Q8"],"uri":["http://zotero.org/users/local/qLzeF6Hj/items/RRP2C6Q8"],"itemData":{"id":74,"type":"paper-conference","title":"Ombudsman, Corruption Commission or Police Integrity Authority? Choices for Institutional Capacity in Australia’s Integrity Systems"</w:instrText>
      </w:r>
      <w:r w:rsidRPr="008C3E8D">
        <w:rPr>
          <w:rFonts w:ascii="Times New Roman" w:hAnsi="Times New Roman"/>
        </w:rPr>
        <w:instrText>,"container-title":"Australasian Political Studies Association Conference, Adelaide (29 Sept-1 Oct 2004)","author":[{"family":"Brown","given":"A. J."},{"family":"Head","given":"Brian"}],"issued":{"date-parts":[["2004"]]}}}],"schema":"https://github.com/cit</w:instrText>
      </w:r>
      <w:r w:rsidRPr="008C3E8D">
        <w:rPr>
          <w:rFonts w:ascii="Times New Roman" w:hAnsi="Times New Roman"/>
        </w:rPr>
        <w:instrText xml:space="preserve">ation-style-language/schema/raw/master/csl-citation.json"} </w:instrText>
      </w:r>
      <w:r w:rsidRPr="008C3E8D">
        <w:rPr>
          <w:rFonts w:ascii="Times New Roman" w:hAnsi="Times New Roman"/>
        </w:rPr>
        <w:fldChar w:fldCharType="separate"/>
      </w:r>
      <w:r w:rsidRPr="008C3E8D">
        <w:rPr>
          <w:rFonts w:ascii="Times New Roman" w:hAnsi="Times New Roman"/>
          <w:szCs w:val="24"/>
        </w:rPr>
        <w:t xml:space="preserve">AJ Brown and Brian Head, ‘Ombudsman, Corruption Commission or Police Integrity Authority? Choices for Institutional Capacity in Australia’s Integrity Systems’ in </w:t>
      </w:r>
      <w:r w:rsidRPr="008C3E8D">
        <w:rPr>
          <w:rFonts w:ascii="Times New Roman" w:hAnsi="Times New Roman"/>
          <w:i/>
          <w:iCs/>
          <w:szCs w:val="24"/>
        </w:rPr>
        <w:t>Australasian Political Studies Asso</w:t>
      </w:r>
      <w:r w:rsidRPr="008C3E8D">
        <w:rPr>
          <w:rFonts w:ascii="Times New Roman" w:hAnsi="Times New Roman"/>
          <w:i/>
          <w:iCs/>
          <w:szCs w:val="24"/>
        </w:rPr>
        <w:t>ciation Conference, Adelaide (29 Sept-1 Oct 2004)</w:t>
      </w:r>
      <w:r w:rsidRPr="008C3E8D">
        <w:rPr>
          <w:rFonts w:ascii="Times New Roman" w:hAnsi="Times New Roman"/>
          <w:szCs w:val="24"/>
        </w:rPr>
        <w:t xml:space="preserve"> (2004).</w:t>
      </w:r>
      <w:r w:rsidRPr="008C3E8D">
        <w:rPr>
          <w:rFonts w:ascii="Times New Roman" w:hAnsi="Times New Roman"/>
        </w:rPr>
        <w:fldChar w:fldCharType="end"/>
      </w:r>
    </w:p>
  </w:footnote>
  <w:footnote w:id="11">
    <w:p w:rsidR="00474495" w:rsidRDefault="000D4A7F">
      <w:pPr>
        <w:pStyle w:val="FootnoteText"/>
      </w:pPr>
      <w:r w:rsidRPr="008C3E8D">
        <w:rPr>
          <w:rStyle w:val="FootnoteReference"/>
          <w:rFonts w:ascii="Times New Roman" w:hAnsi="Times New Roman"/>
        </w:rPr>
        <w:footnoteRef/>
      </w:r>
      <w:r w:rsidRPr="008C3E8D">
        <w:rPr>
          <w:rFonts w:ascii="Times New Roman" w:hAnsi="Times New Roman"/>
        </w:rPr>
        <w:t xml:space="preserve"> </w:t>
      </w:r>
      <w:r w:rsidRPr="008C3E8D">
        <w:rPr>
          <w:rFonts w:ascii="Times New Roman" w:hAnsi="Times New Roman"/>
        </w:rPr>
        <w:fldChar w:fldCharType="begin"/>
      </w:r>
      <w:r w:rsidRPr="008C3E8D">
        <w:rPr>
          <w:rFonts w:ascii="Times New Roman" w:hAnsi="Times New Roman"/>
        </w:rPr>
        <w:instrText xml:space="preserve"> ADDIN ZOTERO_ITEM CSL_CITATION {"citationID":"CuqVZ48v","properties":{"formattedCitation":"Andrew Byrnes, Hilary Charlesworth and Gabrielle McKinnon, {\\i{}Bills of Rights in Australia: Histor</w:instrText>
      </w:r>
      <w:r w:rsidRPr="008C3E8D">
        <w:rPr>
          <w:rFonts w:ascii="Times New Roman" w:hAnsi="Times New Roman"/>
        </w:rPr>
        <w:instrText>y, Politics and Law} (UNSW Press, 2009).","plainCitation":"Andrew Byrnes, Hilary Charlesworth and Gabrielle McKinnon, Bills of Rights in Australia: History, Politics and Law (UNSW Press, 2009).","noteIndex":11},"citationItems":[{"id":77,"uris":["http://zot</w:instrText>
      </w:r>
      <w:r w:rsidRPr="008C3E8D">
        <w:rPr>
          <w:rFonts w:ascii="Times New Roman" w:hAnsi="Times New Roman"/>
        </w:rPr>
        <w:instrText>ero.org/users/local/qLzeF6Hj/items/L5NPQWNU"],"uri":["http://zotero.org/users/local/qLzeF6Hj/items/L5NPQWNU"],"itemData":{"id":77,"type":"book","title":"Bills of Rights in Australia: History, politics and law","publisher":"UNSW Press","ISBN":"1-921410-17-5</w:instrText>
      </w:r>
      <w:r w:rsidRPr="008C3E8D">
        <w:rPr>
          <w:rFonts w:ascii="Times New Roman" w:hAnsi="Times New Roman"/>
        </w:rPr>
        <w:instrText>","author":[{"family":"Byrnes","given":"Andrew"},{"family":"Charlesworth","given":"Hilary"},{"family":"McKinnon","given":"Gabrielle"}],"issued":{"date-parts":[["2009"]]}}}],"schema":"https://github.com/citation-style-language/schema/raw/master/csl-citation</w:instrText>
      </w:r>
      <w:r w:rsidRPr="008C3E8D">
        <w:rPr>
          <w:rFonts w:ascii="Times New Roman" w:hAnsi="Times New Roman"/>
        </w:rPr>
        <w:instrText xml:space="preserve">.json"} </w:instrText>
      </w:r>
      <w:r w:rsidRPr="008C3E8D">
        <w:rPr>
          <w:rFonts w:ascii="Times New Roman" w:hAnsi="Times New Roman"/>
        </w:rPr>
        <w:fldChar w:fldCharType="separate"/>
      </w:r>
      <w:r w:rsidRPr="008C3E8D">
        <w:rPr>
          <w:rFonts w:ascii="Times New Roman" w:hAnsi="Times New Roman"/>
          <w:szCs w:val="24"/>
        </w:rPr>
        <w:t xml:space="preserve">Andrew Byrnes, Hilary Charlesworth and Gabrielle McKinnon, </w:t>
      </w:r>
      <w:r w:rsidRPr="008C3E8D">
        <w:rPr>
          <w:rFonts w:ascii="Times New Roman" w:hAnsi="Times New Roman"/>
          <w:i/>
          <w:iCs/>
          <w:szCs w:val="24"/>
        </w:rPr>
        <w:t>Bills of Rights in Australia: History, Politics, and Law</w:t>
      </w:r>
      <w:r w:rsidRPr="008C3E8D">
        <w:rPr>
          <w:rFonts w:ascii="Times New Roman" w:hAnsi="Times New Roman"/>
          <w:szCs w:val="24"/>
        </w:rPr>
        <w:t xml:space="preserve"> (UNSW Press, 2009).</w:t>
      </w:r>
      <w:r w:rsidRPr="008C3E8D">
        <w:rPr>
          <w:rFonts w:ascii="Times New Roman" w:hAnsi="Times New Roman"/>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875" w:rsidRPr="00CF4875" w:rsidRDefault="000D4A7F">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4666A5">
      <w:rPr>
        <w:rFonts w:ascii="Times" w:hAnsi="Times" w:cs="Times"/>
        <w:noProof/>
        <w:sz w:val="24"/>
        <w:szCs w:val="24"/>
      </w:rPr>
      <w:t>2</w:t>
    </w:r>
    <w:r w:rsidRPr="00CF4875">
      <w:rPr>
        <w:rFonts w:ascii="Times" w:hAnsi="Times" w:cs="Times"/>
        <w:noProof/>
        <w:sz w:val="24"/>
        <w:szCs w:val="24"/>
      </w:rPr>
      <w:fldChar w:fldCharType="end"/>
    </w:r>
  </w:p>
  <w:p w:rsidR="00CF4875" w:rsidRDefault="00CF4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26F5B"/>
    <w:multiLevelType w:val="hybridMultilevel"/>
    <w:tmpl w:val="C9D6AFB4"/>
    <w:lvl w:ilvl="0" w:tplc="F0BA93AC">
      <w:start w:val="1"/>
      <w:numFmt w:val="decimal"/>
      <w:lvlText w:val="%1."/>
      <w:lvlJc w:val="left"/>
      <w:pPr>
        <w:ind w:left="720" w:hanging="360"/>
      </w:pPr>
      <w:rPr>
        <w:rFonts w:hint="default"/>
      </w:rPr>
    </w:lvl>
    <w:lvl w:ilvl="1" w:tplc="9FD4F870" w:tentative="1">
      <w:start w:val="1"/>
      <w:numFmt w:val="lowerLetter"/>
      <w:lvlText w:val="%2."/>
      <w:lvlJc w:val="left"/>
      <w:pPr>
        <w:ind w:left="1440" w:hanging="360"/>
      </w:pPr>
    </w:lvl>
    <w:lvl w:ilvl="2" w:tplc="6F160A86" w:tentative="1">
      <w:start w:val="1"/>
      <w:numFmt w:val="lowerRoman"/>
      <w:lvlText w:val="%3."/>
      <w:lvlJc w:val="right"/>
      <w:pPr>
        <w:ind w:left="2160" w:hanging="180"/>
      </w:pPr>
    </w:lvl>
    <w:lvl w:ilvl="3" w:tplc="3696A48E" w:tentative="1">
      <w:start w:val="1"/>
      <w:numFmt w:val="decimal"/>
      <w:lvlText w:val="%4."/>
      <w:lvlJc w:val="left"/>
      <w:pPr>
        <w:ind w:left="2880" w:hanging="360"/>
      </w:pPr>
    </w:lvl>
    <w:lvl w:ilvl="4" w:tplc="64429E52" w:tentative="1">
      <w:start w:val="1"/>
      <w:numFmt w:val="lowerLetter"/>
      <w:lvlText w:val="%5."/>
      <w:lvlJc w:val="left"/>
      <w:pPr>
        <w:ind w:left="3600" w:hanging="360"/>
      </w:pPr>
    </w:lvl>
    <w:lvl w:ilvl="5" w:tplc="3AE6E098" w:tentative="1">
      <w:start w:val="1"/>
      <w:numFmt w:val="lowerRoman"/>
      <w:lvlText w:val="%6."/>
      <w:lvlJc w:val="right"/>
      <w:pPr>
        <w:ind w:left="4320" w:hanging="180"/>
      </w:pPr>
    </w:lvl>
    <w:lvl w:ilvl="6" w:tplc="DF1A89B8" w:tentative="1">
      <w:start w:val="1"/>
      <w:numFmt w:val="decimal"/>
      <w:lvlText w:val="%7."/>
      <w:lvlJc w:val="left"/>
      <w:pPr>
        <w:ind w:left="5040" w:hanging="360"/>
      </w:pPr>
    </w:lvl>
    <w:lvl w:ilvl="7" w:tplc="E1D0937A" w:tentative="1">
      <w:start w:val="1"/>
      <w:numFmt w:val="lowerLetter"/>
      <w:lvlText w:val="%8."/>
      <w:lvlJc w:val="left"/>
      <w:pPr>
        <w:ind w:left="5760" w:hanging="360"/>
      </w:pPr>
    </w:lvl>
    <w:lvl w:ilvl="8" w:tplc="2C68192C" w:tentative="1">
      <w:start w:val="1"/>
      <w:numFmt w:val="lowerRoman"/>
      <w:lvlText w:val="%9."/>
      <w:lvlJc w:val="right"/>
      <w:pPr>
        <w:ind w:left="6480" w:hanging="180"/>
      </w:pPr>
    </w:lvl>
  </w:abstractNum>
  <w:abstractNum w:abstractNumId="1" w15:restartNumberingAfterBreak="0">
    <w:nsid w:val="707B614A"/>
    <w:multiLevelType w:val="hybridMultilevel"/>
    <w:tmpl w:val="B7A48E1C"/>
    <w:lvl w:ilvl="0" w:tplc="0BA627D6">
      <w:start w:val="1"/>
      <w:numFmt w:val="decimal"/>
      <w:lvlText w:val="%1."/>
      <w:lvlJc w:val="left"/>
      <w:pPr>
        <w:ind w:left="720" w:hanging="360"/>
      </w:pPr>
      <w:rPr>
        <w:rFonts w:hint="default"/>
      </w:rPr>
    </w:lvl>
    <w:lvl w:ilvl="1" w:tplc="C476930C" w:tentative="1">
      <w:start w:val="1"/>
      <w:numFmt w:val="lowerLetter"/>
      <w:lvlText w:val="%2."/>
      <w:lvlJc w:val="left"/>
      <w:pPr>
        <w:ind w:left="1440" w:hanging="360"/>
      </w:pPr>
    </w:lvl>
    <w:lvl w:ilvl="2" w:tplc="9FA02750" w:tentative="1">
      <w:start w:val="1"/>
      <w:numFmt w:val="lowerRoman"/>
      <w:lvlText w:val="%3."/>
      <w:lvlJc w:val="right"/>
      <w:pPr>
        <w:ind w:left="2160" w:hanging="180"/>
      </w:pPr>
    </w:lvl>
    <w:lvl w:ilvl="3" w:tplc="709EF262" w:tentative="1">
      <w:start w:val="1"/>
      <w:numFmt w:val="decimal"/>
      <w:lvlText w:val="%4."/>
      <w:lvlJc w:val="left"/>
      <w:pPr>
        <w:ind w:left="2880" w:hanging="360"/>
      </w:pPr>
    </w:lvl>
    <w:lvl w:ilvl="4" w:tplc="46CC6D7E" w:tentative="1">
      <w:start w:val="1"/>
      <w:numFmt w:val="lowerLetter"/>
      <w:lvlText w:val="%5."/>
      <w:lvlJc w:val="left"/>
      <w:pPr>
        <w:ind w:left="3600" w:hanging="360"/>
      </w:pPr>
    </w:lvl>
    <w:lvl w:ilvl="5" w:tplc="F79E0842" w:tentative="1">
      <w:start w:val="1"/>
      <w:numFmt w:val="lowerRoman"/>
      <w:lvlText w:val="%6."/>
      <w:lvlJc w:val="right"/>
      <w:pPr>
        <w:ind w:left="4320" w:hanging="180"/>
      </w:pPr>
    </w:lvl>
    <w:lvl w:ilvl="6" w:tplc="263AC872" w:tentative="1">
      <w:start w:val="1"/>
      <w:numFmt w:val="decimal"/>
      <w:lvlText w:val="%7."/>
      <w:lvlJc w:val="left"/>
      <w:pPr>
        <w:ind w:left="5040" w:hanging="360"/>
      </w:pPr>
    </w:lvl>
    <w:lvl w:ilvl="7" w:tplc="79AE865E" w:tentative="1">
      <w:start w:val="1"/>
      <w:numFmt w:val="lowerLetter"/>
      <w:lvlText w:val="%8."/>
      <w:lvlJc w:val="left"/>
      <w:pPr>
        <w:ind w:left="5760" w:hanging="360"/>
      </w:pPr>
    </w:lvl>
    <w:lvl w:ilvl="8" w:tplc="44FE568E"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2Mje1MDAzNDEwNTBQ0lEKTi0uzszPAykwrAUAIh+gwiwAAAA="/>
  </w:docVars>
  <w:rsids>
    <w:rsidRoot w:val="00CF4875"/>
    <w:rsid w:val="00002D6D"/>
    <w:rsid w:val="00003136"/>
    <w:rsid w:val="00010D47"/>
    <w:rsid w:val="0003515B"/>
    <w:rsid w:val="00041DF5"/>
    <w:rsid w:val="000458B3"/>
    <w:rsid w:val="00047132"/>
    <w:rsid w:val="000637DF"/>
    <w:rsid w:val="000701A4"/>
    <w:rsid w:val="000B3AA8"/>
    <w:rsid w:val="000B6F57"/>
    <w:rsid w:val="000D4A7F"/>
    <w:rsid w:val="000E57ED"/>
    <w:rsid w:val="0010440A"/>
    <w:rsid w:val="00112DBA"/>
    <w:rsid w:val="00125D86"/>
    <w:rsid w:val="00132C17"/>
    <w:rsid w:val="00134511"/>
    <w:rsid w:val="00150F2D"/>
    <w:rsid w:val="00164042"/>
    <w:rsid w:val="00166CE0"/>
    <w:rsid w:val="00190115"/>
    <w:rsid w:val="00190D3C"/>
    <w:rsid w:val="001911D3"/>
    <w:rsid w:val="00195BD5"/>
    <w:rsid w:val="001A038A"/>
    <w:rsid w:val="001A3E43"/>
    <w:rsid w:val="001A5D46"/>
    <w:rsid w:val="001A7D25"/>
    <w:rsid w:val="001B459E"/>
    <w:rsid w:val="001B4E5F"/>
    <w:rsid w:val="001C3F29"/>
    <w:rsid w:val="001E1FDC"/>
    <w:rsid w:val="001F0653"/>
    <w:rsid w:val="001F642C"/>
    <w:rsid w:val="00204A57"/>
    <w:rsid w:val="002074DB"/>
    <w:rsid w:val="00253BC4"/>
    <w:rsid w:val="002559E7"/>
    <w:rsid w:val="00275C03"/>
    <w:rsid w:val="00281F0A"/>
    <w:rsid w:val="002859AC"/>
    <w:rsid w:val="00292B1A"/>
    <w:rsid w:val="002A18F2"/>
    <w:rsid w:val="002A2598"/>
    <w:rsid w:val="002A6767"/>
    <w:rsid w:val="002B0B11"/>
    <w:rsid w:val="002B163A"/>
    <w:rsid w:val="002C08CF"/>
    <w:rsid w:val="002C7A0D"/>
    <w:rsid w:val="002D0E49"/>
    <w:rsid w:val="002D3253"/>
    <w:rsid w:val="0030419C"/>
    <w:rsid w:val="00334413"/>
    <w:rsid w:val="003513D2"/>
    <w:rsid w:val="00354947"/>
    <w:rsid w:val="00356892"/>
    <w:rsid w:val="003601EE"/>
    <w:rsid w:val="00372754"/>
    <w:rsid w:val="003A3A7D"/>
    <w:rsid w:val="003B380B"/>
    <w:rsid w:val="003F112C"/>
    <w:rsid w:val="003F580B"/>
    <w:rsid w:val="00426128"/>
    <w:rsid w:val="00434569"/>
    <w:rsid w:val="00447A3F"/>
    <w:rsid w:val="00453FC7"/>
    <w:rsid w:val="00455976"/>
    <w:rsid w:val="004666A5"/>
    <w:rsid w:val="00467841"/>
    <w:rsid w:val="00474495"/>
    <w:rsid w:val="00474842"/>
    <w:rsid w:val="004911A2"/>
    <w:rsid w:val="004A4FC2"/>
    <w:rsid w:val="004B2C07"/>
    <w:rsid w:val="004C76F4"/>
    <w:rsid w:val="004D0B58"/>
    <w:rsid w:val="004F5E5B"/>
    <w:rsid w:val="00513984"/>
    <w:rsid w:val="0052298A"/>
    <w:rsid w:val="00541034"/>
    <w:rsid w:val="00550C63"/>
    <w:rsid w:val="00550CF7"/>
    <w:rsid w:val="00557945"/>
    <w:rsid w:val="00557A99"/>
    <w:rsid w:val="00565CC6"/>
    <w:rsid w:val="005865AB"/>
    <w:rsid w:val="005921FF"/>
    <w:rsid w:val="00597364"/>
    <w:rsid w:val="00597F02"/>
    <w:rsid w:val="005D3382"/>
    <w:rsid w:val="005D3CAA"/>
    <w:rsid w:val="005E0FB0"/>
    <w:rsid w:val="005F3742"/>
    <w:rsid w:val="005F6CC5"/>
    <w:rsid w:val="00625770"/>
    <w:rsid w:val="00630CF4"/>
    <w:rsid w:val="00637C36"/>
    <w:rsid w:val="00650447"/>
    <w:rsid w:val="00651617"/>
    <w:rsid w:val="00652AFA"/>
    <w:rsid w:val="006551FE"/>
    <w:rsid w:val="0065565E"/>
    <w:rsid w:val="00661129"/>
    <w:rsid w:val="0069524F"/>
    <w:rsid w:val="006B2697"/>
    <w:rsid w:val="006B333A"/>
    <w:rsid w:val="006B665D"/>
    <w:rsid w:val="006C056D"/>
    <w:rsid w:val="006C42E7"/>
    <w:rsid w:val="006F4564"/>
    <w:rsid w:val="006F6393"/>
    <w:rsid w:val="006F7873"/>
    <w:rsid w:val="00724DDE"/>
    <w:rsid w:val="00734051"/>
    <w:rsid w:val="00756410"/>
    <w:rsid w:val="00784DF3"/>
    <w:rsid w:val="00796864"/>
    <w:rsid w:val="007A7471"/>
    <w:rsid w:val="007D6F34"/>
    <w:rsid w:val="00804CA6"/>
    <w:rsid w:val="00817E2C"/>
    <w:rsid w:val="00826D83"/>
    <w:rsid w:val="00827921"/>
    <w:rsid w:val="0084624E"/>
    <w:rsid w:val="00853AFF"/>
    <w:rsid w:val="00857D18"/>
    <w:rsid w:val="00862F8D"/>
    <w:rsid w:val="0086397C"/>
    <w:rsid w:val="008A05EE"/>
    <w:rsid w:val="008A1A90"/>
    <w:rsid w:val="008C0606"/>
    <w:rsid w:val="008C3E8D"/>
    <w:rsid w:val="008C44C3"/>
    <w:rsid w:val="008D6D76"/>
    <w:rsid w:val="008E168D"/>
    <w:rsid w:val="00916431"/>
    <w:rsid w:val="00920C9A"/>
    <w:rsid w:val="00962ABF"/>
    <w:rsid w:val="009636CE"/>
    <w:rsid w:val="00973CB9"/>
    <w:rsid w:val="0097666E"/>
    <w:rsid w:val="009835BF"/>
    <w:rsid w:val="009E20DB"/>
    <w:rsid w:val="009E5E3F"/>
    <w:rsid w:val="009F68CF"/>
    <w:rsid w:val="00A063BB"/>
    <w:rsid w:val="00A12FD5"/>
    <w:rsid w:val="00A27BD7"/>
    <w:rsid w:val="00A52154"/>
    <w:rsid w:val="00A674D4"/>
    <w:rsid w:val="00A70B94"/>
    <w:rsid w:val="00A73D2A"/>
    <w:rsid w:val="00A81FF8"/>
    <w:rsid w:val="00A8421E"/>
    <w:rsid w:val="00A84906"/>
    <w:rsid w:val="00A8560C"/>
    <w:rsid w:val="00A9293F"/>
    <w:rsid w:val="00AC45D8"/>
    <w:rsid w:val="00AC7249"/>
    <w:rsid w:val="00AD0800"/>
    <w:rsid w:val="00AD661A"/>
    <w:rsid w:val="00AE02F1"/>
    <w:rsid w:val="00B10097"/>
    <w:rsid w:val="00B103A2"/>
    <w:rsid w:val="00B27A1D"/>
    <w:rsid w:val="00B37A56"/>
    <w:rsid w:val="00B65565"/>
    <w:rsid w:val="00B81628"/>
    <w:rsid w:val="00BA3BA7"/>
    <w:rsid w:val="00BC6A8C"/>
    <w:rsid w:val="00BD617F"/>
    <w:rsid w:val="00BF1E79"/>
    <w:rsid w:val="00C32FFD"/>
    <w:rsid w:val="00C54C98"/>
    <w:rsid w:val="00C55AE0"/>
    <w:rsid w:val="00C606ED"/>
    <w:rsid w:val="00C71181"/>
    <w:rsid w:val="00C8119A"/>
    <w:rsid w:val="00CA07BD"/>
    <w:rsid w:val="00CC7922"/>
    <w:rsid w:val="00CF4875"/>
    <w:rsid w:val="00D07E43"/>
    <w:rsid w:val="00D12089"/>
    <w:rsid w:val="00D14E5D"/>
    <w:rsid w:val="00D20476"/>
    <w:rsid w:val="00D360A7"/>
    <w:rsid w:val="00D639A1"/>
    <w:rsid w:val="00D65CA1"/>
    <w:rsid w:val="00D6664A"/>
    <w:rsid w:val="00D70195"/>
    <w:rsid w:val="00D8267D"/>
    <w:rsid w:val="00D94FDD"/>
    <w:rsid w:val="00DD0C78"/>
    <w:rsid w:val="00DF0E44"/>
    <w:rsid w:val="00E02F7A"/>
    <w:rsid w:val="00E268F4"/>
    <w:rsid w:val="00E839A3"/>
    <w:rsid w:val="00ED26A0"/>
    <w:rsid w:val="00ED28A0"/>
    <w:rsid w:val="00EE2158"/>
    <w:rsid w:val="00F12718"/>
    <w:rsid w:val="00F15FB4"/>
    <w:rsid w:val="00F2411F"/>
    <w:rsid w:val="00F35EA2"/>
    <w:rsid w:val="00F423B2"/>
    <w:rsid w:val="00F4279B"/>
    <w:rsid w:val="00F77C10"/>
    <w:rsid w:val="00F92E1B"/>
    <w:rsid w:val="00FB2C5F"/>
    <w:rsid w:val="00FD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CA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240" w:line="240" w:lineRule="auto"/>
    </w:pPr>
  </w:style>
  <w:style w:type="paragraph" w:styleId="ListParagraph">
    <w:name w:val="List Paragraph"/>
    <w:basedOn w:val="Normal"/>
    <w:uiPriority w:val="34"/>
    <w:qFormat/>
    <w:rsid w:val="00285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69FD4D-C36D-495E-BB97-745E9EB4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2019-05-06T07:55:00Z</dcterms:created>
  <dcterms:modified xsi:type="dcterms:W3CDTF">2019-09-19T00:47:00Z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id="ALdI6MXu"/&gt;&lt;style id="http://www.zotero.org/styles/australian-guide-to-legal-citation" hasBibliography="1" bibliographyStyleHasBeenSet="1"/&gt;&lt;prefs&gt;&lt;pref name="fieldType" value="Field"/&gt;&lt;pref name</vt:lpwstr>
  </property>
  <property fmtid="{D5CDD505-2E9C-101B-9397-08002B2CF9AE}" pid="3" name="ZOTERO_PREF_2">
    <vt:lpwstr>="automaticJournalAbbreviations" value="true"/&gt;&lt;pref name="noteType" value="1"/&gt;&lt;/prefs&gt;&lt;/data&gt;</vt:lpwstr>
  </property>
</Properties>
</file>