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7F3E9E">
      <w:pPr>
        <w:pStyle w:val="Title"/>
      </w:pPr>
      <w:r>
        <w:t>Patient Safety and Clinical Quality in Complex Nursing Care</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237F44"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sdt>
      <w:sdtPr>
        <w:alias w:val="Author Note:"/>
        <w:tag w:val="Author Note:"/>
        <w:id w:val="266668659"/>
        <w:placeholder>
          <w:docPart w:val="ADFEBB1CABB9456CA7D917C9ED2AAF05"/>
        </w:placeholder>
        <w:temporary/>
        <w:showingPlcHdr/>
        <w15:appearance w15:val="hidden"/>
      </w:sdtPr>
      <w:sdtEndPr/>
      <w:sdtContent>
        <w:p w:rsidR="00E81978" w:rsidRDefault="005D3A03">
          <w:pPr>
            <w:pStyle w:val="Title"/>
          </w:pPr>
          <w:r>
            <w:t>Author Note</w:t>
          </w:r>
        </w:p>
      </w:sdtContent>
    </w:sdt>
    <w:p w:rsidR="00E81978" w:rsidRDefault="00E81978" w:rsidP="00B823AA">
      <w:pPr>
        <w:pStyle w:val="Title2"/>
      </w:pPr>
    </w:p>
    <w:p w:rsidR="00E81978" w:rsidRDefault="00E81978"/>
    <w:p w:rsidR="002F170D" w:rsidRDefault="007F3E9E" w:rsidP="002F170D">
      <w:pPr>
        <w:pStyle w:val="SectionTitle"/>
      </w:pPr>
      <w:r>
        <w:lastRenderedPageBreak/>
        <w:t>Patient Safety and Clinical Quality in Complex Nursing Care</w:t>
      </w:r>
    </w:p>
    <w:p w:rsidR="002F170D" w:rsidRPr="006859FB" w:rsidRDefault="007F3E9E" w:rsidP="006859FB">
      <w:pPr>
        <w:pStyle w:val="Heading1"/>
      </w:pPr>
      <w:r w:rsidRPr="006859FB">
        <w:t>Description</w:t>
      </w:r>
    </w:p>
    <w:p w:rsidR="007F3E9E" w:rsidRDefault="007F3E9E" w:rsidP="002F170D">
      <w:r>
        <w:tab/>
      </w:r>
      <w:r w:rsidR="007B6524">
        <w:t>The first activity required me to study the case of an 84</w:t>
      </w:r>
      <w:r w:rsidR="002B72AC">
        <w:t>-year-</w:t>
      </w:r>
      <w:r w:rsidR="007B6524">
        <w:t>old Mrs. Collins, who suffered a fall in the confines of her own home and was taken to the hospital for further treatment. The video described her condition up to 12 weeks of her first fall, detailing her present state and how it affected her and those around her. The second activity contained a video showing clinicians the drawbacks and genuine health concerns associated with allogeneic blood transfusions. It showed the change in the flow of red blood cells t</w:t>
      </w:r>
      <w:r w:rsidR="002B72AC">
        <w:t>h</w:t>
      </w:r>
      <w:r w:rsidR="007B6524">
        <w:t>rough the body pre-transfusion and post-transfusion of allogeneic blood products.</w:t>
      </w:r>
    </w:p>
    <w:p w:rsidR="006859FB" w:rsidRDefault="006859FB" w:rsidP="002F170D"/>
    <w:p w:rsidR="007F3E9E" w:rsidRPr="006859FB" w:rsidRDefault="007F3E9E" w:rsidP="007B6524">
      <w:pPr>
        <w:pStyle w:val="Heading2"/>
        <w:rPr>
          <w:b w:val="0"/>
        </w:rPr>
      </w:pPr>
      <w:r>
        <w:tab/>
      </w:r>
      <w:r w:rsidRPr="006859FB">
        <w:rPr>
          <w:b w:val="0"/>
          <w:i/>
        </w:rPr>
        <w:t>Feelings</w:t>
      </w:r>
    </w:p>
    <w:p w:rsidR="007B6524" w:rsidRDefault="007B6524" w:rsidP="002F170D">
      <w:r>
        <w:t xml:space="preserve">The first activity </w:t>
      </w:r>
      <w:r w:rsidR="00821C56">
        <w:t xml:space="preserve">makes me believe </w:t>
      </w:r>
      <w:r>
        <w:t xml:space="preserve">that there was a whole lot more than could be done for Mrs. Collins. </w:t>
      </w:r>
      <w:r w:rsidR="006859FB">
        <w:t>T</w:t>
      </w:r>
      <w:r>
        <w:t xml:space="preserve">here should have been a system already in place to support older patients, especially when they are prone to frequent falls. On the other hand, the second activity surprised me slightly. Allogeneic </w:t>
      </w:r>
      <w:r w:rsidR="00BD43A3">
        <w:t>blood transfusions, in my opinion</w:t>
      </w:r>
      <w:r w:rsidR="002B72AC">
        <w:t>,</w:t>
      </w:r>
      <w:r w:rsidR="00BD43A3">
        <w:t xml:space="preserve"> was life altering in the field of medicine. It gave patients a chance at survival when there were none. However, </w:t>
      </w:r>
      <w:r w:rsidR="00821C56">
        <w:t xml:space="preserve">hearing the views of experts on the subject, of how they disapprove of using blood transfusion </w:t>
      </w:r>
      <w:r w:rsidR="00BD43A3">
        <w:t xml:space="preserve">and </w:t>
      </w:r>
      <w:r w:rsidR="00821C56">
        <w:t xml:space="preserve">the way they proved </w:t>
      </w:r>
      <w:r w:rsidR="00F5272D">
        <w:t xml:space="preserve">their point was enough to have me research the subject further. Prior to these activities, I believe that my ability to </w:t>
      </w:r>
      <w:r w:rsidR="00821C56">
        <w:t>take</w:t>
      </w:r>
      <w:r w:rsidR="00F5272D">
        <w:t xml:space="preserve"> care of </w:t>
      </w:r>
      <w:r w:rsidR="002B72AC">
        <w:t xml:space="preserve">the </w:t>
      </w:r>
      <w:r w:rsidR="00F5272D">
        <w:t>e</w:t>
      </w:r>
      <w:r w:rsidR="00B2722B">
        <w:t>lderly, fall prone patients</w:t>
      </w:r>
      <w:r w:rsidR="00821C56">
        <w:t xml:space="preserve"> and look after them</w:t>
      </w:r>
      <w:r w:rsidR="00B2722B">
        <w:t xml:space="preserve"> was fairly limited. Now I am better aware of how to handle such a case delicately and identify areas that need my attention. Similarly, I now am aware of better alternatives to allogeneic blood transfusions in response to certain medical conditions, if they may arise. </w:t>
      </w:r>
    </w:p>
    <w:p w:rsidR="006859FB" w:rsidRDefault="006859FB" w:rsidP="002F170D"/>
    <w:p w:rsidR="007F3E9E" w:rsidRPr="006859FB" w:rsidRDefault="007F3E9E" w:rsidP="006859FB">
      <w:pPr>
        <w:pStyle w:val="Heading1"/>
      </w:pPr>
      <w:r w:rsidRPr="006859FB">
        <w:lastRenderedPageBreak/>
        <w:t>Evaluation</w:t>
      </w:r>
    </w:p>
    <w:p w:rsidR="00F5272D" w:rsidRDefault="00AA661B" w:rsidP="00AA661B">
      <w:r>
        <w:t xml:space="preserve">Both activities were incredibly useful since I learned that due attention isn’t paid to patient care and wellbeing in both these areas. </w:t>
      </w:r>
      <w:r w:rsidR="00821C56">
        <w:t xml:space="preserve">Older patients </w:t>
      </w:r>
      <w:r>
        <w:t xml:space="preserve">need special attention and care, especially when they are fall prone and are suffering through </w:t>
      </w:r>
      <w:r w:rsidR="002B72AC">
        <w:t xml:space="preserve">the </w:t>
      </w:r>
      <w:r>
        <w:t xml:space="preserve">early stages of dementia. The number of elderly being hospitalized for falls in a year alone is around 450,000 reportedly, which is escalating every day </w:t>
      </w:r>
      <w:r>
        <w:fldChar w:fldCharType="begin"/>
      </w:r>
      <w:r w:rsidR="006859FB">
        <w:instrText xml:space="preserve"> ADDIN ZOTERO_ITEM CSL_CITATION {"citationID":"cSnmQvCS","properties":{"formattedCitation":"(Treml et al., 2011)","plainCitation":"(Treml et al., 2011)","noteIndex":0},"citationItems":[{"id":201,"uris":["http://zotero.org/users/local/0omESN17/items/5SIICM5F"],"uri":["http://zotero.org/users/local/0omESN17/items/5SIICM5F"],"itemData":{"id":201,"type":"article-journal","title":"Falling standards, broken promises: Report of the national audit of falls and bone health in older people 2010","container-title":"London: Royal College of Physicians","author":[{"family":"Treml","given":"J."},{"family":"Husk","given":"J."},{"family":"Lowe","given":"D."},{"family":"Vasilakis","given":"N."}],"issued":{"date-parts":[["2011"]]}}}],"schema":"https://github.com/citation-style-language/schema/raw/master/csl-citation.json"} </w:instrText>
      </w:r>
      <w:r>
        <w:fldChar w:fldCharType="separate"/>
      </w:r>
      <w:r w:rsidR="006859FB" w:rsidRPr="006859FB">
        <w:rPr>
          <w:rFonts w:ascii="Times New Roman" w:hAnsi="Times New Roman" w:cs="Times New Roman"/>
        </w:rPr>
        <w:t>(Treml et al., 2011)</w:t>
      </w:r>
      <w:r>
        <w:fldChar w:fldCharType="end"/>
      </w:r>
      <w:r>
        <w:t>. Thus, learning the common factors that become the cause of patients falling at home, along with the recognition of basic risk assessment and why do these fall</w:t>
      </w:r>
      <w:r w:rsidR="002B72AC">
        <w:t>s</w:t>
      </w:r>
      <w:r>
        <w:t xml:space="preserve"> recur, with the interventions that can be used is rather important </w:t>
      </w:r>
      <w:r>
        <w:fldChar w:fldCharType="begin"/>
      </w:r>
      <w:r w:rsidR="006859FB">
        <w:instrText xml:space="preserve"> ADDIN ZOTERO_ITEM CSL_CITATION {"citationID":"0Oz3nDUw","properties":{"formattedCitation":"(Jones and Whitaker, 2011)","plainCitation":"(Jones and Whitaker, 2011)","noteIndex":0},"citationItems":[{"id":202,"uris":["http://zotero.org/users/local/0omESN17/items/IET57D5L"],"uri":["http://zotero.org/users/local/0omESN17/items/IET57D5L"],"itemData":{"id":202,"type":"article-journal","title":"Preventing falls in older people: assessment and interventions","container-title":"Nursing Standard (through 2013)","page":"50","volume":"25","issue":"52","author":[{"family":"Jones","given":"David"},{"family":"Whitaker","given":"Tracy"}],"issued":{"date-parts":[["2011"]]}}}],"schema":"https://github.com/citation-style-language/schema/raw/master/csl-citation.json"} </w:instrText>
      </w:r>
      <w:r>
        <w:fldChar w:fldCharType="separate"/>
      </w:r>
      <w:r w:rsidR="006859FB" w:rsidRPr="006859FB">
        <w:rPr>
          <w:rFonts w:ascii="Times New Roman" w:hAnsi="Times New Roman" w:cs="Times New Roman"/>
        </w:rPr>
        <w:t>(Jones and Whitaker, 2011)</w:t>
      </w:r>
      <w:r>
        <w:fldChar w:fldCharType="end"/>
      </w:r>
      <w:r>
        <w:t>. Additionally, j</w:t>
      </w:r>
      <w:r w:rsidR="00F5272D">
        <w:t xml:space="preserve">ust as surprising it was to discover blood transfusions had drawbacks associated with them, it was equally as surprising for me </w:t>
      </w:r>
      <w:r w:rsidR="00821C56">
        <w:t xml:space="preserve">to know </w:t>
      </w:r>
      <w:r w:rsidR="00F5272D">
        <w:t>that various medical conditions, such as anemia as post-op blood loss can both be managed without blood transfusion</w:t>
      </w:r>
      <w:r>
        <w:t xml:space="preserve"> </w:t>
      </w:r>
      <w:sdt>
        <w:sdtPr>
          <w:id w:val="1485976458"/>
          <w:citation/>
        </w:sdtPr>
        <w:sdtEndPr/>
        <w:sdtContent>
          <w:r>
            <w:fldChar w:fldCharType="begin"/>
          </w:r>
          <w:r>
            <w:instrText xml:space="preserve"> CITATION Nat14 \l 1033 </w:instrText>
          </w:r>
          <w:r>
            <w:fldChar w:fldCharType="separate"/>
          </w:r>
          <w:r w:rsidR="00DF39C3" w:rsidRPr="00DF39C3">
            <w:rPr>
              <w:noProof/>
            </w:rPr>
            <w:t>(National Blood Authority, 2014)</w:t>
          </w:r>
          <w:r>
            <w:fldChar w:fldCharType="end"/>
          </w:r>
        </w:sdtContent>
      </w:sdt>
      <w:r w:rsidR="00F5272D">
        <w:t>.</w:t>
      </w:r>
    </w:p>
    <w:p w:rsidR="007F3E9E" w:rsidRDefault="007F3E9E" w:rsidP="002F170D"/>
    <w:p w:rsidR="007F3E9E" w:rsidRDefault="007F3E9E" w:rsidP="006859FB">
      <w:pPr>
        <w:pStyle w:val="Heading1"/>
      </w:pPr>
      <w:r>
        <w:t>Analysis</w:t>
      </w:r>
    </w:p>
    <w:p w:rsidR="007F3E9E" w:rsidRDefault="00665939" w:rsidP="002F170D">
      <w:r>
        <w:t xml:space="preserve">My personal experience with regard to both these activities was incredibly rewarding, especially given the fact that I was able to learn to recognize the basic risk assessment and the ways of interventions to deal will the falls. </w:t>
      </w:r>
      <w:r w:rsidRPr="00665939">
        <w:t xml:space="preserve">The </w:t>
      </w:r>
      <w:r w:rsidR="00F2062E" w:rsidRPr="00665939">
        <w:t>National Institute for Clinical E</w:t>
      </w:r>
      <w:r w:rsidR="00F2062E">
        <w:t>xcellence</w:t>
      </w:r>
      <w:r w:rsidR="00F2062E">
        <w:rPr>
          <w:noProof/>
        </w:rPr>
        <w:t>, (2004</w:t>
      </w:r>
      <w:r w:rsidRPr="00665939">
        <w:t xml:space="preserve">) states that a </w:t>
      </w:r>
      <w:r w:rsidR="00821C56">
        <w:t>‘</w:t>
      </w:r>
      <w:r w:rsidRPr="00665939">
        <w:t>fall</w:t>
      </w:r>
      <w:r w:rsidR="00821C56">
        <w:t>’</w:t>
      </w:r>
      <w:r w:rsidRPr="00665939">
        <w:t xml:space="preserve"> </w:t>
      </w:r>
      <w:r w:rsidR="00821C56">
        <w:t xml:space="preserve">is used to define an incident </w:t>
      </w:r>
      <w:r w:rsidRPr="00665939">
        <w:t xml:space="preserve">when an individual finds him or herself involuntarily on the ground. </w:t>
      </w:r>
      <w:r w:rsidR="00F2062E">
        <w:t xml:space="preserve">On the other hand, this activity was crucial for me to develop a deeper understanding </w:t>
      </w:r>
      <w:r w:rsidR="002B72AC">
        <w:t>of</w:t>
      </w:r>
      <w:r w:rsidR="00F2062E">
        <w:t xml:space="preserve"> allogeneic blood transfusion. I learned about reactions among patients with regard to blood transfusions and what kind of staff incidents and episodes to look out for, such as </w:t>
      </w:r>
      <w:r w:rsidR="006859FB">
        <w:t xml:space="preserve">IBCT i.e. Incorrect Blood Component Transfusions, where </w:t>
      </w:r>
      <w:r w:rsidR="00F2062E">
        <w:t>patients were transfused with blood that was meant for another patient</w:t>
      </w:r>
      <w:r w:rsidR="006859FB">
        <w:t xml:space="preserve"> </w:t>
      </w:r>
      <w:sdt>
        <w:sdtPr>
          <w:id w:val="-753900458"/>
          <w:citation/>
        </w:sdtPr>
        <w:sdtEndPr/>
        <w:sdtContent>
          <w:r w:rsidR="00821C56">
            <w:fldChar w:fldCharType="begin"/>
          </w:r>
          <w:r w:rsidR="00307F11">
            <w:instrText xml:space="preserve">CITATION DWa14 \l 1033 </w:instrText>
          </w:r>
          <w:r w:rsidR="00821C56">
            <w:fldChar w:fldCharType="separate"/>
          </w:r>
          <w:r w:rsidR="00DF39C3" w:rsidRPr="00DF39C3">
            <w:rPr>
              <w:noProof/>
            </w:rPr>
            <w:t>(Watson &amp; Denison, 2014)</w:t>
          </w:r>
          <w:r w:rsidR="00821C56">
            <w:fldChar w:fldCharType="end"/>
          </w:r>
        </w:sdtContent>
      </w:sdt>
      <w:r w:rsidR="00F2062E">
        <w:t>. Th</w:t>
      </w:r>
      <w:r w:rsidR="002B72AC">
        <w:t>is</w:t>
      </w:r>
      <w:r w:rsidR="00F2062E">
        <w:t xml:space="preserve"> activity brought me </w:t>
      </w:r>
      <w:r w:rsidR="00F2062E">
        <w:lastRenderedPageBreak/>
        <w:t xml:space="preserve">insight into how human errors, despite having the very best interests of our patients at heart, can result in dire consequences for our patients, especially with regard to things that are completely out of their control. </w:t>
      </w:r>
      <w:r w:rsidR="006859FB">
        <w:t>Thus, during my</w:t>
      </w:r>
      <w:r w:rsidR="00307F11">
        <w:t xml:space="preserve"> next</w:t>
      </w:r>
      <w:r w:rsidR="006859FB">
        <w:t xml:space="preserve"> clinical placement, I will try to mitigate the risks associated with </w:t>
      </w:r>
      <w:r w:rsidR="00821C56">
        <w:t xml:space="preserve">falls in </w:t>
      </w:r>
      <w:r w:rsidR="002B72AC">
        <w:t xml:space="preserve">the </w:t>
      </w:r>
      <w:r w:rsidR="00821C56">
        <w:t>older patient and work towards providing them with immediate initial assessment and care that could keep them from being limited to their beds for an extended period of time. Similarly, I will try my level best to minimize human errors associated with blood transfusions for patients and make the entire process relatively easy for patients, especially those that are in a delicate condition</w:t>
      </w:r>
      <w:r w:rsidR="00307F11">
        <w:t xml:space="preserve"> </w:t>
      </w:r>
      <w:r w:rsidR="00307F11">
        <w:fldChar w:fldCharType="begin"/>
      </w:r>
      <w:r w:rsidR="00307F11">
        <w:instrText xml:space="preserve"> ADDIN ZOTERO_ITEM CSL_CITATION {"citationID":"4nf0Ljlm","properties":{"formattedCitation":"(Goodnough and Shander, 2012)","plainCitation":"(Goodnough and Shander, 2012)","noteIndex":0},"citationItems":[{"id":203,"uris":["http://zotero.org/users/local/0omESN17/items/UEDQFN2E"],"uri":["http://zotero.org/users/local/0omESN17/items/UEDQFN2E"],"itemData":{"id":203,"type":"article-journal","title":"Patient blood management","container-title":"Anesthesiology: The Journal of the American Society of Anesthesiologists","page":"1367-1376","volume":"116","issue":"6","author":[{"family":"Goodnough","given":"Lawrence Tim"},{"family":"Shander","given":"Aryeh"}],"issued":{"date-parts":[["2012"]]}}}],"schema":"https://github.com/citation-style-language/schema/raw/master/csl-citation.json"} </w:instrText>
      </w:r>
      <w:r w:rsidR="00307F11">
        <w:fldChar w:fldCharType="separate"/>
      </w:r>
      <w:r w:rsidR="00307F11" w:rsidRPr="00307F11">
        <w:rPr>
          <w:rFonts w:ascii="Times New Roman" w:hAnsi="Times New Roman" w:cs="Times New Roman"/>
        </w:rPr>
        <w:t>(Goodnough and Shander, 2012)</w:t>
      </w:r>
      <w:r w:rsidR="00307F11">
        <w:fldChar w:fldCharType="end"/>
      </w:r>
      <w:r w:rsidR="00821C56">
        <w:t xml:space="preserve">. </w:t>
      </w:r>
    </w:p>
    <w:p w:rsidR="006859FB" w:rsidRDefault="006859FB" w:rsidP="002F170D"/>
    <w:p w:rsidR="007F3E9E" w:rsidRDefault="007F3E9E" w:rsidP="006859FB">
      <w:pPr>
        <w:pStyle w:val="Heading1"/>
      </w:pPr>
      <w:r>
        <w:t>Conclusion</w:t>
      </w:r>
    </w:p>
    <w:p w:rsidR="008F2B35" w:rsidRDefault="00307F11" w:rsidP="002F170D">
      <w:r>
        <w:t>My awareness o</w:t>
      </w:r>
      <w:r w:rsidR="002B72AC">
        <w:t>n</w:t>
      </w:r>
      <w:r>
        <w:t xml:space="preserve"> the subject ha</w:t>
      </w:r>
      <w:r w:rsidR="002B72AC">
        <w:t>s</w:t>
      </w:r>
      <w:r>
        <w:t xml:space="preserve"> certainly changed. I have learned that access to the right risk assessments tools is the key for the nurses to be able to implement proactive as well as practical measures that may help them identi</w:t>
      </w:r>
      <w:r w:rsidR="002B72AC">
        <w:t>f</w:t>
      </w:r>
      <w:r>
        <w:t>y who is at the greatest risk for falling</w:t>
      </w:r>
      <w:r w:rsidR="008F2B35">
        <w:t xml:space="preserve"> </w:t>
      </w:r>
      <w:r w:rsidR="008F2B35">
        <w:fldChar w:fldCharType="begin"/>
      </w:r>
      <w:r w:rsidR="008F2B35">
        <w:instrText xml:space="preserve"> ADDIN ZOTERO_ITEM CSL_CITATION {"citationID":"G9kRodM9","properties":{"formattedCitation":"(Carter et al., 2001)","plainCitation":"(Carter et al., 2001)","noteIndex":0},"citationItems":[{"id":205,"uris":["http://zotero.org/users/local/0omESN17/items/ZHRZLQGX"],"uri":["http://zotero.org/users/local/0omESN17/items/ZHRZLQGX"],"itemData":{"id":205,"type":"article-journal","title":"Exercise in the prevention of falls in older people","container-title":"Sports medicine","page":"427-438","volume":"31","issue":"6","author":[{"family":"Carter","given":"Nick D."},{"family":"Kannus","given":"Pekka"},{"family":"Khan","given":"Karim"}],"issued":{"date-parts":[["2001"]]}}}],"schema":"https://github.com/citation-style-language/schema/raw/master/csl-citation.json"} </w:instrText>
      </w:r>
      <w:r w:rsidR="008F2B35">
        <w:fldChar w:fldCharType="separate"/>
      </w:r>
      <w:r w:rsidR="008F2B35" w:rsidRPr="008F2B35">
        <w:rPr>
          <w:rFonts w:ascii="Times New Roman" w:hAnsi="Times New Roman" w:cs="Times New Roman"/>
        </w:rPr>
        <w:t>(Carter et al., 2001)</w:t>
      </w:r>
      <w:r w:rsidR="008F2B35">
        <w:fldChar w:fldCharType="end"/>
      </w:r>
      <w:r w:rsidR="002B72AC">
        <w:t>. This will</w:t>
      </w:r>
      <w:r>
        <w:t xml:space="preserve"> allow the nurses and </w:t>
      </w:r>
      <w:r w:rsidR="002B72AC">
        <w:t>me</w:t>
      </w:r>
      <w:r>
        <w:t xml:space="preserve"> to be able to support the older patient in ways that they particularly need and how to deal with them on a priority basis. Here, </w:t>
      </w:r>
      <w:r w:rsidR="00AB1FB1">
        <w:t xml:space="preserve">I have learned that </w:t>
      </w:r>
      <w:r>
        <w:t>both education on the subject and intense training about handling it is crucial, especially while working with older people</w:t>
      </w:r>
      <w:r w:rsidR="008F2B35">
        <w:t xml:space="preserve"> </w:t>
      </w:r>
      <w:r w:rsidR="008F2B35">
        <w:fldChar w:fldCharType="begin"/>
      </w:r>
      <w:r w:rsidR="008F2B35">
        <w:instrText xml:space="preserve"> ADDIN ZOTERO_ITEM CSL_CITATION {"citationID":"Vi1YBTQb","properties":{"formattedCitation":"(Cameron et al., 2012; Jones and Whitaker, 2011)","plainCitation":"(Cameron et al., 2012; Jones and Whitaker, 2011)","noteIndex":0},"citationItems":[{"id":204,"uris":["http://zotero.org/users/local/0omESN17/items/BI53IPZB"],"uri":["http://zotero.org/users/local/0omESN17/items/BI53IPZB"],"itemData":{"id":204,"type":"article-journal","title":"Interventions for preventing falls in older people in care facilities and hospitals","container-title":"Cochrane database of systematic reviews","issue":"12","author":[{"family":"Cameron","given":"Ian D."},{"family":"Gillespie","given":"Lesley D."},{"family":"Robertson","given":"M. Clare"},{"family":"Murray","given":"Geoff R."},{"family":"Hill","given":"Keith D."},{"family":"Cumming","given":"Robert G."},{"family":"Kerse","given":"Ngaire"}],"issued":{"date-parts":[["2012"]]}}},{"id":202,"uris":["http://zotero.org/users/local/0omESN17/items/IET57D5L"],"uri":["http://zotero.org/users/local/0omESN17/items/IET57D5L"],"itemData":{"id":202,"type":"article-journal","title":"Preventing falls in older people: assessment and interventions","container-title":"Nursing Standard (through 2013)","page":"50","volume":"25","issue":"52","author":[{"family":"Jones","given":"David"},{"family":"Whitaker","given":"Tracy"}],"issued":{"date-parts":[["2011"]]}}}],"schema":"https://github.com/citation-style-language/schema/raw/master/csl-citation.json"} </w:instrText>
      </w:r>
      <w:r w:rsidR="008F2B35">
        <w:fldChar w:fldCharType="separate"/>
      </w:r>
      <w:r w:rsidR="008F2B35" w:rsidRPr="008F2B35">
        <w:rPr>
          <w:rFonts w:ascii="Times New Roman" w:hAnsi="Times New Roman" w:cs="Times New Roman"/>
        </w:rPr>
        <w:t>(Cameron et al., 2012; Jones and Whitaker, 2011)</w:t>
      </w:r>
      <w:r w:rsidR="008F2B35">
        <w:fldChar w:fldCharType="end"/>
      </w:r>
      <w:r>
        <w:t>.</w:t>
      </w:r>
    </w:p>
    <w:p w:rsidR="007F3E9E" w:rsidRDefault="008F2B35" w:rsidP="004905AF">
      <w:r>
        <w:t>Moreover, as far as blood transfusions are concerned, I will ensure that all suspected transfusion are reported on an immediate basis to the hospital transfusion laboratory. With regards to a patient suffering from a reaction in response to a blood transfusion, I will make sure that the reaction and the events that led up to the reaction are properly documented into the patient’s notes.</w:t>
      </w:r>
      <w:r w:rsidR="004905AF">
        <w:t xml:space="preserve"> I have learned that since most allergic reactions are characterized by fever, anaphylaxis, urticarial or a rash, I will make sure that I report it in immediately </w:t>
      </w:r>
      <w:r w:rsidR="004905AF">
        <w:fldChar w:fldCharType="begin"/>
      </w:r>
      <w:r w:rsidR="004905AF">
        <w:instrText xml:space="preserve"> ADDIN ZOTERO_ITEM CSL_CITATION {"citationID":"fJTagGLX","properties":{"formattedCitation":"(Domen and Hoeltge, 2003)","plainCitation":"(Domen and Hoeltge, 2003)","noteIndex":0},"citationItems":[{"id":207,"uris":["http://zotero.org/users/local/0omESN17/items/Z9WA8W3V"],"uri":["http://zotero.org/users/local/0omESN17/items/Z9WA8W3V"],"itemData":{"id":207,"type":"article-journal","title":"Allergic transfusion reactions: an evaluation of 273 consecutive reactions","container-title":"Archives of pathology &amp; laboratory medicine","page":"316-320","volume":"127","issue":"3","author":[{"family":"Domen","given":"Ronald E."},{"family":"Hoeltge","given":"Gerald A."}],"issued":{"date-parts":[["2003"]]}}}],"schema":"https://github.com/citation-style-language/schema/raw/master/csl-citation.json"} </w:instrText>
      </w:r>
      <w:r w:rsidR="004905AF">
        <w:fldChar w:fldCharType="separate"/>
      </w:r>
      <w:r w:rsidR="004905AF" w:rsidRPr="004905AF">
        <w:rPr>
          <w:rFonts w:ascii="Times New Roman" w:hAnsi="Times New Roman" w:cs="Times New Roman"/>
        </w:rPr>
        <w:t xml:space="preserve">(Domen and </w:t>
      </w:r>
      <w:r w:rsidR="004905AF" w:rsidRPr="004905AF">
        <w:rPr>
          <w:rFonts w:ascii="Times New Roman" w:hAnsi="Times New Roman" w:cs="Times New Roman"/>
        </w:rPr>
        <w:lastRenderedPageBreak/>
        <w:t>Hoeltge, 2003)</w:t>
      </w:r>
      <w:r w:rsidR="004905AF">
        <w:fldChar w:fldCharType="end"/>
      </w:r>
      <w:r w:rsidR="004905AF">
        <w:t xml:space="preserve">. This way, proper treatment can be administered and the patient care </w:t>
      </w:r>
      <w:r w:rsidR="002B72AC">
        <w:t>is</w:t>
      </w:r>
      <w:r w:rsidR="004905AF">
        <w:t xml:space="preserve"> maintained. Additionally, I will also try my best to make sure that all patients that need a blood transfusion are in designated areas of the clinic where they can be directly observed and the </w:t>
      </w:r>
      <w:r w:rsidR="004905AF" w:rsidRPr="008B2461">
        <w:t>practitioners</w:t>
      </w:r>
      <w:r w:rsidR="004905AF">
        <w:t xml:space="preserve"> are up to date on blood components and training practices being used </w:t>
      </w:r>
      <w:r w:rsidR="004905AF">
        <w:fldChar w:fldCharType="begin"/>
      </w:r>
      <w:r w:rsidR="004905AF">
        <w:instrText xml:space="preserve"> ADDIN ZOTERO_ITEM CSL_CITATION {"citationID":"2YrZim8Y","properties":{"formattedCitation":"(Tinegate et al., 2012)","plainCitation":"(Tinegate et al., 2012)","noteIndex":0},"citationItems":[{"id":206,"uris":["http://zotero.org/users/local/0omESN17/items/WC98FQ9L"],"uri":["http://zotero.org/users/local/0omESN17/items/WC98FQ9L"],"itemData":{"id":206,"type":"article-journal","title":"Guideline on the investigation and management of acute transfusion reactions Prepared by the BCSH Blood Transfusion Task Force","container-title":"British journal of haematology","page":"143-153","volume":"159","issue":"2","author":[{"family":"Tinegate","given":"Hazel"},{"family":"Birchall","given":"Janet"},{"family":"Gray","given":"Alexandra"},{"family":"Haggas","given":"Richard"},{"family":"Massey","given":"Edwin"},{"family":"Norfolk","given":"Derek"},{"family":"Pinchon","given":"Deborah"},{"family":"Sewell","given":"Carrock"},{"family":"Wells","given":"Angus"},{"family":"Allard","given":"Shubha"}],"issued":{"date-parts":[["2012"]]}}}],"schema":"https://github.com/citation-style-language/schema/raw/master/csl-citation.json"} </w:instrText>
      </w:r>
      <w:r w:rsidR="004905AF">
        <w:fldChar w:fldCharType="separate"/>
      </w:r>
      <w:r w:rsidR="004905AF" w:rsidRPr="004905AF">
        <w:rPr>
          <w:rFonts w:ascii="Times New Roman" w:hAnsi="Times New Roman" w:cs="Times New Roman"/>
        </w:rPr>
        <w:t>(Tinegate et al., 2012)</w:t>
      </w:r>
      <w:r w:rsidR="004905AF">
        <w:fldChar w:fldCharType="end"/>
      </w:r>
      <w:r w:rsidR="004905AF">
        <w:t>.</w:t>
      </w:r>
    </w:p>
    <w:p w:rsidR="006859FB" w:rsidRDefault="006859FB" w:rsidP="002F170D"/>
    <w:p w:rsidR="007F3E9E" w:rsidRDefault="007F3E9E" w:rsidP="006859FB">
      <w:pPr>
        <w:pStyle w:val="Heading1"/>
      </w:pPr>
      <w:r>
        <w:t>Action Plan</w:t>
      </w:r>
    </w:p>
    <w:p w:rsidR="00AB1FB1" w:rsidRDefault="00AB1FB1" w:rsidP="00AB1FB1">
      <w:r>
        <w:t xml:space="preserve">With regard to order patients prone to falls, this is what can be done to improve their quality of life. </w:t>
      </w:r>
      <w:r w:rsidRPr="00AB1FB1">
        <w:t>The suggestions are expected to yield reasonable improvements concerning the care of such patients following the implementations of the guidelines discussed below:</w:t>
      </w:r>
    </w:p>
    <w:p w:rsidR="00AB1FB1" w:rsidRDefault="00AB1FB1" w:rsidP="00AB1FB1">
      <w:pPr>
        <w:pStyle w:val="ListParagraph"/>
        <w:numPr>
          <w:ilvl w:val="0"/>
          <w:numId w:val="16"/>
        </w:numPr>
      </w:pPr>
      <w:r>
        <w:t>Distribute educational materials, including print, audiovisual or electronic information.</w:t>
      </w:r>
    </w:p>
    <w:p w:rsidR="00AB1FB1" w:rsidRDefault="00AB1FB1" w:rsidP="00AB1FB1">
      <w:pPr>
        <w:pStyle w:val="ListParagraph"/>
        <w:numPr>
          <w:ilvl w:val="0"/>
          <w:numId w:val="16"/>
        </w:numPr>
      </w:pPr>
      <w:r>
        <w:t>Provide educational outreach, in which a trained person meets targeted providers in their practice setting and explains the desired change.</w:t>
      </w:r>
    </w:p>
    <w:p w:rsidR="00AB1FB1" w:rsidRDefault="00AB1FB1" w:rsidP="00AB1FB1">
      <w:pPr>
        <w:pStyle w:val="ListParagraph"/>
        <w:numPr>
          <w:ilvl w:val="0"/>
          <w:numId w:val="16"/>
        </w:numPr>
      </w:pPr>
      <w:r>
        <w:t>Use patient-directed interventions where older people are encouraged to influence service providers.</w:t>
      </w:r>
    </w:p>
    <w:p w:rsidR="00AB1FB1" w:rsidRDefault="00AB1FB1" w:rsidP="00AB1FB1"/>
    <w:p w:rsidR="00AB1FB1" w:rsidRDefault="00AB1FB1" w:rsidP="00AB1FB1">
      <w:r>
        <w:t xml:space="preserve">On the other hand, one of the biggest issues that can be identified in relation to blood transfusion reaction and learning more about how one can incorporate certain practices that can decrease the use of allogeneic blood transfusions in the first place </w:t>
      </w:r>
      <w:sdt>
        <w:sdtPr>
          <w:id w:val="905953202"/>
          <w:citation/>
        </w:sdtPr>
        <w:sdtEndPr/>
        <w:sdtContent>
          <w:r>
            <w:fldChar w:fldCharType="begin"/>
          </w:r>
          <w:r>
            <w:instrText xml:space="preserve"> CITATION Nat14 \l 1033 </w:instrText>
          </w:r>
          <w:r>
            <w:fldChar w:fldCharType="separate"/>
          </w:r>
          <w:r w:rsidR="00DF39C3" w:rsidRPr="00DF39C3">
            <w:rPr>
              <w:noProof/>
            </w:rPr>
            <w:t>(National Blood Authority, 2014)</w:t>
          </w:r>
          <w:r>
            <w:fldChar w:fldCharType="end"/>
          </w:r>
        </w:sdtContent>
      </w:sdt>
      <w:r>
        <w:t xml:space="preserve">. Additionally, I would also try to implement the use of the BCSH (2009) guidelines by </w:t>
      </w:r>
      <w:r w:rsidR="002B72AC">
        <w:t>taking detailed records of</w:t>
      </w:r>
    </w:p>
    <w:p w:rsidR="006D6081" w:rsidRDefault="006D6081" w:rsidP="00AB1FB1">
      <w:pPr>
        <w:pStyle w:val="ListParagraph"/>
        <w:numPr>
          <w:ilvl w:val="0"/>
          <w:numId w:val="18"/>
        </w:numPr>
      </w:pPr>
      <w:r>
        <w:lastRenderedPageBreak/>
        <w:t>Take temperature, blood pressure and pulse rate 15 minutes after the beginning of each blood component. Make sure that these readings are different from the baseline readings taken earlier rather significantly. Also keep an eye on the respiratory rate.</w:t>
      </w:r>
    </w:p>
    <w:p w:rsidR="006D6081" w:rsidRDefault="006D6081" w:rsidP="00AB1FB1">
      <w:pPr>
        <w:pStyle w:val="ListParagraph"/>
        <w:numPr>
          <w:ilvl w:val="0"/>
          <w:numId w:val="18"/>
        </w:numPr>
      </w:pPr>
      <w:r>
        <w:t xml:space="preserve">Also record the </w:t>
      </w:r>
      <w:r>
        <w:t>temperature, blood pressure and pulse rate</w:t>
      </w:r>
      <w:r>
        <w:t xml:space="preserve"> an hour prior to the process of blood transfusion.</w:t>
      </w:r>
    </w:p>
    <w:p w:rsidR="006D6081" w:rsidRDefault="006D6081" w:rsidP="00AB1FB1">
      <w:pPr>
        <w:pStyle w:val="ListParagraph"/>
        <w:numPr>
          <w:ilvl w:val="0"/>
          <w:numId w:val="18"/>
        </w:numPr>
      </w:pPr>
      <w:r>
        <w:t xml:space="preserve">Once the transfusion is done, record the </w:t>
      </w:r>
      <w:r>
        <w:t>temperature, blood pressure and pulse rate</w:t>
      </w:r>
      <w:r>
        <w:t xml:space="preserve"> at least an hour after the blood transfusion has been completed.</w:t>
      </w:r>
    </w:p>
    <w:p w:rsidR="00AB1FB1" w:rsidRDefault="002B72AC" w:rsidP="00AB1FB1">
      <w:r>
        <w:t>I suppose by implementing both of those t</w:t>
      </w:r>
      <w:bookmarkStart w:id="0" w:name="_GoBack"/>
      <w:bookmarkEnd w:id="0"/>
      <w:r>
        <w:t>hings, I may be able to make a definite change in the quality of life of patients and the healthcare practices that are particular to their needs.</w:t>
      </w:r>
    </w:p>
    <w:p w:rsidR="008B2461" w:rsidRDefault="008B2461" w:rsidP="008B2461"/>
    <w:p w:rsidR="0020237E" w:rsidRDefault="008B2461" w:rsidP="006859FB">
      <w:pPr>
        <w:pStyle w:val="Heading1"/>
      </w:pPr>
      <w:r>
        <w:br w:type="column"/>
      </w:r>
    </w:p>
    <w:sdt>
      <w:sdtPr>
        <w:rPr>
          <w:rFonts w:asciiTheme="minorHAnsi" w:eastAsiaTheme="minorEastAsia" w:hAnsiTheme="minorHAnsi" w:cstheme="minorBidi"/>
          <w:b w:val="0"/>
          <w:bCs w:val="0"/>
          <w:i w:val="0"/>
        </w:rPr>
        <w:id w:val="181406309"/>
        <w:docPartObj>
          <w:docPartGallery w:val="Bibliographies"/>
          <w:docPartUnique/>
        </w:docPartObj>
      </w:sdtPr>
      <w:sdtEndPr/>
      <w:sdtContent>
        <w:p w:rsidR="0020237E" w:rsidRDefault="0020237E" w:rsidP="002B72AC">
          <w:pPr>
            <w:pStyle w:val="Heading1"/>
          </w:pPr>
          <w:r>
            <w:t>References</w:t>
          </w:r>
        </w:p>
        <w:sdt>
          <w:sdtPr>
            <w:id w:val="-573587230"/>
            <w:bibliography/>
          </w:sdtPr>
          <w:sdtEndPr/>
          <w:sdtContent>
            <w:p w:rsidR="00DF39C3" w:rsidRPr="004905AF" w:rsidRDefault="00DF39C3" w:rsidP="00DF39C3">
              <w:pPr>
                <w:pStyle w:val="Bibliography"/>
                <w:spacing w:line="480" w:lineRule="auto"/>
                <w:rPr>
                  <w:rFonts w:ascii="Times New Roman" w:hAnsi="Times New Roman" w:cs="Times New Roman"/>
                </w:rPr>
              </w:pPr>
              <w:r w:rsidRPr="004905AF">
                <w:rPr>
                  <w:rFonts w:ascii="Times New Roman" w:hAnsi="Times New Roman" w:cs="Times New Roman"/>
                </w:rPr>
                <w:t xml:space="preserve">Cameron, I.D., Gillespie, L.D., Robertson, M.C., Murray, G.R., Hill, K.D., Cumming, R.G., </w:t>
              </w:r>
              <w:proofErr w:type="spellStart"/>
              <w:r w:rsidRPr="004905AF">
                <w:rPr>
                  <w:rFonts w:ascii="Times New Roman" w:hAnsi="Times New Roman" w:cs="Times New Roman"/>
                </w:rPr>
                <w:t>Kerse</w:t>
              </w:r>
              <w:proofErr w:type="spellEnd"/>
              <w:r w:rsidRPr="004905AF">
                <w:rPr>
                  <w:rFonts w:ascii="Times New Roman" w:hAnsi="Times New Roman" w:cs="Times New Roman"/>
                </w:rPr>
                <w:t>, N., 2012. Interventions for preventing falls in older people in care facilities and hospitals. Cochrane Database Syst. Rev.</w:t>
              </w:r>
            </w:p>
            <w:p w:rsidR="00DF39C3" w:rsidRPr="004905AF" w:rsidRDefault="00DF39C3" w:rsidP="00DF39C3">
              <w:pPr>
                <w:pStyle w:val="Bibliography"/>
                <w:spacing w:line="480" w:lineRule="auto"/>
                <w:rPr>
                  <w:rFonts w:ascii="Times New Roman" w:hAnsi="Times New Roman" w:cs="Times New Roman"/>
                </w:rPr>
              </w:pPr>
              <w:r w:rsidRPr="004905AF">
                <w:rPr>
                  <w:rFonts w:ascii="Times New Roman" w:hAnsi="Times New Roman" w:cs="Times New Roman"/>
                </w:rPr>
                <w:t xml:space="preserve">Carter, N.D., </w:t>
              </w:r>
              <w:proofErr w:type="spellStart"/>
              <w:r w:rsidRPr="004905AF">
                <w:rPr>
                  <w:rFonts w:ascii="Times New Roman" w:hAnsi="Times New Roman" w:cs="Times New Roman"/>
                </w:rPr>
                <w:t>Kannus</w:t>
              </w:r>
              <w:proofErr w:type="spellEnd"/>
              <w:r w:rsidRPr="004905AF">
                <w:rPr>
                  <w:rFonts w:ascii="Times New Roman" w:hAnsi="Times New Roman" w:cs="Times New Roman"/>
                </w:rPr>
                <w:t>, P., Khan, K., 2001. Exercise in the prevention of falls in older people. Sports Med. 31, 427–438.</w:t>
              </w:r>
            </w:p>
            <w:p w:rsidR="00DF39C3" w:rsidRPr="004905AF" w:rsidRDefault="00DF39C3" w:rsidP="00DF39C3">
              <w:pPr>
                <w:pStyle w:val="Bibliography"/>
                <w:spacing w:line="480" w:lineRule="auto"/>
                <w:rPr>
                  <w:rFonts w:ascii="Times New Roman" w:hAnsi="Times New Roman" w:cs="Times New Roman"/>
                </w:rPr>
              </w:pPr>
              <w:proofErr w:type="spellStart"/>
              <w:r w:rsidRPr="004905AF">
                <w:rPr>
                  <w:rFonts w:ascii="Times New Roman" w:hAnsi="Times New Roman" w:cs="Times New Roman"/>
                </w:rPr>
                <w:t>Domen</w:t>
              </w:r>
              <w:proofErr w:type="spellEnd"/>
              <w:r w:rsidRPr="004905AF">
                <w:rPr>
                  <w:rFonts w:ascii="Times New Roman" w:hAnsi="Times New Roman" w:cs="Times New Roman"/>
                </w:rPr>
                <w:t xml:space="preserve">, R.E., </w:t>
              </w:r>
              <w:proofErr w:type="spellStart"/>
              <w:r w:rsidRPr="004905AF">
                <w:rPr>
                  <w:rFonts w:ascii="Times New Roman" w:hAnsi="Times New Roman" w:cs="Times New Roman"/>
                </w:rPr>
                <w:t>Hoeltge</w:t>
              </w:r>
              <w:proofErr w:type="spellEnd"/>
              <w:r w:rsidRPr="004905AF">
                <w:rPr>
                  <w:rFonts w:ascii="Times New Roman" w:hAnsi="Times New Roman" w:cs="Times New Roman"/>
                </w:rPr>
                <w:t xml:space="preserve">, G.A., 2003. Allergic transfusion reactions: an evaluation of 273 consecutive reactions. Arch. </w:t>
              </w:r>
              <w:proofErr w:type="spellStart"/>
              <w:r w:rsidRPr="004905AF">
                <w:rPr>
                  <w:rFonts w:ascii="Times New Roman" w:hAnsi="Times New Roman" w:cs="Times New Roman"/>
                </w:rPr>
                <w:t>Pathol</w:t>
              </w:r>
              <w:proofErr w:type="spellEnd"/>
              <w:r w:rsidRPr="004905AF">
                <w:rPr>
                  <w:rFonts w:ascii="Times New Roman" w:hAnsi="Times New Roman" w:cs="Times New Roman"/>
                </w:rPr>
                <w:t>. Lab. Med. 127, 316–320.</w:t>
              </w:r>
            </w:p>
            <w:p w:rsidR="00DF39C3" w:rsidRPr="004905AF" w:rsidRDefault="00DF39C3" w:rsidP="00DF39C3">
              <w:pPr>
                <w:pStyle w:val="Bibliography"/>
                <w:spacing w:line="480" w:lineRule="auto"/>
                <w:rPr>
                  <w:rFonts w:ascii="Times New Roman" w:hAnsi="Times New Roman" w:cs="Times New Roman"/>
                </w:rPr>
              </w:pPr>
              <w:proofErr w:type="spellStart"/>
              <w:r w:rsidRPr="004905AF">
                <w:rPr>
                  <w:rFonts w:ascii="Times New Roman" w:hAnsi="Times New Roman" w:cs="Times New Roman"/>
                </w:rPr>
                <w:t>Goodnough</w:t>
              </w:r>
              <w:proofErr w:type="spellEnd"/>
              <w:r w:rsidRPr="004905AF">
                <w:rPr>
                  <w:rFonts w:ascii="Times New Roman" w:hAnsi="Times New Roman" w:cs="Times New Roman"/>
                </w:rPr>
                <w:t xml:space="preserve">, L.T., </w:t>
              </w:r>
              <w:proofErr w:type="spellStart"/>
              <w:r w:rsidRPr="004905AF">
                <w:rPr>
                  <w:rFonts w:ascii="Times New Roman" w:hAnsi="Times New Roman" w:cs="Times New Roman"/>
                </w:rPr>
                <w:t>Shander</w:t>
              </w:r>
              <w:proofErr w:type="spellEnd"/>
              <w:r w:rsidRPr="004905AF">
                <w:rPr>
                  <w:rFonts w:ascii="Times New Roman" w:hAnsi="Times New Roman" w:cs="Times New Roman"/>
                </w:rPr>
                <w:t xml:space="preserve">, A., 2012. Patient blood management. </w:t>
              </w:r>
              <w:proofErr w:type="spellStart"/>
              <w:r w:rsidRPr="004905AF">
                <w:rPr>
                  <w:rFonts w:ascii="Times New Roman" w:hAnsi="Times New Roman" w:cs="Times New Roman"/>
                </w:rPr>
                <w:t>Anesthesiol</w:t>
              </w:r>
              <w:proofErr w:type="spellEnd"/>
              <w:r w:rsidRPr="004905AF">
                <w:rPr>
                  <w:rFonts w:ascii="Times New Roman" w:hAnsi="Times New Roman" w:cs="Times New Roman"/>
                </w:rPr>
                <w:t xml:space="preserve">. J. Am. Soc. </w:t>
              </w:r>
              <w:proofErr w:type="spellStart"/>
              <w:r w:rsidRPr="004905AF">
                <w:rPr>
                  <w:rFonts w:ascii="Times New Roman" w:hAnsi="Times New Roman" w:cs="Times New Roman"/>
                </w:rPr>
                <w:t>Anesthesiol</w:t>
              </w:r>
              <w:proofErr w:type="spellEnd"/>
              <w:r w:rsidRPr="004905AF">
                <w:rPr>
                  <w:rFonts w:ascii="Times New Roman" w:hAnsi="Times New Roman" w:cs="Times New Roman"/>
                </w:rPr>
                <w:t>. 116, 1367–1376.</w:t>
              </w:r>
            </w:p>
            <w:p w:rsidR="00DF39C3" w:rsidRPr="004905AF" w:rsidRDefault="00DF39C3" w:rsidP="00DF39C3">
              <w:pPr>
                <w:pStyle w:val="Bibliography"/>
                <w:spacing w:line="480" w:lineRule="auto"/>
                <w:rPr>
                  <w:rFonts w:ascii="Times New Roman" w:hAnsi="Times New Roman" w:cs="Times New Roman"/>
                </w:rPr>
              </w:pPr>
              <w:r w:rsidRPr="004905AF">
                <w:rPr>
                  <w:rFonts w:ascii="Times New Roman" w:hAnsi="Times New Roman" w:cs="Times New Roman"/>
                </w:rPr>
                <w:t xml:space="preserve">Jones, D., Whitaker, T., 2011. Preventing falls in older people: assessment and interventions. </w:t>
              </w:r>
              <w:proofErr w:type="spellStart"/>
              <w:r w:rsidRPr="004905AF">
                <w:rPr>
                  <w:rFonts w:ascii="Times New Roman" w:hAnsi="Times New Roman" w:cs="Times New Roman"/>
                </w:rPr>
                <w:t>Nurs</w:t>
              </w:r>
              <w:proofErr w:type="spellEnd"/>
              <w:r w:rsidRPr="004905AF">
                <w:rPr>
                  <w:rFonts w:ascii="Times New Roman" w:hAnsi="Times New Roman" w:cs="Times New Roman"/>
                </w:rPr>
                <w:t>. Stand. 2013 25, 50.</w:t>
              </w:r>
            </w:p>
            <w:p w:rsidR="00DF39C3" w:rsidRDefault="0020237E" w:rsidP="00DF39C3">
              <w:pPr>
                <w:pStyle w:val="Bibliography"/>
                <w:spacing w:line="480" w:lineRule="auto"/>
                <w:rPr>
                  <w:noProof/>
                </w:rPr>
              </w:pPr>
              <w:r>
                <w:fldChar w:fldCharType="begin"/>
              </w:r>
              <w:r>
                <w:instrText xml:space="preserve"> BIBLIOGRAPHY </w:instrText>
              </w:r>
              <w:r>
                <w:fldChar w:fldCharType="separate"/>
              </w:r>
              <w:r w:rsidR="00DF39C3">
                <w:rPr>
                  <w:noProof/>
                </w:rPr>
                <w:t xml:space="preserve">National Blood Authority, A., 2014. </w:t>
              </w:r>
              <w:r w:rsidR="00DF39C3">
                <w:rPr>
                  <w:i/>
                  <w:iCs/>
                  <w:noProof/>
                </w:rPr>
                <w:t xml:space="preserve">Patient Blood Management (PBM). </w:t>
              </w:r>
              <w:r w:rsidR="00DF39C3">
                <w:rPr>
                  <w:noProof/>
                </w:rPr>
                <w:t xml:space="preserve">[Online] </w:t>
              </w:r>
              <w:r w:rsidR="00DF39C3">
                <w:rPr>
                  <w:noProof/>
                </w:rPr>
                <w:br/>
                <w:t xml:space="preserve">Available at: </w:t>
              </w:r>
              <w:r w:rsidR="00DF39C3">
                <w:rPr>
                  <w:noProof/>
                  <w:u w:val="single"/>
                </w:rPr>
                <w:t>https://www.blood.gov.au/patient-blood-management-pbm</w:t>
              </w:r>
            </w:p>
            <w:p w:rsidR="00DF39C3" w:rsidRDefault="00DF39C3" w:rsidP="00DF39C3">
              <w:pPr>
                <w:pStyle w:val="Bibliography"/>
                <w:spacing w:line="480" w:lineRule="auto"/>
                <w:rPr>
                  <w:noProof/>
                </w:rPr>
              </w:pPr>
              <w:r>
                <w:rPr>
                  <w:noProof/>
                </w:rPr>
                <w:t xml:space="preserve">National Institute for Clinical Excellence, 2004. </w:t>
              </w:r>
              <w:r>
                <w:rPr>
                  <w:i/>
                  <w:iCs/>
                  <w:noProof/>
                </w:rPr>
                <w:t xml:space="preserve">Guideline for the Assessment and Prevention of Falls in Older People. Clinical Guideline No. 21. </w:t>
              </w:r>
              <w:r>
                <w:rPr>
                  <w:noProof/>
                </w:rPr>
                <w:t>[Online].</w:t>
              </w:r>
            </w:p>
            <w:p w:rsidR="00DF39C3" w:rsidRDefault="00DF39C3" w:rsidP="00DF39C3">
              <w:pPr>
                <w:pStyle w:val="Bibliography"/>
                <w:spacing w:line="480" w:lineRule="auto"/>
                <w:rPr>
                  <w:rFonts w:ascii="Times New Roman" w:hAnsi="Times New Roman" w:cs="Times New Roman"/>
                </w:rPr>
              </w:pPr>
              <w:r w:rsidRPr="004905AF">
                <w:rPr>
                  <w:rFonts w:ascii="Times New Roman" w:hAnsi="Times New Roman" w:cs="Times New Roman"/>
                </w:rPr>
                <w:t>Tinegate, H., Birchall, J., Gray, A., Haggas, R., Massey, E., Norfolk, D., Pinchon, D., Sewell, C., Wells, A., Allard, S., 2012. Guideline on the investigation and management of acute transfusion reactions Prepared by the BCSH Blood Transfusion Task Force. Br. J.</w:t>
              </w:r>
              <w:r>
                <w:rPr>
                  <w:rFonts w:ascii="Times New Roman" w:hAnsi="Times New Roman" w:cs="Times New Roman"/>
                </w:rPr>
                <w:t xml:space="preserve"> Haematol. 159, 143–153.</w:t>
              </w:r>
            </w:p>
            <w:p w:rsidR="00DF39C3" w:rsidRPr="00DF39C3" w:rsidRDefault="00DF39C3" w:rsidP="00DF39C3">
              <w:pPr>
                <w:pStyle w:val="Bibliography"/>
                <w:spacing w:line="480" w:lineRule="auto"/>
                <w:rPr>
                  <w:rFonts w:ascii="Times New Roman" w:hAnsi="Times New Roman" w:cs="Times New Roman"/>
                </w:rPr>
              </w:pPr>
              <w:r w:rsidRPr="004905AF">
                <w:rPr>
                  <w:rFonts w:ascii="Times New Roman" w:hAnsi="Times New Roman" w:cs="Times New Roman"/>
                </w:rPr>
                <w:lastRenderedPageBreak/>
                <w:t>Treml, J., Husk, J., Lowe, D., Vasilakis, N., 2011. Falling standards, broken promises: Report of the national audit of falls and bone health in older people 2010. Lond. R. Coll. Physicians.</w:t>
              </w:r>
            </w:p>
            <w:p w:rsidR="00DF39C3" w:rsidRDefault="00DF39C3" w:rsidP="00DF39C3">
              <w:pPr>
                <w:pStyle w:val="Bibliography"/>
                <w:spacing w:line="480" w:lineRule="auto"/>
                <w:rPr>
                  <w:noProof/>
                </w:rPr>
              </w:pPr>
              <w:r>
                <w:rPr>
                  <w:noProof/>
                </w:rPr>
                <w:t xml:space="preserve">Watson &amp; Denison, 2014. Blood transfusion 4: recognising and managing transfusion reactions. </w:t>
              </w:r>
              <w:r>
                <w:rPr>
                  <w:i/>
                  <w:iCs/>
                  <w:noProof/>
                </w:rPr>
                <w:t xml:space="preserve">Nursing Times, </w:t>
              </w:r>
              <w:r>
                <w:rPr>
                  <w:noProof/>
                </w:rPr>
                <w:t>39(18-21), p. 10.</w:t>
              </w:r>
            </w:p>
            <w:p w:rsidR="0020237E" w:rsidRDefault="0020237E" w:rsidP="00DF39C3">
              <w:r>
                <w:rPr>
                  <w:b/>
                  <w:bCs/>
                  <w:noProof/>
                </w:rPr>
                <w:fldChar w:fldCharType="end"/>
              </w:r>
            </w:p>
          </w:sdtContent>
        </w:sdt>
      </w:sdtContent>
    </w:sdt>
    <w:p w:rsidR="007F3E9E" w:rsidRDefault="007F3E9E" w:rsidP="002B72AC">
      <w:pPr>
        <w:pStyle w:val="Heading1"/>
      </w:pPr>
    </w:p>
    <w:p w:rsidR="00DF39C3" w:rsidRPr="004905AF" w:rsidRDefault="0020237E" w:rsidP="00DF39C3">
      <w:pPr>
        <w:pStyle w:val="Bibliography"/>
        <w:spacing w:line="480" w:lineRule="auto"/>
        <w:rPr>
          <w:rFonts w:ascii="Times New Roman" w:hAnsi="Times New Roman" w:cs="Times New Roman"/>
        </w:rPr>
      </w:pPr>
      <w:r>
        <w:fldChar w:fldCharType="begin"/>
      </w:r>
      <w:r w:rsidR="006859FB">
        <w:instrText xml:space="preserve"> ADDIN ZOTERO_BIBL {"uncited":[],"omitted":[],"custom":[]} CSL_BIBLIOGRAPHY </w:instrText>
      </w:r>
      <w:r>
        <w:fldChar w:fldCharType="separate"/>
      </w:r>
    </w:p>
    <w:p w:rsidR="004905AF" w:rsidRPr="004905AF" w:rsidRDefault="004905AF" w:rsidP="002B72AC">
      <w:pPr>
        <w:pStyle w:val="Bibliography"/>
        <w:spacing w:line="480" w:lineRule="auto"/>
        <w:rPr>
          <w:rFonts w:ascii="Times New Roman" w:hAnsi="Times New Roman" w:cs="Times New Roman"/>
        </w:rPr>
      </w:pPr>
    </w:p>
    <w:p w:rsidR="0020237E" w:rsidRPr="0020237E" w:rsidRDefault="0020237E" w:rsidP="002B72AC">
      <w:r>
        <w:fldChar w:fldCharType="end"/>
      </w:r>
    </w:p>
    <w:sectPr w:rsidR="0020237E" w:rsidRPr="0020237E">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F44" w:rsidRDefault="00237F44">
      <w:pPr>
        <w:spacing w:line="240" w:lineRule="auto"/>
      </w:pPr>
      <w:r>
        <w:separator/>
      </w:r>
    </w:p>
    <w:p w:rsidR="00237F44" w:rsidRDefault="00237F44"/>
  </w:endnote>
  <w:endnote w:type="continuationSeparator" w:id="0">
    <w:p w:rsidR="00237F44" w:rsidRDefault="00237F44">
      <w:pPr>
        <w:spacing w:line="240" w:lineRule="auto"/>
      </w:pPr>
      <w:r>
        <w:continuationSeparator/>
      </w:r>
    </w:p>
    <w:p w:rsidR="00237F44" w:rsidRDefault="00237F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F44" w:rsidRDefault="00237F44">
      <w:pPr>
        <w:spacing w:line="240" w:lineRule="auto"/>
      </w:pPr>
      <w:r>
        <w:separator/>
      </w:r>
    </w:p>
    <w:p w:rsidR="00237F44" w:rsidRDefault="00237F44"/>
  </w:footnote>
  <w:footnote w:type="continuationSeparator" w:id="0">
    <w:p w:rsidR="00237F44" w:rsidRDefault="00237F44">
      <w:pPr>
        <w:spacing w:line="240" w:lineRule="auto"/>
      </w:pPr>
      <w:r>
        <w:continuationSeparator/>
      </w:r>
    </w:p>
    <w:p w:rsidR="00237F44" w:rsidRDefault="00237F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7F3E9E">
    <w:pPr>
      <w:pStyle w:val="Header"/>
    </w:pPr>
    <w:r>
      <w:t>HEALTHCARE AND NURSING</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D6081">
      <w:rPr>
        <w:rStyle w:val="Strong"/>
        <w:noProof/>
      </w:rPr>
      <w:t>7</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r w:rsidR="007F3E9E">
      <w:t>HEALTHCARE AND NURSING</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6D6081">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05A24ED7"/>
    <w:multiLevelType w:val="hybridMultilevel"/>
    <w:tmpl w:val="A2AE5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F06A52"/>
    <w:multiLevelType w:val="hybridMultilevel"/>
    <w:tmpl w:val="0E3ED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71423DA9"/>
    <w:multiLevelType w:val="hybridMultilevel"/>
    <w:tmpl w:val="930E0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6"/>
  </w:num>
  <w:num w:numId="13">
    <w:abstractNumId w:val="13"/>
  </w:num>
  <w:num w:numId="14">
    <w:abstractNumId w:val="12"/>
  </w:num>
  <w:num w:numId="15">
    <w:abstractNumId w:val="14"/>
  </w:num>
  <w:num w:numId="16">
    <w:abstractNumId w:val="11"/>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YzMzM3M7Y0szQ2MDZU0lEKTi0uzszPAykwrgUALWHM7ywAAAA="/>
  </w:docVars>
  <w:rsids>
    <w:rsidRoot w:val="005C39B5"/>
    <w:rsid w:val="000A40AE"/>
    <w:rsid w:val="000D3F41"/>
    <w:rsid w:val="0020237E"/>
    <w:rsid w:val="00237F44"/>
    <w:rsid w:val="002B72AC"/>
    <w:rsid w:val="002F170D"/>
    <w:rsid w:val="00307F11"/>
    <w:rsid w:val="00355DCA"/>
    <w:rsid w:val="004724D7"/>
    <w:rsid w:val="004905AF"/>
    <w:rsid w:val="004D152B"/>
    <w:rsid w:val="0051485B"/>
    <w:rsid w:val="00551A02"/>
    <w:rsid w:val="005534FA"/>
    <w:rsid w:val="005B3A43"/>
    <w:rsid w:val="005C39B5"/>
    <w:rsid w:val="005D3A03"/>
    <w:rsid w:val="00665939"/>
    <w:rsid w:val="006859FB"/>
    <w:rsid w:val="00692D73"/>
    <w:rsid w:val="006D6081"/>
    <w:rsid w:val="007B6524"/>
    <w:rsid w:val="007E7C16"/>
    <w:rsid w:val="007F3E9E"/>
    <w:rsid w:val="008002C0"/>
    <w:rsid w:val="00821C56"/>
    <w:rsid w:val="008B2461"/>
    <w:rsid w:val="008C5323"/>
    <w:rsid w:val="008D477A"/>
    <w:rsid w:val="008F2B35"/>
    <w:rsid w:val="009A6A3B"/>
    <w:rsid w:val="00A86076"/>
    <w:rsid w:val="00AA661B"/>
    <w:rsid w:val="00AB1FB1"/>
    <w:rsid w:val="00B2722B"/>
    <w:rsid w:val="00B823AA"/>
    <w:rsid w:val="00BA45DB"/>
    <w:rsid w:val="00BD43A3"/>
    <w:rsid w:val="00BF4184"/>
    <w:rsid w:val="00C0601E"/>
    <w:rsid w:val="00C31D30"/>
    <w:rsid w:val="00CD6E39"/>
    <w:rsid w:val="00CF6E91"/>
    <w:rsid w:val="00D85B68"/>
    <w:rsid w:val="00DF39C3"/>
    <w:rsid w:val="00E6004D"/>
    <w:rsid w:val="00E81978"/>
    <w:rsid w:val="00EE5314"/>
    <w:rsid w:val="00F2062E"/>
    <w:rsid w:val="00F379B7"/>
    <w:rsid w:val="00F525FA"/>
    <w:rsid w:val="00F5272D"/>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6859FB"/>
    <w:pPr>
      <w:keepNext/>
      <w:keepLines/>
      <w:ind w:firstLine="0"/>
      <w:outlineLvl w:val="0"/>
    </w:pPr>
    <w:rPr>
      <w:rFonts w:asciiTheme="majorHAnsi" w:eastAsiaTheme="majorEastAsia" w:hAnsiTheme="majorHAnsi" w:cstheme="majorBidi"/>
      <w:b/>
      <w:bCs/>
      <w:i/>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sid w:val="006859FB"/>
    <w:rPr>
      <w:rFonts w:asciiTheme="majorHAnsi" w:eastAsiaTheme="majorEastAsia" w:hAnsiTheme="majorHAnsi" w:cstheme="majorBidi"/>
      <w:b/>
      <w:bCs/>
      <w:i/>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spacing w:line="240" w:lineRule="auto"/>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65015">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80647023">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372465669">
      <w:bodyDiv w:val="1"/>
      <w:marLeft w:val="0"/>
      <w:marRight w:val="0"/>
      <w:marTop w:val="0"/>
      <w:marBottom w:val="0"/>
      <w:divBdr>
        <w:top w:val="none" w:sz="0" w:space="0" w:color="auto"/>
        <w:left w:val="none" w:sz="0" w:space="0" w:color="auto"/>
        <w:bottom w:val="none" w:sz="0" w:space="0" w:color="auto"/>
        <w:right w:val="none" w:sz="0" w:space="0" w:color="auto"/>
      </w:divBdr>
    </w:div>
    <w:div w:id="450900106">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890925709">
      <w:bodyDiv w:val="1"/>
      <w:marLeft w:val="0"/>
      <w:marRight w:val="0"/>
      <w:marTop w:val="0"/>
      <w:marBottom w:val="0"/>
      <w:divBdr>
        <w:top w:val="none" w:sz="0" w:space="0" w:color="auto"/>
        <w:left w:val="none" w:sz="0" w:space="0" w:color="auto"/>
        <w:bottom w:val="none" w:sz="0" w:space="0" w:color="auto"/>
        <w:right w:val="none" w:sz="0" w:space="0" w:color="auto"/>
      </w:divBdr>
    </w:div>
    <w:div w:id="908733227">
      <w:bodyDiv w:val="1"/>
      <w:marLeft w:val="0"/>
      <w:marRight w:val="0"/>
      <w:marTop w:val="0"/>
      <w:marBottom w:val="0"/>
      <w:divBdr>
        <w:top w:val="none" w:sz="0" w:space="0" w:color="auto"/>
        <w:left w:val="none" w:sz="0" w:space="0" w:color="auto"/>
        <w:bottom w:val="none" w:sz="0" w:space="0" w:color="auto"/>
        <w:right w:val="none" w:sz="0" w:space="0" w:color="auto"/>
      </w:divBdr>
    </w:div>
    <w:div w:id="997925032">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51075743">
      <w:bodyDiv w:val="1"/>
      <w:marLeft w:val="0"/>
      <w:marRight w:val="0"/>
      <w:marTop w:val="0"/>
      <w:marBottom w:val="0"/>
      <w:divBdr>
        <w:top w:val="none" w:sz="0" w:space="0" w:color="auto"/>
        <w:left w:val="none" w:sz="0" w:space="0" w:color="auto"/>
        <w:bottom w:val="none" w:sz="0" w:space="0" w:color="auto"/>
        <w:right w:val="none" w:sz="0" w:space="0" w:color="auto"/>
      </w:divBdr>
    </w:div>
    <w:div w:id="1136337059">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32617584">
      <w:bodyDiv w:val="1"/>
      <w:marLeft w:val="0"/>
      <w:marRight w:val="0"/>
      <w:marTop w:val="0"/>
      <w:marBottom w:val="0"/>
      <w:divBdr>
        <w:top w:val="none" w:sz="0" w:space="0" w:color="auto"/>
        <w:left w:val="none" w:sz="0" w:space="0" w:color="auto"/>
        <w:bottom w:val="none" w:sz="0" w:space="0" w:color="auto"/>
        <w:right w:val="none" w:sz="0" w:space="0" w:color="auto"/>
      </w:divBdr>
    </w:div>
    <w:div w:id="1237976475">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87342126">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37753027">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60420589">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34431459">
      <w:bodyDiv w:val="1"/>
      <w:marLeft w:val="0"/>
      <w:marRight w:val="0"/>
      <w:marTop w:val="0"/>
      <w:marBottom w:val="0"/>
      <w:divBdr>
        <w:top w:val="none" w:sz="0" w:space="0" w:color="auto"/>
        <w:left w:val="none" w:sz="0" w:space="0" w:color="auto"/>
        <w:bottom w:val="none" w:sz="0" w:space="0" w:color="auto"/>
        <w:right w:val="none" w:sz="0" w:space="0" w:color="auto"/>
      </w:divBdr>
    </w:div>
    <w:div w:id="1750149985">
      <w:bodyDiv w:val="1"/>
      <w:marLeft w:val="0"/>
      <w:marRight w:val="0"/>
      <w:marTop w:val="0"/>
      <w:marBottom w:val="0"/>
      <w:divBdr>
        <w:top w:val="none" w:sz="0" w:space="0" w:color="auto"/>
        <w:left w:val="none" w:sz="0" w:space="0" w:color="auto"/>
        <w:bottom w:val="none" w:sz="0" w:space="0" w:color="auto"/>
        <w:right w:val="none" w:sz="0" w:space="0" w:color="auto"/>
      </w:divBdr>
    </w:div>
    <w:div w:id="1752852847">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79644160">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35222273">
      <w:bodyDiv w:val="1"/>
      <w:marLeft w:val="0"/>
      <w:marRight w:val="0"/>
      <w:marTop w:val="0"/>
      <w:marBottom w:val="0"/>
      <w:divBdr>
        <w:top w:val="none" w:sz="0" w:space="0" w:color="auto"/>
        <w:left w:val="none" w:sz="0" w:space="0" w:color="auto"/>
        <w:bottom w:val="none" w:sz="0" w:space="0" w:color="auto"/>
        <w:right w:val="none" w:sz="0" w:space="0" w:color="auto"/>
      </w:divBdr>
    </w:div>
    <w:div w:id="1849830752">
      <w:bodyDiv w:val="1"/>
      <w:marLeft w:val="0"/>
      <w:marRight w:val="0"/>
      <w:marTop w:val="0"/>
      <w:marBottom w:val="0"/>
      <w:divBdr>
        <w:top w:val="none" w:sz="0" w:space="0" w:color="auto"/>
        <w:left w:val="none" w:sz="0" w:space="0" w:color="auto"/>
        <w:bottom w:val="none" w:sz="0" w:space="0" w:color="auto"/>
        <w:right w:val="none" w:sz="0" w:space="0" w:color="auto"/>
      </w:divBdr>
    </w:div>
    <w:div w:id="1863275882">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48613426">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883358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321589">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F736C"/>
    <w:rsid w:val="00150C1A"/>
    <w:rsid w:val="00321589"/>
    <w:rsid w:val="00411B0B"/>
    <w:rsid w:val="00722BDE"/>
    <w:rsid w:val="00785A36"/>
    <w:rsid w:val="00901D92"/>
    <w:rsid w:val="00A91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Nat14</b:Tag>
    <b:SourceType>InternetSite</b:SourceType>
    <b:Guid>{3794AA2C-1E6F-4336-BE29-23ABB0B49696}</b:Guid>
    <b:Title>Patient Blood Management (PBM)</b:Title>
    <b:InternetSiteTitle>National Blood Authority, Australia</b:InternetSiteTitle>
    <b:Year>2014</b:Year>
    <b:URL>https://www.blood.gov.au/patient-blood-management-pbm</b:URL>
    <b:Author>
      <b:Author>
        <b:NameList>
          <b:Person>
            <b:Last>National Blood Authority</b:Last>
            <b:First>Australia</b:First>
          </b:Person>
        </b:NameList>
      </b:Author>
    </b:Author>
    <b:RefOrder>1</b:RefOrder>
  </b:Source>
  <b:Source>
    <b:Tag>DWa14</b:Tag>
    <b:SourceType>JournalArticle</b:SourceType>
    <b:Guid>{0645D972-A51F-41F0-8CFE-BD5668C28338}</b:Guid>
    <b:Author>
      <b:Author>
        <b:NameList>
          <b:Person>
            <b:Last>Watson</b:Last>
          </b:Person>
          <b:Person>
            <b:Last>Denison</b:Last>
          </b:Person>
        </b:NameList>
      </b:Author>
    </b:Author>
    <b:Title>Blood transfusion 4: recognising and managing transfusion reactions</b:Title>
    <b:Year>2014</b:Year>
    <b:JournalName>Nursing Times</b:JournalName>
    <b:Pages>10</b:Pages>
    <b:Volume>39</b:Volume>
    <b:Issue>18-21</b:Issue>
    <b:RefOrder>2</b:RefOrder>
  </b:Source>
  <b:Source>
    <b:Tag>Nat04</b:Tag>
    <b:SourceType>InternetSite</b:SourceType>
    <b:Guid>{668C631D-BF04-4396-9655-E7B7589F3F39}</b:Guid>
    <b:Author>
      <b:Author>
        <b:NameList>
          <b:Person>
            <b:Last>National Institute for Clinical Excellence</b:Last>
          </b:Person>
        </b:NameList>
      </b:Author>
    </b:Author>
    <b:Title>Guideline for the Assessment and Prevention of Falls in Older People. Clinical Guideline No. 21</b:Title>
    <b:InternetSiteTitle>National Institute for Clinical Excellence</b:InternetSiteTitle>
    <b:Year>2004</b:Year>
    <b:City>London</b:City>
    <b:RefOrder>3</b:RefOrder>
  </b:Source>
</b:Sources>
</file>

<file path=customXml/itemProps1.xml><?xml version="1.0" encoding="utf-8"?>
<ds:datastoreItem xmlns:ds="http://schemas.openxmlformats.org/officeDocument/2006/customXml" ds:itemID="{E1E960B8-899E-4C72-9947-F70F61B15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8</Pages>
  <Words>2416</Words>
  <Characters>13777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Zulekha Nadeem</cp:lastModifiedBy>
  <cp:revision>7</cp:revision>
  <dcterms:created xsi:type="dcterms:W3CDTF">2019-05-30T05:13:00Z</dcterms:created>
  <dcterms:modified xsi:type="dcterms:W3CDTF">2019-05-30T08:45:00Z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id="Upmw9jDb"/&gt;&lt;style id="http://www.zotero.org/styles/elsevier-harvard" hasBibliography="1" bibliographyStyleHasBeenSet="1"/&gt;&lt;prefs&gt;&lt;pref name="fieldType" value="Field"/&gt;&lt;pref name="automaticJournal</vt:lpwstr>
  </property>
  <property fmtid="{D5CDD505-2E9C-101B-9397-08002B2CF9AE}" pid="3" name="ZOTERO_PREF_2">
    <vt:lpwstr>Abbreviations" value="true"/&gt;&lt;/prefs&gt;&lt;/data&gt;</vt:lpwstr>
  </property>
</Properties>
</file>