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3B3C" w14:textId="064EDDE0" w:rsidR="00E81978" w:rsidRDefault="00CC0365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8622E">
            <w:t>T</w:t>
          </w:r>
          <w:r w:rsidR="00B8622E" w:rsidRPr="00B8622E">
            <w:t>he Neolithic Revolution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734242BD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5007339C" w14:textId="77777777" w:rsidR="00E81978" w:rsidRDefault="00CC0365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3F53D7B1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0E8669FC" w14:textId="77777777" w:rsidR="00E81978" w:rsidRDefault="00E81978" w:rsidP="00B823AA">
      <w:pPr>
        <w:pStyle w:val="Title2"/>
      </w:pPr>
    </w:p>
    <w:p w14:paraId="7CC2CC14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45F56358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43EA0BB1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242566DF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6CBFF4E8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33FFA1C0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50862006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17677DE8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1356F03C" w14:textId="77777777" w:rsidR="001E5B41" w:rsidRDefault="001E5B41" w:rsidP="001E5B41">
      <w:pPr>
        <w:shd w:val="clear" w:color="auto" w:fill="FFFFFF"/>
        <w:spacing w:after="300" w:line="240" w:lineRule="auto"/>
        <w:ind w:firstLine="0"/>
        <w:rPr>
          <w:rFonts w:ascii="Helvetica" w:eastAsia="Times New Roman" w:hAnsi="Helvetica" w:cs="Helvetica"/>
          <w:color w:val="000000"/>
          <w:kern w:val="0"/>
          <w:lang w:eastAsia="en-US"/>
        </w:rPr>
      </w:pPr>
    </w:p>
    <w:p w14:paraId="0049ABAB" w14:textId="62A7B332" w:rsidR="00E81978" w:rsidRDefault="00CC0365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8622E">
            <w:t>The Neolithic Revolution</w:t>
          </w:r>
        </w:sdtContent>
      </w:sdt>
    </w:p>
    <w:p w14:paraId="5D4B89F2" w14:textId="0A7FA1D7" w:rsidR="00EA7AF9" w:rsidRDefault="00EA7AF9" w:rsidP="00EA7AF9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bookmarkStart w:id="0" w:name="_GoBack"/>
      <w:r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>The Neolithic Revolution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is also recognized as the</w:t>
      </w:r>
      <w:r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Agricultural Revolution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 It started</w:t>
      </w:r>
      <w:r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1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0</w:t>
      </w:r>
      <w:r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>,000 years ago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and completely changed the human way of living, eating, and interacting with each other. It played a key role in clearing the way for</w:t>
      </w:r>
      <w:r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modern civilization.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The fundamental source of food for the hunter-gatherers was fishing and hunting of animals.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They used to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forag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e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for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some nutrients and vegetation like honey.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Anthropologists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have successfully found numerous evidence of hunting and gathering using the lives of Homo sapiens and their past ancestors.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begin"/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instrText xml:space="preserve"> ADDIN ZOTERO_ITEM CSL_CITATION {"citationID":"BvXqUveZ","properties":{"formattedCitation":"(Society, 2019)","plainCitation":"(Society, 2019)"},"citationItems":[{"id":92,"uris":["http://zotero.org/users/local/87ZAHpff/items/FAR4RD6Q"],"uri":["http://zotero.org/users/local/87ZAHpff/items/FAR4RD6Q"],"itemData":{"id":92,"type":"webpage","title":"Hunter-Gatherer Culture","container-title":"National Geographic Society","abstract":"Hunter-gatherer culture was the way of life for early humans until around 11 to 12,000 years ago. The lifestyle of hunter-gatherers was based on hunting animals and foraging for food.","URL":"http://www.nationalgeographic.org/encyclopedia/hunter-gatherer-culture/","language":"en","author":[{"family":"Society","given":"National Geographic"}],"issued":{"date-parts":[["2019",8,19]]}}}],"schema":"https://github.com/citation-style-language/schema/raw/master/csl-citation.json"} </w:instrTex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separate"/>
      </w:r>
      <w:r w:rsidRPr="00EA7AF9">
        <w:rPr>
          <w:rFonts w:ascii="Times New Roman" w:hAnsi="Times New Roman" w:cs="Times New Roman"/>
        </w:rPr>
        <w:t>(Society, 2019)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end"/>
      </w:r>
    </w:p>
    <w:p w14:paraId="0F24948E" w14:textId="22099E4B" w:rsidR="00EA7AF9" w:rsidRDefault="00EA7AF9" w:rsidP="00845B27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Before the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practice of hunting and gathering</w:t>
      </w:r>
      <w:r w:rsidR="006424B6">
        <w:rPr>
          <w:rFonts w:ascii="Times New Roman" w:eastAsia="Times New Roman" w:hAnsi="Times New Roman" w:cs="Times New Roman"/>
          <w:spacing w:val="2"/>
          <w:kern w:val="0"/>
          <w:lang w:eastAsia="en-US"/>
        </w:rPr>
        <w:t>,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people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used to hunt on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animal 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remains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left behind by the 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>predators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 Mobility was used as one of the survival strategies by the hunter-gatherers as they were not dependent on agriculture for their food.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A very large area of land (500-700 square miles) was required by the hunter-gatherers for their search 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t>for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food and survival. </w:t>
      </w:r>
      <w:r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This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was one of the major reasons which made 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establishment of life-long settlements impossible and impractical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begin"/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instrText xml:space="preserve"> ADDIN ZOTERO_ITEM CSL_CITATION {"citationID":"jY6kXyYO","properties":{"formattedCitation":"(Society, 2019)","plainCitation":"(Society, 2019)"},"citationItems":[{"id":92,"uris":["http://zotero.org/users/local/87ZAHpff/items/FAR4RD6Q"],"uri":["http://zotero.org/users/local/87ZAHpff/items/FAR4RD6Q"],"itemData":{"id":92,"type":"webpage","title":"Hunter-Gatherer Culture","container-title":"National Geographic Society","abstract":"Hunter-gatherer culture was the way of life for early humans until around 11 to 12,000 years ago. The lifestyle of hunter-gatherers was based on hunting animals and foraging for food.","URL":"http://www.nationalgeographic.org/encyclopedia/hunter-gatherer-culture/","language":"en","author":[{"family":"Society","given":"National Geographic"}],"issued":{"date-parts":[["2019",8,19]]}}}],"schema":"https://github.com/citation-style-language/schema/raw/master/csl-citation.json"} </w:instrTex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separate"/>
      </w:r>
      <w:r w:rsidRPr="00EA7AF9">
        <w:rPr>
          <w:rFonts w:ascii="Times New Roman" w:hAnsi="Times New Roman" w:cs="Times New Roman"/>
        </w:rPr>
        <w:t>(Society, 2019)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end"/>
      </w:r>
    </w:p>
    <w:p w14:paraId="238BC60A" w14:textId="75C858AA" w:rsidR="00EA7AF9" w:rsidRDefault="001404E0" w:rsidP="00845B27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Hunters and Gatherers used to travel around the world in search of food during the</w:t>
      </w:r>
      <w:r w:rsidR="00B8622E"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> </w:t>
      </w:r>
      <w:hyperlink r:id="rId9" w:history="1">
        <w:r w:rsidR="00B8622E" w:rsidRPr="00B8622E"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t>Neolithic period</w:t>
        </w:r>
      </w:hyperlink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</w:t>
      </w:r>
      <w:r w:rsidR="00B8622E"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But then a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sud</w:t>
      </w:r>
      <w:r w:rsidR="00F452F2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den change of events was recorded</w:t>
      </w:r>
      <w:r w:rsidR="00B8622E"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. The </w:t>
      </w:r>
      <w:r w:rsidR="00F452F2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hunters</w:t>
      </w:r>
      <w:r w:rsidR="00B8622E"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became farmers, </w:t>
      </w:r>
      <w:r w:rsidR="00F452F2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upgrading their lifestyles to a more peaceful and settled one</w:t>
      </w:r>
      <w:r w:rsidR="00B8622E" w:rsidRPr="00B8622E">
        <w:rPr>
          <w:rFonts w:ascii="Times New Roman" w:eastAsia="Times New Roman" w:hAnsi="Times New Roman" w:cs="Times New Roman"/>
          <w:spacing w:val="2"/>
          <w:kern w:val="0"/>
          <w:lang w:eastAsia="en-US"/>
        </w:rPr>
        <w:t>.</w:t>
      </w:r>
      <w:r w:rsidR="00F452F2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exact </w:t>
      </w:r>
      <w:r w:rsidR="00F452F2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reasons and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dates </w:t>
      </w:r>
      <w:r w:rsidR="00F452F2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for this tremendous change are still unclear and debated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throughout the world</w:t>
      </w:r>
      <w:r w:rsidR="00F452F2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. However, 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evidence of 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this major shift 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is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readily available and based on them, many documentaries have been developed. It is believed that people started the practice of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Farming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independently for the first time in the area of Fertile Crescent located in 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Middle East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 T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herefore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, the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term,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“agricultural revolution” 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is very broad and it covers a series of revolutionary events that happened in different places at different times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id w:val="-1779940916"/>
          <w:citation/>
        </w:sdtPr>
        <w:sdtEndPr/>
        <w:sdtContent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begin"/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instrText xml:space="preserve"> CITATION ERI19 \l 1033 </w:instrTex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separate"/>
          </w:r>
          <w:r w:rsidR="00EA7AF9" w:rsidRPr="00EA7AF9">
            <w:rPr>
              <w:rFonts w:ascii="Times New Roman" w:eastAsia="Times New Roman" w:hAnsi="Times New Roman" w:cs="Times New Roman"/>
              <w:noProof/>
              <w:spacing w:val="2"/>
              <w:kern w:val="0"/>
              <w:lang w:eastAsia="en-US"/>
            </w:rPr>
            <w:t>(BLAKEMORE, 2019)</w: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end"/>
          </w:r>
        </w:sdtContent>
      </w:sdt>
    </w:p>
    <w:p w14:paraId="3462D5E9" w14:textId="299E2A38" w:rsidR="00EA7AF9" w:rsidRDefault="00B8622E" w:rsidP="00845B27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lastRenderedPageBreak/>
        <w:t>The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reasons for the revolution are multiple and many 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hypotheses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are developed to explain this complete turn of events. One possible reason 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may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be the shortage of food. The increase in population may have increased the competition and requirement of food, developing a need 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for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farming. There was no real work for the elders and children at that time.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Thus,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another possible reason </w:t>
      </w:r>
      <w:r w:rsidR="006424B6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why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people may have 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started farming is to involve the children and elders in the process of </w:t>
      </w:r>
      <w:r w:rsidR="006424B6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growing </w:t>
      </w:r>
      <w:r w:rsidR="00845B2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food.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="005A5B6B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umans may have </w:t>
      </w:r>
      <w:r w:rsidR="005A5B6B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believed that their lives are dependent on the plants and alternatively, plants are dependent on them for their survival.</w:t>
      </w:r>
      <w:r w:rsidR="00A22005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The increasing and continuous advancements in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technology </w:t>
      </w:r>
      <w:r w:rsidR="00A22005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g</w:t>
      </w:r>
      <w:r w:rsidR="006424B6">
        <w:rPr>
          <w:rFonts w:ascii="Times New Roman" w:eastAsia="Times New Roman" w:hAnsi="Times New Roman" w:cs="Times New Roman"/>
          <w:spacing w:val="2"/>
          <w:kern w:val="0"/>
          <w:lang w:eastAsia="en-US"/>
        </w:rPr>
        <w:t>a</w:t>
      </w:r>
      <w:r w:rsidR="00A22005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ve rise to various theories, both new and ever-evolving, about the reasons of 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</w:t>
      </w:r>
      <w:r w:rsidR="00A22005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agricultural revolution.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id w:val="850153287"/>
          <w:citation/>
        </w:sdtPr>
        <w:sdtEndPr/>
        <w:sdtContent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begin"/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instrText xml:space="preserve"> CITATION ERI19 \l 1033 </w:instrTex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separate"/>
          </w:r>
          <w:r w:rsidR="00EA7AF9" w:rsidRPr="00EA7AF9">
            <w:rPr>
              <w:rFonts w:ascii="Times New Roman" w:eastAsia="Times New Roman" w:hAnsi="Times New Roman" w:cs="Times New Roman"/>
              <w:noProof/>
              <w:spacing w:val="2"/>
              <w:kern w:val="0"/>
              <w:lang w:eastAsia="en-US"/>
            </w:rPr>
            <w:t>(BLAKEMORE, 2019)</w: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end"/>
          </w:r>
        </w:sdtContent>
      </w:sdt>
    </w:p>
    <w:p w14:paraId="3EC78A6E" w14:textId="2517F819" w:rsidR="00804F2B" w:rsidRPr="00EA7AF9" w:rsidRDefault="00CC78BA" w:rsidP="00EA7AF9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However, the revolution of humans from foraging and hunting to farming has made them more civilized and settled. It is believed that h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umans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started farming barley, and gathering seeds and plants, thousands of years ago.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="005A4F0C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With the passage of time, these farmers became better at their work and started producing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="005A4F0C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crop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s</w:t>
      </w:r>
      <w:r w:rsidR="005A4F0C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and seeds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that required </w:t>
      </w:r>
      <w:r w:rsidR="005A4F0C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special </w:t>
      </w:r>
      <w:hyperlink r:id="rId10" w:history="1">
        <w:r w:rsidR="00B8622E" w:rsidRPr="00EA7AF9"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t>storage</w:t>
        </w:r>
      </w:hyperlink>
      <w:r w:rsidR="005A4F0C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for their growth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 Th</w:t>
      </w:r>
      <w:r w:rsidR="00776C4A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ese events encouraged and stimulated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population growth </w:t>
      </w:r>
      <w:r w:rsidR="00776C4A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as the food available now was more than ever. However, the storage and preservation of these seeds and crops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required a more settled</w:t>
      </w:r>
      <w:r w:rsidR="00776C4A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and </w:t>
      </w:r>
      <w:r w:rsidR="00804F2B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developed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="00804F2B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environment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id w:val="1962602064"/>
          <w:citation/>
        </w:sdtPr>
        <w:sdtEndPr/>
        <w:sdtContent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begin"/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instrText xml:space="preserve"> CITATION ERI19 \l 1033 </w:instrTex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separate"/>
          </w:r>
          <w:r w:rsidR="00EA7AF9" w:rsidRPr="00EA7AF9">
            <w:rPr>
              <w:rFonts w:ascii="Times New Roman" w:eastAsia="Times New Roman" w:hAnsi="Times New Roman" w:cs="Times New Roman"/>
              <w:noProof/>
              <w:spacing w:val="2"/>
              <w:kern w:val="0"/>
              <w:lang w:eastAsia="en-US"/>
            </w:rPr>
            <w:t>(BLAKEMORE, 2019)</w: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end"/>
          </w:r>
        </w:sdtContent>
      </w:sdt>
    </w:p>
    <w:p w14:paraId="016BBD04" w14:textId="77777777" w:rsidR="00804F2B" w:rsidRPr="00EA7AF9" w:rsidRDefault="00B8622E" w:rsidP="00EA7AF9">
      <w:pPr>
        <w:ind w:firstLine="0"/>
        <w:rPr>
          <w:rFonts w:ascii="Times New Roman" w:eastAsia="Times New Roman" w:hAnsi="Times New Roman" w:cs="Times New Roman"/>
          <w:b/>
          <w:bCs/>
          <w:spacing w:val="2"/>
          <w:kern w:val="0"/>
          <w:lang w:eastAsia="en-US"/>
        </w:rPr>
      </w:pPr>
      <w:r w:rsidRPr="00EA7AF9">
        <w:rPr>
          <w:rFonts w:ascii="Times New Roman" w:eastAsia="Times New Roman" w:hAnsi="Times New Roman" w:cs="Times New Roman"/>
          <w:b/>
          <w:bCs/>
          <w:spacing w:val="2"/>
          <w:kern w:val="0"/>
          <w:lang w:eastAsia="en-US"/>
        </w:rPr>
        <w:t>Animal domestication</w:t>
      </w:r>
    </w:p>
    <w:p w14:paraId="56585E3D" w14:textId="370848DE" w:rsidR="00714987" w:rsidRPr="00EA7AF9" w:rsidRDefault="009C358B" w:rsidP="00845B27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domestication of animals was started as soon as humans started farming. </w:t>
      </w:r>
      <w:r w:rsidR="007765C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Many 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pieces of evidence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of </w:t>
      </w:r>
      <w:r w:rsidR="007765C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goat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and </w:t>
      </w:r>
      <w:r w:rsidR="007765C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sheep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herding </w:t>
      </w:r>
      <w:r w:rsidR="007765C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have been discovered</w:t>
      </w:r>
      <w:hyperlink r:id="rId11" w:history="1">
        <w:r w:rsidR="00B8622E" w:rsidRPr="00EA7AF9"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t xml:space="preserve"> in </w:t>
        </w:r>
        <w:r w:rsidR="007765C0" w:rsidRPr="00EA7AF9"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t xml:space="preserve">Anatolia </w:t>
        </w:r>
        <w:r w:rsidR="00B8622E" w:rsidRPr="00EA7AF9"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t xml:space="preserve">and </w:t>
        </w:r>
        <w:r w:rsidR="007765C0" w:rsidRPr="00EA7AF9"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t>Iraq</w:t>
        </w:r>
      </w:hyperlink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about 1</w:t>
      </w:r>
      <w:r w:rsidR="007765C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0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,000 years ago. </w:t>
      </w:r>
      <w:r w:rsidR="007C07B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Farming became more intensive when these d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omesticated animals</w:t>
      </w:r>
      <w:r w:rsidR="007C07B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were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u</w:t>
      </w:r>
      <w:r w:rsidR="007C07B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tilized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as labor</w:t>
      </w:r>
      <w:r w:rsidR="007C07B0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. They also proved to be a vital nutritional source at that time by providing meat and milk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for </w:t>
      </w:r>
      <w:r w:rsidR="00714987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 rapidly </w:t>
      </w:r>
      <w:r w:rsidR="00B8622E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increasing populations.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id w:val="1646235642"/>
          <w:citation/>
        </w:sdtPr>
        <w:sdtEndPr/>
        <w:sdtContent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begin"/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instrText xml:space="preserve"> CITATION His18 \l 1033 </w:instrTex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separate"/>
          </w:r>
          <w:r w:rsidR="00EA7AF9" w:rsidRPr="00EA7AF9">
            <w:rPr>
              <w:rFonts w:ascii="Times New Roman" w:eastAsia="Times New Roman" w:hAnsi="Times New Roman" w:cs="Times New Roman"/>
              <w:noProof/>
              <w:spacing w:val="2"/>
              <w:kern w:val="0"/>
              <w:lang w:eastAsia="en-US"/>
            </w:rPr>
            <w:t>(Editors, 2018)</w: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end"/>
          </w:r>
        </w:sdtContent>
      </w:sdt>
    </w:p>
    <w:p w14:paraId="201DA044" w14:textId="77777777" w:rsidR="00B8622E" w:rsidRPr="00EA7AF9" w:rsidRDefault="00B8622E" w:rsidP="00EA7AF9">
      <w:pPr>
        <w:ind w:firstLine="0"/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</w:p>
    <w:p w14:paraId="48CF74A0" w14:textId="5DD79CC3" w:rsidR="00714987" w:rsidRPr="00EA7AF9" w:rsidRDefault="00EA7AF9" w:rsidP="00EA7AF9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lastRenderedPageBreak/>
        <w:t xml:space="preserve">When the Neolithic revolution started, </w:t>
      </w:r>
      <w:r w:rsidR="00B8622E"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>many hunter-gatherer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s</w:t>
      </w:r>
      <w:r w:rsidR="00B8622E"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were not ready to accept it and many opposed it. The hunter-gatherer culture persisted and continued</w:t>
      </w:r>
      <w:r w:rsidR="00B8622E"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until modern times.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There were numerous hunter-gatherers in different parts of Europe and America in 1500 C.E.</w:t>
      </w:r>
      <w:r w:rsidR="00B8622E" w:rsidRPr="001E5B41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However, a drastic decrease in the population of hunter-gatherers is recorded in the last five hundred years. 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begin"/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instrText xml:space="preserve"> ADDIN ZOTERO_ITEM CSL_CITATION {"citationID":"jH5RRp2U","properties":{"formattedCitation":"(Society, 2019)","plainCitation":"(Society, 2019)"},"citationItems":[{"id":92,"uris":["http://zotero.org/users/local/87ZAHpff/items/FAR4RD6Q"],"uri":["http://zotero.org/users/local/87ZAHpff/items/FAR4RD6Q"],"itemData":{"id":92,"type":"webpage","title":"Hunter-Gatherer Culture","container-title":"National Geographic Society","abstract":"Hunter-gatherer culture was the way of life for early humans until around 11 to 12,000 years ago. The lifestyle of hunter-gatherers was based on hunting animals and foraging for food.","URL":"http://www.nationalgeographic.org/encyclopedia/hunter-gatherer-culture/","language":"en","author":[{"family":"Society","given":"National Geographic"}],"issued":{"date-parts":[["2019",8,19]]}}}],"schema":"https://github.com/citation-style-language/schema/raw/master/csl-citation.json"} </w:instrTex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separate"/>
      </w:r>
      <w:r w:rsidRPr="00EA7AF9">
        <w:rPr>
          <w:rFonts w:ascii="Times New Roman" w:hAnsi="Times New Roman" w:cs="Times New Roman"/>
        </w:rPr>
        <w:t>(Society, 2019)</w:t>
      </w:r>
      <w:r>
        <w:rPr>
          <w:rFonts w:ascii="Times New Roman" w:eastAsia="Times New Roman" w:hAnsi="Times New Roman" w:cs="Times New Roman"/>
          <w:spacing w:val="2"/>
          <w:kern w:val="0"/>
          <w:lang w:eastAsia="en-US"/>
        </w:rPr>
        <w:fldChar w:fldCharType="end"/>
      </w:r>
    </w:p>
    <w:p w14:paraId="16910662" w14:textId="7AC73167" w:rsidR="00714987" w:rsidRPr="00EA7AF9" w:rsidRDefault="00714987" w:rsidP="00714987">
      <w:pPr>
        <w:rPr>
          <w:rFonts w:ascii="Times New Roman" w:eastAsia="Times New Roman" w:hAnsi="Times New Roman" w:cs="Times New Roman"/>
          <w:spacing w:val="2"/>
          <w:kern w:val="0"/>
          <w:lang w:eastAsia="en-US"/>
        </w:rPr>
      </w:pP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The consequences of the agricultural revolution were huge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and quite difficult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for humans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to handle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. 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They (consequences) have been linked from civil </w:t>
      </w:r>
      <w:hyperlink r:id="rId12" w:history="1">
        <w:r w:rsidRPr="00EA7AF9"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t>inequality</w:t>
        </w:r>
      </w:hyperlink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(an aftereffect of increased human dependence on the fields)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to 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lower nutritional level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s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. Also, a sudden rise of many infections (contracting from domesticated animals) was recorded. 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But the new 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era</w:t>
      </w:r>
      <w:r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r w:rsidR="00EA7AF9" w:rsidRP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>provided the people with improved and better technology and considerable advancements and improvements in arts, trade, and knowledge</w:t>
      </w:r>
      <w:r w:rsidR="00EA7AF9">
        <w:rPr>
          <w:rFonts w:ascii="Times New Roman" w:eastAsia="Times New Roman" w:hAnsi="Times New Roman" w:cs="Times New Roman"/>
          <w:spacing w:val="2"/>
          <w:kern w:val="0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kern w:val="0"/>
            <w:lang w:eastAsia="en-US"/>
          </w:rPr>
          <w:id w:val="300194621"/>
          <w:citation/>
        </w:sdtPr>
        <w:sdtEndPr/>
        <w:sdtContent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begin"/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instrText xml:space="preserve"> CITATION ERI19 \l 1033 </w:instrTex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separate"/>
          </w:r>
          <w:r w:rsidR="00EA7AF9" w:rsidRPr="00EA7AF9">
            <w:rPr>
              <w:rFonts w:ascii="Times New Roman" w:eastAsia="Times New Roman" w:hAnsi="Times New Roman" w:cs="Times New Roman"/>
              <w:noProof/>
              <w:spacing w:val="2"/>
              <w:kern w:val="0"/>
              <w:lang w:eastAsia="en-US"/>
            </w:rPr>
            <w:t>(BLAKEMORE, 2019)</w:t>
          </w:r>
          <w:r w:rsidR="00EA7AF9">
            <w:rPr>
              <w:rFonts w:ascii="Times New Roman" w:eastAsia="Times New Roman" w:hAnsi="Times New Roman" w:cs="Times New Roman"/>
              <w:spacing w:val="2"/>
              <w:kern w:val="0"/>
              <w:lang w:eastAsia="en-US"/>
            </w:rPr>
            <w:fldChar w:fldCharType="end"/>
          </w:r>
        </w:sdtContent>
      </w:sdt>
      <w:r w:rsidR="006424B6">
        <w:rPr>
          <w:rFonts w:ascii="Times New Roman" w:eastAsia="Times New Roman" w:hAnsi="Times New Roman" w:cs="Times New Roman"/>
          <w:spacing w:val="2"/>
          <w:kern w:val="0"/>
          <w:lang w:eastAsia="en-US"/>
        </w:rPr>
        <w:t>.</w:t>
      </w:r>
    </w:p>
    <w:bookmarkEnd w:id="0"/>
    <w:p w14:paraId="0FE31B0A" w14:textId="75F726A5" w:rsidR="00714987" w:rsidRDefault="00714987"/>
    <w:p w14:paraId="25927317" w14:textId="3CAE9747" w:rsidR="00EA7AF9" w:rsidRDefault="00EA7AF9"/>
    <w:p w14:paraId="10EE515E" w14:textId="21B43D12" w:rsidR="00EA7AF9" w:rsidRDefault="00EA7AF9"/>
    <w:p w14:paraId="1A979EAD" w14:textId="45AF2319" w:rsidR="00EA7AF9" w:rsidRDefault="00EA7AF9"/>
    <w:p w14:paraId="6AE23E29" w14:textId="0477A10F" w:rsidR="00EA7AF9" w:rsidRDefault="00EA7AF9"/>
    <w:p w14:paraId="7C6A8128" w14:textId="1CE9CB07" w:rsidR="00EA7AF9" w:rsidRDefault="00EA7AF9"/>
    <w:p w14:paraId="501E89CF" w14:textId="3E99A1DE" w:rsidR="00EA7AF9" w:rsidRDefault="00EA7AF9"/>
    <w:p w14:paraId="26E3890F" w14:textId="020DBBE6" w:rsidR="00EA7AF9" w:rsidRDefault="00EA7AF9"/>
    <w:p w14:paraId="63EE29EA" w14:textId="42CADB2A" w:rsidR="00EA7AF9" w:rsidRDefault="00EA7AF9"/>
    <w:p w14:paraId="7B46ACFA" w14:textId="77777777" w:rsidR="00EA7AF9" w:rsidRDefault="00EA7AF9"/>
    <w:sdt>
      <w:sdtPr>
        <w:rPr>
          <w:rFonts w:asciiTheme="minorHAnsi" w:eastAsiaTheme="minorEastAsia" w:hAnsiTheme="minorHAnsi" w:cstheme="minorBidi"/>
          <w:b w:val="0"/>
          <w:bCs w:val="0"/>
        </w:rPr>
        <w:id w:val="62297111"/>
        <w:docPartObj>
          <w:docPartGallery w:val="Bibliographies"/>
          <w:docPartUnique/>
        </w:docPartObj>
      </w:sdtPr>
      <w:sdtEndPr/>
      <w:sdtContent>
        <w:sdt>
          <w:sdtPr>
            <w:rPr>
              <w:rFonts w:asciiTheme="minorHAnsi" w:eastAsiaTheme="minorEastAsia" w:hAnsiTheme="minorHAnsi" w:cstheme="minorBidi"/>
              <w:b w:val="0"/>
              <w:bCs w:val="0"/>
            </w:rPr>
            <w:id w:val="2087876571"/>
            <w:docPartObj>
              <w:docPartGallery w:val="Bibliographies"/>
              <w:docPartUnique/>
            </w:docPartObj>
          </w:sdtPr>
          <w:sdtEndPr/>
          <w:sdtContent>
            <w:p w14:paraId="4055DE41" w14:textId="77777777" w:rsidR="00EA7AF9" w:rsidRDefault="00EA7AF9" w:rsidP="00EA7AF9">
              <w:pPr>
                <w:pStyle w:val="Heading1"/>
              </w:pPr>
              <w:r>
                <w:t>References</w:t>
              </w:r>
            </w:p>
            <w:sdt>
              <w:sdtPr>
                <w:id w:val="-573587230"/>
                <w:bibliography/>
              </w:sdtPr>
              <w:sdtEndPr/>
              <w:sdtContent>
                <w:p w14:paraId="393C4B77" w14:textId="77777777" w:rsidR="00EA7AF9" w:rsidRDefault="00EA7AF9" w:rsidP="00EA7AF9">
                  <w:pPr>
                    <w:pStyle w:val="Bibliography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BIBLIOGRAPHY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BLAKEMORE, E. (2019, April 5). </w:t>
                  </w:r>
                  <w:r>
                    <w:rPr>
                      <w:i/>
                      <w:iCs/>
                      <w:noProof/>
                    </w:rPr>
                    <w:t>What was the Neolithic Revolution?</w:t>
                  </w:r>
                  <w:r>
                    <w:rPr>
                      <w:noProof/>
                    </w:rPr>
                    <w:t xml:space="preserve"> Retrieved from nationalgeographic: https://www.nationalgeographic.com/culture/topics/reference/neolithic-agricultural-revolution/</w:t>
                  </w:r>
                </w:p>
                <w:p w14:paraId="6A7ACA81" w14:textId="4B6BBC69" w:rsidR="00EA7AF9" w:rsidRDefault="00EA7AF9" w:rsidP="00EA7AF9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Editors, H. (2018, January 12). </w:t>
                  </w:r>
                  <w:r>
                    <w:rPr>
                      <w:i/>
                      <w:iCs/>
                      <w:noProof/>
                    </w:rPr>
                    <w:t>Neolithic Revolution.</w:t>
                  </w:r>
                  <w:r>
                    <w:rPr>
                      <w:noProof/>
                    </w:rPr>
                    <w:t xml:space="preserve"> Retrieved from HISTORY: https://www.history.com/topics/pre-history/neolithic-revolution</w:t>
                  </w:r>
                </w:p>
                <w:p w14:paraId="005B9780" w14:textId="77777777" w:rsidR="00EA7AF9" w:rsidRPr="00EA7AF9" w:rsidRDefault="00EA7AF9" w:rsidP="00EA7AF9">
                  <w:pPr>
                    <w:pStyle w:val="Bibliography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bCs/>
                      <w:noProof/>
                    </w:rPr>
                    <w:fldChar w:fldCharType="end"/>
                  </w:r>
                  <w:r>
                    <w:rPr>
                      <w:b/>
                      <w:bCs/>
                      <w:noProof/>
                    </w:rPr>
                    <w:fldChar w:fldCharType="begin"/>
                  </w:r>
                  <w:r>
                    <w:rPr>
                      <w:b/>
                      <w:bCs/>
                      <w:noProof/>
                    </w:rPr>
                    <w:instrText xml:space="preserve"> ADDIN ZOTERO_BIBL {"custom":[]} CSL_BIBLIOGRAPHY </w:instrText>
                  </w:r>
                  <w:r>
                    <w:rPr>
                      <w:b/>
                      <w:bCs/>
                      <w:noProof/>
                    </w:rPr>
                    <w:fldChar w:fldCharType="separate"/>
                  </w:r>
                  <w:r w:rsidRPr="00EA7AF9">
                    <w:rPr>
                      <w:rFonts w:ascii="Times New Roman" w:hAnsi="Times New Roman" w:cs="Times New Roman"/>
                    </w:rPr>
                    <w:t>Society, N. G. (2019, August 19). Hunter-Gatherer Culture. Retrieved from National Geographic Society website: http://www.nationalgeographic.org/encyclopedia/hunter-gatherer-culture/</w:t>
                  </w:r>
                </w:p>
                <w:p w14:paraId="03B7A4C9" w14:textId="2FE772C9" w:rsidR="00EA7AF9" w:rsidRDefault="00EA7AF9" w:rsidP="00EA7AF9"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</w:sdtContent>
            </w:sdt>
          </w:sdtContent>
        </w:sdt>
        <w:p w14:paraId="19342C41" w14:textId="2F5FD51E" w:rsidR="00E81978" w:rsidRDefault="00CC0365" w:rsidP="006424B6">
          <w:pPr>
            <w:pStyle w:val="Bibliography"/>
            <w:ind w:left="0" w:firstLine="0"/>
            <w:rPr>
              <w:noProof/>
            </w:rPr>
          </w:pPr>
        </w:p>
      </w:sdtContent>
    </w:sdt>
    <w:sectPr w:rsidR="00E81978">
      <w:headerReference w:type="default" r:id="rId13"/>
      <w:head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F240" w14:textId="77777777" w:rsidR="00CC0365" w:rsidRDefault="00CC0365">
      <w:pPr>
        <w:spacing w:line="240" w:lineRule="auto"/>
      </w:pPr>
      <w:r>
        <w:separator/>
      </w:r>
    </w:p>
    <w:p w14:paraId="74D24A27" w14:textId="77777777" w:rsidR="00CC0365" w:rsidRDefault="00CC0365"/>
  </w:endnote>
  <w:endnote w:type="continuationSeparator" w:id="0">
    <w:p w14:paraId="6B3D91A4" w14:textId="77777777" w:rsidR="00CC0365" w:rsidRDefault="00CC0365">
      <w:pPr>
        <w:spacing w:line="240" w:lineRule="auto"/>
      </w:pPr>
      <w:r>
        <w:continuationSeparator/>
      </w:r>
    </w:p>
    <w:p w14:paraId="34092D3A" w14:textId="77777777" w:rsidR="00CC0365" w:rsidRDefault="00CC0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615D" w14:textId="77777777" w:rsidR="00CC0365" w:rsidRDefault="00CC0365">
      <w:pPr>
        <w:spacing w:line="240" w:lineRule="auto"/>
      </w:pPr>
      <w:r>
        <w:separator/>
      </w:r>
    </w:p>
    <w:p w14:paraId="544F2CFD" w14:textId="77777777" w:rsidR="00CC0365" w:rsidRDefault="00CC0365"/>
  </w:footnote>
  <w:footnote w:type="continuationSeparator" w:id="0">
    <w:p w14:paraId="7DFB8863" w14:textId="77777777" w:rsidR="00CC0365" w:rsidRDefault="00CC0365">
      <w:pPr>
        <w:spacing w:line="240" w:lineRule="auto"/>
      </w:pPr>
      <w:r>
        <w:continuationSeparator/>
      </w:r>
    </w:p>
    <w:p w14:paraId="35AC2E95" w14:textId="77777777" w:rsidR="00CC0365" w:rsidRDefault="00CC0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D7C" w14:textId="53185C33" w:rsidR="00E81978" w:rsidRDefault="00CC0365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B8622E">
          <w:rPr>
            <w:rStyle w:val="Strong"/>
          </w:rPr>
          <w:t>the neolithic revolution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25D9" w14:textId="284C3A5A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B8622E">
          <w:rPr>
            <w:rStyle w:val="Strong"/>
          </w:rPr>
          <w:t>the neolithic revolution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DOxNDcwsDAxNjFT0lEKTi0uzszPAykwqgUAFoPtKCwAAAA="/>
  </w:docVars>
  <w:rsids>
    <w:rsidRoot w:val="00C50272"/>
    <w:rsid w:val="0004190A"/>
    <w:rsid w:val="000D3F41"/>
    <w:rsid w:val="001404E0"/>
    <w:rsid w:val="001E5B41"/>
    <w:rsid w:val="002F5A26"/>
    <w:rsid w:val="00355DCA"/>
    <w:rsid w:val="00551A02"/>
    <w:rsid w:val="005534FA"/>
    <w:rsid w:val="005A4F0C"/>
    <w:rsid w:val="005A5B6B"/>
    <w:rsid w:val="005D3A03"/>
    <w:rsid w:val="00614DAF"/>
    <w:rsid w:val="006424B6"/>
    <w:rsid w:val="00714987"/>
    <w:rsid w:val="007765C0"/>
    <w:rsid w:val="00776C4A"/>
    <w:rsid w:val="007B2BC8"/>
    <w:rsid w:val="007C07B0"/>
    <w:rsid w:val="008002C0"/>
    <w:rsid w:val="00804F2B"/>
    <w:rsid w:val="00845B27"/>
    <w:rsid w:val="00887221"/>
    <w:rsid w:val="008C4D79"/>
    <w:rsid w:val="008C5323"/>
    <w:rsid w:val="009272D6"/>
    <w:rsid w:val="009A6A3B"/>
    <w:rsid w:val="009C358B"/>
    <w:rsid w:val="00A22005"/>
    <w:rsid w:val="00B11CB5"/>
    <w:rsid w:val="00B823AA"/>
    <w:rsid w:val="00B8622E"/>
    <w:rsid w:val="00BA45DB"/>
    <w:rsid w:val="00BF4184"/>
    <w:rsid w:val="00C0601E"/>
    <w:rsid w:val="00C31D30"/>
    <w:rsid w:val="00C50272"/>
    <w:rsid w:val="00C73F57"/>
    <w:rsid w:val="00CC0365"/>
    <w:rsid w:val="00CC78BA"/>
    <w:rsid w:val="00CD6E39"/>
    <w:rsid w:val="00CF6E91"/>
    <w:rsid w:val="00D85B68"/>
    <w:rsid w:val="00E541B1"/>
    <w:rsid w:val="00E6004D"/>
    <w:rsid w:val="00E81978"/>
    <w:rsid w:val="00EA7AF9"/>
    <w:rsid w:val="00F379B7"/>
    <w:rsid w:val="00F452F2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5B92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B86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heguardian.com/inequality/2017/dec/05/how-neolithic-farming-sowed-the-seeds-of-modern-inequality-10000-years-ag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nas.org/content/105/33/1159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stor.org/stable/41496927" TargetMode="External"/><Relationship Id="rId4" Type="http://schemas.openxmlformats.org/officeDocument/2006/relationships/styles" Target="styles.xml"/><Relationship Id="rId9" Type="http://schemas.openxmlformats.org/officeDocument/2006/relationships/hyperlink" Target="https://genographic.nationalgeographic.com/development-of-agriculture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414C9A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414C9A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414C9A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414C9A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414C9A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414C9A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414C9A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8555F"/>
    <w:rsid w:val="00313E00"/>
    <w:rsid w:val="00414C9A"/>
    <w:rsid w:val="00760679"/>
    <w:rsid w:val="009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neolithic revolution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3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4</b:RefOrder>
  </b:Source>
  <b:Source>
    <b:Tag>ERI19</b:Tag>
    <b:SourceType>DocumentFromInternetSite</b:SourceType>
    <b:Guid>{A4B552D2-1467-4DF2-A637-9CFAB7E84E85}</b:Guid>
    <b:Author>
      <b:Author>
        <b:NameList>
          <b:Person>
            <b:Last>BLAKEMORE</b:Last>
            <b:First>ERIN</b:First>
          </b:Person>
        </b:NameList>
      </b:Author>
    </b:Author>
    <b:Title>What was the Neolithic Revolution?</b:Title>
    <b:InternetSiteTitle>nationalgeographic</b:InternetSiteTitle>
    <b:Year>2019</b:Year>
    <b:Month>April</b:Month>
    <b:Day>5</b:Day>
    <b:URL>https://www.nationalgeographic.com/culture/topics/reference/neolithic-agricultural-revolution/</b:URL>
    <b:RefOrder>1</b:RefOrder>
  </b:Source>
  <b:Source>
    <b:Tag>His18</b:Tag>
    <b:SourceType>DocumentFromInternetSite</b:SourceType>
    <b:Guid>{243230CE-F51A-47E3-9FD8-248215413A94}</b:Guid>
    <b:Author>
      <b:Author>
        <b:NameList>
          <b:Person>
            <b:Last>Editors</b:Last>
            <b:First>History.com</b:First>
          </b:Person>
        </b:NameList>
      </b:Author>
    </b:Author>
    <b:Title>Neolithic Revolution</b:Title>
    <b:InternetSiteTitle>HISTORY</b:InternetSiteTitle>
    <b:Year>2018</b:Year>
    <b:Month>January</b:Month>
    <b:Day>12</b:Day>
    <b:URL>https://www.history.com/topics/pre-history/neolithic-revolution</b:URL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DAB95-A269-48C4-9B41-F6D08DA9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Neolithic Revolution</dc:title>
  <dc:subject/>
  <dc:creator>Zack Gold</dc:creator>
  <cp:keywords/>
  <dc:description/>
  <cp:lastModifiedBy>Morning</cp:lastModifiedBy>
  <cp:revision>2</cp:revision>
  <dcterms:created xsi:type="dcterms:W3CDTF">2019-11-07T13:23:00Z</dcterms:created>
  <dcterms:modified xsi:type="dcterms:W3CDTF">2019-11-07T13:23:00Z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id="DhJADmyQ"/&gt;&lt;style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