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C934F0" w:rsidRDefault="002A2A03"/>
    <w:p w:rsidR="00027304" w:rsidRDefault="00F80DFD" w:rsidP="00027304">
      <w:pPr>
        <w:tabs>
          <w:tab w:val="left" w:pos="4410"/>
        </w:tabs>
        <w:ind w:left="3600" w:firstLine="0"/>
      </w:pPr>
      <w:r>
        <w:tab/>
      </w:r>
    </w:p>
    <w:p w:rsidR="00027304" w:rsidRDefault="00027304" w:rsidP="00027304">
      <w:pPr>
        <w:tabs>
          <w:tab w:val="left" w:pos="4410"/>
        </w:tabs>
        <w:ind w:left="3600" w:firstLine="0"/>
      </w:pPr>
    </w:p>
    <w:p w:rsidR="00027304" w:rsidRDefault="00027304" w:rsidP="00027304">
      <w:pPr>
        <w:tabs>
          <w:tab w:val="left" w:pos="4410"/>
        </w:tabs>
        <w:ind w:left="3600" w:firstLine="0"/>
      </w:pPr>
    </w:p>
    <w:p w:rsidR="00027304" w:rsidRDefault="00027304" w:rsidP="00027304">
      <w:pPr>
        <w:tabs>
          <w:tab w:val="left" w:pos="4410"/>
        </w:tabs>
        <w:ind w:left="3600" w:firstLine="0"/>
      </w:pPr>
    </w:p>
    <w:p w:rsidR="00027304" w:rsidRDefault="00027304" w:rsidP="00027304">
      <w:pPr>
        <w:tabs>
          <w:tab w:val="left" w:pos="4410"/>
        </w:tabs>
        <w:ind w:left="3600" w:firstLine="0"/>
      </w:pPr>
    </w:p>
    <w:p w:rsidR="00310EAA" w:rsidRPr="00C934F0" w:rsidRDefault="00F80DFD" w:rsidP="00DC4BFA">
      <w:pPr>
        <w:jc w:val="center"/>
      </w:pPr>
      <w:r w:rsidRPr="00C934F0">
        <w:t>Name (First M_Last)</w:t>
      </w:r>
    </w:p>
    <w:p w:rsidR="00310EAA" w:rsidRPr="00C934F0" w:rsidRDefault="00F80DFD" w:rsidP="00DC4BFA">
      <w:pPr>
        <w:jc w:val="center"/>
      </w:pPr>
      <w:r w:rsidRPr="00C934F0">
        <w:t>Institution Name</w:t>
      </w:r>
    </w:p>
    <w:p w:rsidR="00D808D6" w:rsidRDefault="00F80DFD" w:rsidP="00D808D6">
      <w:pPr>
        <w:jc w:val="center"/>
      </w:pPr>
      <w:r w:rsidRPr="00C934F0">
        <w:br w:type="page"/>
      </w:r>
      <w:r>
        <w:lastRenderedPageBreak/>
        <w:t>Introduction</w:t>
      </w:r>
    </w:p>
    <w:p w:rsidR="00DF5221" w:rsidRDefault="00F80DFD" w:rsidP="00F76B5F">
      <w:pPr>
        <w:ind w:firstLine="0"/>
        <w:rPr>
          <w:b/>
        </w:rPr>
      </w:pPr>
      <w:r w:rsidRPr="003B3DA6">
        <w:rPr>
          <w:b/>
        </w:rPr>
        <w:t>TBI health and Growth</w:t>
      </w:r>
      <w:r>
        <w:rPr>
          <w:i/>
        </w:rPr>
        <w:br/>
        <w:t xml:space="preserve"> </w:t>
      </w:r>
      <w:r>
        <w:rPr>
          <w:i/>
        </w:rPr>
        <w:tab/>
      </w:r>
      <w:r w:rsidR="00EA01A7">
        <w:t xml:space="preserve">A wide range of people </w:t>
      </w:r>
      <w:r w:rsidR="00CF47E8">
        <w:t xml:space="preserve">nationwide </w:t>
      </w:r>
      <w:r w:rsidR="00EA01A7">
        <w:t xml:space="preserve">is affected by </w:t>
      </w:r>
      <w:r w:rsidR="00125594">
        <w:t xml:space="preserve">Traumatic Brain Injury (TBI). </w:t>
      </w:r>
      <w:r w:rsidR="006B7A5C">
        <w:t xml:space="preserve">One thing remains constant; condition of human suffers, both externally and internally. </w:t>
      </w:r>
      <w:r w:rsidR="002B565B">
        <w:t xml:space="preserve">It has been confirmed by studies that caregivers of TBI patients may experience the </w:t>
      </w:r>
      <w:r w:rsidR="00932257">
        <w:t xml:space="preserve">feelings of anger, anxiety, distress, recurring depression, and </w:t>
      </w:r>
      <w:r w:rsidR="00CC1EBB">
        <w:t xml:space="preserve">burden (Brain Injury Association of America [BIAUSA], 2015). </w:t>
      </w:r>
      <w:r w:rsidR="00EA1580">
        <w:t>The most alarming and detrimental</w:t>
      </w:r>
      <w:r w:rsidR="00BB01D1">
        <w:t xml:space="preserve"> thing is the number of disabilities and deaths that are caused by </w:t>
      </w:r>
      <w:r w:rsidR="00EA1580">
        <w:t>TBI. In the US</w:t>
      </w:r>
      <w:r w:rsidR="002B015A">
        <w:t xml:space="preserve">A, these deaths contribute in the neighborhood of 30% of all of the deaths that are related to </w:t>
      </w:r>
      <w:r w:rsidR="008221C6">
        <w:t>injury</w:t>
      </w:r>
      <w:r w:rsidR="008221C6" w:rsidRPr="008221C6">
        <w:t xml:space="preserve"> (Centers for Disease Contr</w:t>
      </w:r>
      <w:r w:rsidR="008221C6">
        <w:t>ol and Prevention [CDCP], 2014)</w:t>
      </w:r>
      <w:r w:rsidR="006075A8">
        <w:t>. TBI’</w:t>
      </w:r>
      <w:r w:rsidR="00E8294B">
        <w:t xml:space="preserve">s effects involve impaired memory or thinking, </w:t>
      </w:r>
      <w:r w:rsidR="00EE2EB8">
        <w:t xml:space="preserve">emotional, </w:t>
      </w:r>
      <w:r w:rsidR="00E8294B">
        <w:t>sensation</w:t>
      </w:r>
      <w:r w:rsidR="00FC2EE2">
        <w:t xml:space="preserve"> function, or movement</w:t>
      </w:r>
      <w:r w:rsidR="00EE2EB8">
        <w:t xml:space="preserve"> (CDCP, 2014)</w:t>
      </w:r>
      <w:r w:rsidR="00FC2EE2">
        <w:t>.</w:t>
      </w:r>
      <w:r w:rsidR="00EE2EB8">
        <w:t xml:space="preserve"> </w:t>
      </w:r>
      <w:r w:rsidR="005F598A">
        <w:t xml:space="preserve">The utter devastation and ferocity of those that are suffering </w:t>
      </w:r>
      <w:r w:rsidR="003E23ED">
        <w:t xml:space="preserve">from this </w:t>
      </w:r>
      <w:r w:rsidR="004E7ACD">
        <w:t>condition</w:t>
      </w:r>
      <w:r w:rsidR="003E23ED">
        <w:t xml:space="preserve"> are </w:t>
      </w:r>
      <w:r w:rsidR="00045D2E">
        <w:t>caught up</w:t>
      </w:r>
      <w:r w:rsidR="003E23ED">
        <w:t xml:space="preserve"> in life severely</w:t>
      </w:r>
      <w:r w:rsidR="004E7ACD">
        <w:t xml:space="preserve">, and in return, the </w:t>
      </w:r>
      <w:r w:rsidR="007E3FB1">
        <w:t xml:space="preserve">negative prospects can have a long-term effect on </w:t>
      </w:r>
      <w:r w:rsidR="000038A4">
        <w:t xml:space="preserve">family, friends, </w:t>
      </w:r>
      <w:r w:rsidR="00C16B41">
        <w:t>and relatives</w:t>
      </w:r>
      <w:r w:rsidR="000038A4">
        <w:t xml:space="preserve"> or even on a whole community.</w:t>
      </w:r>
      <w:r w:rsidR="00C16B41">
        <w:t xml:space="preserve"> The study that is purposed will review </w:t>
      </w:r>
      <w:r w:rsidR="00005731">
        <w:t xml:space="preserve">collective research models, </w:t>
      </w:r>
      <w:r w:rsidR="00C16B41">
        <w:t xml:space="preserve">current literature </w:t>
      </w:r>
      <w:r w:rsidR="00005731">
        <w:t>and data that is based on the transplantation of neural stem cell on the brains that are injured and their positive results</w:t>
      </w:r>
      <w:r w:rsidR="00E353FB">
        <w:t xml:space="preserve">. Moreover, the assisting procedures that are newly implemented for </w:t>
      </w:r>
      <w:r w:rsidR="0030241A">
        <w:t xml:space="preserve">drug therapy on </w:t>
      </w:r>
      <w:r w:rsidR="00A67D10">
        <w:t>similar injury site</w:t>
      </w:r>
      <w:r w:rsidR="0064338D">
        <w:t>s</w:t>
      </w:r>
      <w:r w:rsidR="004F7C81">
        <w:t xml:space="preserve">. In a controlled laboratory setting, studies are collected primarily and modeled on </w:t>
      </w:r>
      <w:r w:rsidR="001F10DC">
        <w:t>rats for</w:t>
      </w:r>
      <w:r w:rsidR="004F7C81">
        <w:t xml:space="preserve"> </w:t>
      </w:r>
      <w:r w:rsidR="001F10DC">
        <w:t xml:space="preserve">the effectiveness of the required protocol of treatment. </w:t>
      </w:r>
      <w:r w:rsidR="00484FAE">
        <w:t xml:space="preserve">Goals of study </w:t>
      </w:r>
      <w:r w:rsidR="007C4FF8">
        <w:t>will also involve newly invested research at the</w:t>
      </w:r>
      <w:r w:rsidR="004E753D">
        <w:t xml:space="preserve"> </w:t>
      </w:r>
      <w:r w:rsidR="004E753D" w:rsidRPr="004E753D">
        <w:t xml:space="preserve">University </w:t>
      </w:r>
      <w:proofErr w:type="gramStart"/>
      <w:r w:rsidR="004E753D" w:rsidRPr="004E753D">
        <w:t>of</w:t>
      </w:r>
      <w:proofErr w:type="gramEnd"/>
      <w:r w:rsidR="004E753D" w:rsidRPr="004E753D">
        <w:t xml:space="preserve"> Michigan Medical School</w:t>
      </w:r>
      <w:r w:rsidR="004E753D">
        <w:t xml:space="preserve"> and the University of Miami Miller School of Medicine</w:t>
      </w:r>
      <w:r w:rsidR="00095F02">
        <w:t xml:space="preserve"> </w:t>
      </w:r>
      <w:r w:rsidR="00F00755">
        <w:t>so as to additi</w:t>
      </w:r>
      <w:r w:rsidR="00DF5221">
        <w:t xml:space="preserve">onally support the listed above-mentioned </w:t>
      </w:r>
      <w:r w:rsidR="00F00755">
        <w:t xml:space="preserve">research. </w:t>
      </w:r>
      <w:r w:rsidR="003B3DA6">
        <w:br/>
      </w:r>
      <w:r w:rsidR="003B3DA6" w:rsidRPr="003B3DA6">
        <w:rPr>
          <w:b/>
        </w:rPr>
        <w:t>Background:</w:t>
      </w:r>
    </w:p>
    <w:p w:rsidR="009276C6" w:rsidRDefault="003B3DA6" w:rsidP="009276C6">
      <w:pPr>
        <w:ind w:firstLine="0"/>
        <w:rPr>
          <w:i/>
        </w:rPr>
      </w:pPr>
      <w:r w:rsidRPr="003B3DA6">
        <w:rPr>
          <w:b/>
        </w:rPr>
        <w:lastRenderedPageBreak/>
        <w:t>Origins of T</w:t>
      </w:r>
      <w:r w:rsidR="00DF5221">
        <w:rPr>
          <w:b/>
        </w:rPr>
        <w:t xml:space="preserve">raumatic </w:t>
      </w:r>
      <w:r w:rsidRPr="003B3DA6">
        <w:rPr>
          <w:b/>
        </w:rPr>
        <w:t>B</w:t>
      </w:r>
      <w:r w:rsidR="00DF5221">
        <w:rPr>
          <w:b/>
        </w:rPr>
        <w:t xml:space="preserve">rain </w:t>
      </w:r>
      <w:r w:rsidRPr="003B3DA6">
        <w:rPr>
          <w:b/>
        </w:rPr>
        <w:t>I</w:t>
      </w:r>
      <w:r w:rsidR="00DF5221">
        <w:rPr>
          <w:b/>
        </w:rPr>
        <w:t>njury</w:t>
      </w:r>
      <w:r w:rsidRPr="003B3DA6">
        <w:rPr>
          <w:b/>
        </w:rPr>
        <w:t xml:space="preserve"> and Impact</w:t>
      </w:r>
      <w:r>
        <w:rPr>
          <w:b/>
        </w:rPr>
        <w:br/>
      </w:r>
      <w:r w:rsidR="00D60969" w:rsidRPr="00D60969">
        <w:t>Traumatic Brain Injury</w:t>
      </w:r>
      <w:r w:rsidR="00D60969">
        <w:t xml:space="preserve"> is mainly</w:t>
      </w:r>
      <w:r w:rsidR="00DF5221">
        <w:t xml:space="preserve"> found</w:t>
      </w:r>
      <w:r w:rsidR="00D60969">
        <w:t xml:space="preserve"> in the patients who </w:t>
      </w:r>
      <w:r w:rsidR="00550D06">
        <w:t xml:space="preserve">have experienced severe head </w:t>
      </w:r>
      <w:r w:rsidR="00DF5221">
        <w:t>damages and injuries</w:t>
      </w:r>
      <w:r w:rsidR="00550D06">
        <w:t xml:space="preserve"> that disturb the </w:t>
      </w:r>
      <w:r w:rsidR="00DF5221">
        <w:t>standard</w:t>
      </w:r>
      <w:r w:rsidR="00550D06">
        <w:t xml:space="preserve"> functioning of brain. </w:t>
      </w:r>
      <w:r w:rsidR="009E42D2">
        <w:t xml:space="preserve">Not all the bumps and blows certainly result in the formation of TBI, </w:t>
      </w:r>
      <w:r w:rsidR="00497454">
        <w:t xml:space="preserve">it is of utmost importance to know that it is based on how much severe </w:t>
      </w:r>
      <w:r w:rsidR="00EC631A">
        <w:t xml:space="preserve">the </w:t>
      </w:r>
      <w:r w:rsidR="00497454">
        <w:t xml:space="preserve">head </w:t>
      </w:r>
      <w:r w:rsidR="00EC631A">
        <w:t>trauma is, and it can be in range of mild (</w:t>
      </w:r>
      <w:r w:rsidR="00E20B41">
        <w:t>momentary variation in the mental status) to serious (</w:t>
      </w:r>
      <w:r w:rsidR="0026687F">
        <w:t>major loss of motor and cognitive function</w:t>
      </w:r>
      <w:r w:rsidR="00046B4A">
        <w:t xml:space="preserve"> or </w:t>
      </w:r>
      <w:r w:rsidR="00E20B41">
        <w:t>a long period of unconsciousness</w:t>
      </w:r>
      <w:r w:rsidR="00046B4A">
        <w:t xml:space="preserve">) </w:t>
      </w:r>
      <w:r w:rsidR="00046B4A" w:rsidRPr="00046B4A">
        <w:t>(CDCP, 2014).</w:t>
      </w:r>
      <w:r w:rsidR="00F03741" w:rsidRPr="00F03741">
        <w:t>Traumatic Brain Injury</w:t>
      </w:r>
      <w:r w:rsidR="006B4F35">
        <w:t>’s most cases</w:t>
      </w:r>
      <w:r w:rsidR="00F03741">
        <w:t xml:space="preserve"> result in slight </w:t>
      </w:r>
      <w:r w:rsidR="00EA598B">
        <w:t>indications</w:t>
      </w:r>
      <w:r w:rsidR="00CD2FB2">
        <w:t xml:space="preserve"> like concussions, </w:t>
      </w:r>
      <w:r w:rsidR="00EA598B">
        <w:t xml:space="preserve">on the other hand, </w:t>
      </w:r>
      <w:r w:rsidR="00CD2FB2">
        <w:t xml:space="preserve">if it is </w:t>
      </w:r>
      <w:r w:rsidR="00F30461">
        <w:t xml:space="preserve">left unchecked, then it can </w:t>
      </w:r>
      <w:r w:rsidR="00EA598B">
        <w:t>outcome</w:t>
      </w:r>
      <w:r w:rsidR="00F30461">
        <w:t xml:space="preserve"> i</w:t>
      </w:r>
      <w:r w:rsidR="00EA598B">
        <w:t xml:space="preserve">n severe injuries and </w:t>
      </w:r>
      <w:r w:rsidR="00F30461">
        <w:t>in few cases</w:t>
      </w:r>
      <w:r w:rsidR="00EA598B">
        <w:t xml:space="preserve"> it can even result in death</w:t>
      </w:r>
      <w:r w:rsidR="00F30461">
        <w:t xml:space="preserve">. </w:t>
      </w:r>
      <w:r w:rsidR="00F30461" w:rsidRPr="00F30461">
        <w:t>Traumatic Brain Injury</w:t>
      </w:r>
      <w:r w:rsidR="00F30461">
        <w:t xml:space="preserve"> has </w:t>
      </w:r>
      <w:r w:rsidR="00EA598B">
        <w:t xml:space="preserve">a </w:t>
      </w:r>
      <w:r w:rsidR="00F30461">
        <w:t xml:space="preserve">very random </w:t>
      </w:r>
      <w:r w:rsidR="00EA598B">
        <w:t xml:space="preserve">process </w:t>
      </w:r>
      <w:r w:rsidR="00581786">
        <w:t>of recovery and there are many factors that contribute to the final result</w:t>
      </w:r>
      <w:r w:rsidR="00C63CAA">
        <w:t xml:space="preserve">, such as similar </w:t>
      </w:r>
      <w:r w:rsidR="0083096B">
        <w:t>goal</w:t>
      </w:r>
      <w:r w:rsidR="001C6CF6">
        <w:t>-oriented</w:t>
      </w:r>
      <w:r w:rsidR="0083096B">
        <w:t xml:space="preserve"> direction of </w:t>
      </w:r>
      <w:r w:rsidR="00A34272">
        <w:t xml:space="preserve">patient and </w:t>
      </w:r>
      <w:r w:rsidR="001C6CF6">
        <w:t>healthcare team, pre-morbi</w:t>
      </w:r>
      <w:r w:rsidR="00A34272">
        <w:t>d personality,</w:t>
      </w:r>
      <w:r w:rsidR="00DC6518">
        <w:t xml:space="preserve"> family support, </w:t>
      </w:r>
      <w:r w:rsidR="00A34272">
        <w:t>length of coma</w:t>
      </w:r>
      <w:r w:rsidR="00A34272">
        <w:t xml:space="preserve">, </w:t>
      </w:r>
      <w:r w:rsidR="002E0FC6">
        <w:t>specialized rehabilitation services, age at which injury occurred and particular area of the brain stem or brain that has been damaged</w:t>
      </w:r>
      <w:r w:rsidR="00E31EE0">
        <w:t xml:space="preserve"> </w:t>
      </w:r>
      <w:r w:rsidR="00E31EE0" w:rsidRPr="00E31EE0">
        <w:t>(BIAUSA, 2015).</w:t>
      </w:r>
      <w:r>
        <w:br/>
      </w:r>
      <w:r w:rsidR="008A23F6" w:rsidRPr="008A23F6">
        <w:rPr>
          <w:b/>
        </w:rPr>
        <w:br/>
        <w:t>General Problem Statement</w:t>
      </w:r>
      <w:r w:rsidR="008A23F6">
        <w:rPr>
          <w:b/>
        </w:rPr>
        <w:br/>
      </w:r>
      <w:r w:rsidR="000E4C36">
        <w:t xml:space="preserve">The general problem is </w:t>
      </w:r>
      <w:r w:rsidR="006F2745">
        <w:t>presented with the statistics that are delivered in 2010 by the CDC</w:t>
      </w:r>
      <w:r w:rsidR="00254CA9">
        <w:t xml:space="preserve">P; Emergency Department cases </w:t>
      </w:r>
      <w:r w:rsidR="003B0743">
        <w:t xml:space="preserve">that were </w:t>
      </w:r>
      <w:r w:rsidR="00254CA9">
        <w:t>around 2.5 million</w:t>
      </w:r>
      <w:r w:rsidR="00F869EA">
        <w:t xml:space="preserve"> in</w:t>
      </w:r>
      <w:r w:rsidR="003B0743">
        <w:t xml:space="preserve"> number</w:t>
      </w:r>
      <w:r w:rsidR="00F869EA">
        <w:t>,</w:t>
      </w:r>
      <w:r w:rsidR="003B0743">
        <w:t xml:space="preserve"> were related with </w:t>
      </w:r>
      <w:r w:rsidR="00F869EA">
        <w:t>Traumatic Brain Injury; either represented separately</w:t>
      </w:r>
      <w:r w:rsidR="00160C61">
        <w:t xml:space="preserve"> or with the combination of another injury in the </w:t>
      </w:r>
      <w:r w:rsidR="00E91136">
        <w:t>U.S. (</w:t>
      </w:r>
      <w:r w:rsidR="00E91136" w:rsidRPr="00E91136">
        <w:t>CDCP, 2014).</w:t>
      </w:r>
      <w:r w:rsidR="00E91136">
        <w:t xml:space="preserve"> In more tha</w:t>
      </w:r>
      <w:r w:rsidR="001D68C0">
        <w:t>n</w:t>
      </w:r>
      <w:r w:rsidR="00E91136">
        <w:t xml:space="preserve"> 280</w:t>
      </w:r>
      <w:r w:rsidR="00DF4FF0">
        <w:t xml:space="preserve">,000 hospitals, TBI was a diagnosis, and of cases in which 50,000 ended in death </w:t>
      </w:r>
      <w:r w:rsidR="000A3DC8">
        <w:t xml:space="preserve">while and before at the ED </w:t>
      </w:r>
      <w:r w:rsidR="000A3DC8" w:rsidRPr="000A3DC8">
        <w:t>(CDCP, 2014).</w:t>
      </w:r>
      <w:r w:rsidR="007174C4">
        <w:t xml:space="preserve"> </w:t>
      </w:r>
      <w:r w:rsidR="004D46EF">
        <w:t>Leading causes of Traumatic Brain Injury. According to the data collection of CDCP 2014, include</w:t>
      </w:r>
      <w:r w:rsidR="00112E6D">
        <w:t>: unknown (19.0%),</w:t>
      </w:r>
      <w:r w:rsidR="00E123EE" w:rsidRPr="00E123EE">
        <w:t xml:space="preserve"> traffic accident</w:t>
      </w:r>
      <w:r w:rsidR="00112E6D" w:rsidRPr="00112E6D">
        <w:t xml:space="preserve"> </w:t>
      </w:r>
      <w:r w:rsidR="00E123EE">
        <w:t xml:space="preserve">/ </w:t>
      </w:r>
      <w:r w:rsidR="00E123EE" w:rsidRPr="00112E6D">
        <w:t>motor vehicle</w:t>
      </w:r>
      <w:r w:rsidR="00112E6D" w:rsidRPr="00112E6D">
        <w:t xml:space="preserve"> (14.3%),</w:t>
      </w:r>
      <w:r w:rsidR="00E123EE" w:rsidRPr="00E123EE">
        <w:t xml:space="preserve"> </w:t>
      </w:r>
      <w:r w:rsidR="00745A67">
        <w:t xml:space="preserve">assaults (10.7%), </w:t>
      </w:r>
      <w:r w:rsidR="00745A67" w:rsidRPr="00E123EE">
        <w:t>struck by/against (15.5%),</w:t>
      </w:r>
      <w:r w:rsidR="00745A67">
        <w:t xml:space="preserve"> </w:t>
      </w:r>
      <w:r w:rsidR="00E123EE">
        <w:t>and</w:t>
      </w:r>
      <w:r w:rsidR="00E123EE" w:rsidRPr="00E123EE">
        <w:t xml:space="preserve"> </w:t>
      </w:r>
      <w:r w:rsidR="00E123EE">
        <w:t xml:space="preserve">falls (40.5%). </w:t>
      </w:r>
      <w:r w:rsidR="00DF5EE3">
        <w:t>Moreover,</w:t>
      </w:r>
      <w:r w:rsidR="007A49C4">
        <w:t xml:space="preserve"> according to CDCP,</w:t>
      </w:r>
      <w:r w:rsidR="00DF5EE3">
        <w:t xml:space="preserve"> data suggests that falls cases are the </w:t>
      </w:r>
      <w:r w:rsidR="007A49C4">
        <w:t xml:space="preserve">main </w:t>
      </w:r>
      <w:r w:rsidR="007A49C4">
        <w:lastRenderedPageBreak/>
        <w:t xml:space="preserve">reasons for Traumatic Brain Injury from 2006-2010. </w:t>
      </w:r>
      <w:r w:rsidR="00595518">
        <w:t xml:space="preserve">In addition, falls excessively affects the oldest and youngest groups across the </w:t>
      </w:r>
      <w:r w:rsidR="002B7AD3">
        <w:t>board</w:t>
      </w:r>
      <w:r w:rsidR="00595518">
        <w:t xml:space="preserve">, even though no definitive association </w:t>
      </w:r>
      <w:r w:rsidR="00D5788E">
        <w:t xml:space="preserve">represents causation among; </w:t>
      </w:r>
      <w:r w:rsidR="0035285A">
        <w:t xml:space="preserve">the younger you are, the less likely you are to fall and </w:t>
      </w:r>
      <w:r w:rsidR="00D5788E">
        <w:t xml:space="preserve">the older you are, the more likely you are to fall and </w:t>
      </w:r>
      <w:r w:rsidR="0035285A">
        <w:t xml:space="preserve">become laden with TBI. </w:t>
      </w:r>
      <w:r w:rsidR="002B7AD3">
        <w:br/>
      </w:r>
      <w:r w:rsidR="002B7AD3" w:rsidRPr="002B7AD3">
        <w:rPr>
          <w:b/>
        </w:rPr>
        <w:t>Specific Problem Statement</w:t>
      </w:r>
      <w:r w:rsidR="002B7AD3">
        <w:rPr>
          <w:b/>
        </w:rPr>
        <w:br/>
      </w:r>
      <w:r w:rsidR="002A2264">
        <w:t>The specific problem in Traumatic Brain History is that</w:t>
      </w:r>
      <w:r w:rsidR="00641BB3">
        <w:t>,</w:t>
      </w:r>
      <w:r w:rsidR="002A2264">
        <w:t xml:space="preserve"> it can be</w:t>
      </w:r>
      <w:r w:rsidR="00641BB3">
        <w:t xml:space="preserve"> </w:t>
      </w:r>
      <w:r w:rsidR="00FE3A3E">
        <w:t>based</w:t>
      </w:r>
      <w:r w:rsidR="00641BB3">
        <w:t xml:space="preserve"> on the scientific evidence that out of seventy-three institutions </w:t>
      </w:r>
      <w:r w:rsidR="00B5379B">
        <w:t>that are currently focusing on Traumatic Brain Research</w:t>
      </w:r>
      <w:r w:rsidR="00FE3A3E">
        <w:t>, only 3 are currently using neural stem cells to</w:t>
      </w:r>
      <w:r w:rsidR="001B1B9F">
        <w:t xml:space="preserve"> stimulate neurogenesis in the brain. </w:t>
      </w:r>
      <w:r w:rsidR="00126B01">
        <w:t xml:space="preserve">In addition, out of those 3 institutions, only two have drug permitted by the FDA that elevates </w:t>
      </w:r>
      <w:r w:rsidR="00024D39">
        <w:t xml:space="preserve">the rate of glucose action in injured regions of the brain </w:t>
      </w:r>
      <w:r w:rsidR="008D4024" w:rsidRPr="008D4024">
        <w:t>(National Institute of Neurological Disorders and Stroke [NINDS], 2016).</w:t>
      </w:r>
      <w:r w:rsidR="008D4024">
        <w:br/>
        <w:t xml:space="preserve">As mentioned in the previous paragraph, Traumatic </w:t>
      </w:r>
      <w:r w:rsidR="009933CC">
        <w:t xml:space="preserve">Brain Injury is the main cause of disability </w:t>
      </w:r>
      <w:r w:rsidR="008E5728">
        <w:t>and death in the USA; it accounts for a great portion of ED attention and care</w:t>
      </w:r>
      <w:r w:rsidR="00F907FA">
        <w:t>,</w:t>
      </w:r>
      <w:r w:rsidR="008E5728">
        <w:t xml:space="preserve"> positive outcomes and treatment procedure in </w:t>
      </w:r>
      <w:r w:rsidR="00F907FA">
        <w:t xml:space="preserve">the modern </w:t>
      </w:r>
      <w:r w:rsidR="008E5728">
        <w:t>world of today</w:t>
      </w:r>
      <w:r w:rsidR="00F907FA">
        <w:t xml:space="preserve"> medicine are irregular </w:t>
      </w:r>
      <w:r w:rsidR="001456C1">
        <w:t>in nature</w:t>
      </w:r>
      <w:r w:rsidR="00380E19">
        <w:t xml:space="preserve"> and thus it can be devastating for the emotions of the family of the patient. </w:t>
      </w:r>
      <w:r w:rsidR="00100DC7">
        <w:t xml:space="preserve">Only the University of Michigan and University of Miami Miller School Of Medicine have been successfully able to halt the </w:t>
      </w:r>
      <w:r w:rsidR="002267A6">
        <w:t>lasting effects of the reduced metabolism of glucose</w:t>
      </w:r>
      <w:r w:rsidR="00EE2E0D">
        <w:t xml:space="preserve"> because of TBI and</w:t>
      </w:r>
      <w:r w:rsidR="002267A6">
        <w:t xml:space="preserve"> </w:t>
      </w:r>
      <w:r w:rsidR="002267A6" w:rsidRPr="002267A6">
        <w:t>genetically modify neural progenitor cells</w:t>
      </w:r>
      <w:r w:rsidR="002267A6">
        <w:t xml:space="preserve">, in order to elevate the rate of </w:t>
      </w:r>
      <w:r w:rsidR="00EE2E0D">
        <w:t xml:space="preserve">histopathological results, hence elevating </w:t>
      </w:r>
      <w:r w:rsidR="00EE2E0D" w:rsidRPr="00EE2E0D">
        <w:t>hippocampal neurogenesis</w:t>
      </w:r>
      <w:r w:rsidR="00E80CA9">
        <w:t xml:space="preserve"> in patients who suffer from </w:t>
      </w:r>
      <w:r w:rsidR="00E80CA9" w:rsidRPr="00E80CA9">
        <w:t>Projectile Ballistics Brain Injuries</w:t>
      </w:r>
      <w:r w:rsidR="00E80CA9">
        <w:t xml:space="preserve">. If professionals of clinic start to implement the research methods and models that are tested in the lab setting, </w:t>
      </w:r>
      <w:r w:rsidR="001C50D2">
        <w:t>it is strongly believed that treatment prognosis and results of TBI, will head towards the right direction.</w:t>
      </w:r>
      <w:r w:rsidR="0035285A">
        <w:br/>
      </w:r>
      <w:r w:rsidR="00BC3001">
        <w:br/>
      </w:r>
      <w:r w:rsidR="003354F0" w:rsidRPr="003354F0">
        <w:rPr>
          <w:b/>
        </w:rPr>
        <w:lastRenderedPageBreak/>
        <w:t>Purpose of the Study</w:t>
      </w:r>
      <w:r w:rsidR="003354F0">
        <w:rPr>
          <w:b/>
        </w:rPr>
        <w:br/>
      </w:r>
      <w:r w:rsidR="003354F0" w:rsidRPr="003D699B">
        <w:t xml:space="preserve">Purpose of this research is to collect the </w:t>
      </w:r>
      <w:r w:rsidR="00542C15" w:rsidRPr="003D699B">
        <w:t>current</w:t>
      </w:r>
      <w:r w:rsidR="003354F0" w:rsidRPr="003D699B">
        <w:t xml:space="preserve"> data </w:t>
      </w:r>
      <w:r w:rsidR="00542C15" w:rsidRPr="003D699B">
        <w:t xml:space="preserve">set for the analysis on Traumatic Brain Injury research and </w:t>
      </w:r>
      <w:r w:rsidR="00C96139" w:rsidRPr="003D699B">
        <w:t>test the efficiency that is related with the transplantation of NPC’</w:t>
      </w:r>
      <w:r w:rsidR="00207B59" w:rsidRPr="003D699B">
        <w:t>s, and the outcomes of localized drug therapy sites</w:t>
      </w:r>
      <w:r w:rsidR="00855547">
        <w:t xml:space="preserve"> of main traumatic injury</w:t>
      </w:r>
      <w:r w:rsidR="00207B59" w:rsidRPr="003D699B">
        <w:t xml:space="preserve"> of </w:t>
      </w:r>
      <w:r w:rsidR="00855547">
        <w:t xml:space="preserve">the </w:t>
      </w:r>
      <w:r w:rsidR="003D699B" w:rsidRPr="003D699B">
        <w:t xml:space="preserve">brain. </w:t>
      </w:r>
      <w:r w:rsidR="005A4DC9">
        <w:t xml:space="preserve">When statistical data </w:t>
      </w:r>
      <w:r w:rsidR="00A125F6">
        <w:t xml:space="preserve">is </w:t>
      </w:r>
      <w:r w:rsidR="00E81A2D">
        <w:t>associated</w:t>
      </w:r>
      <w:r w:rsidR="00A125F6">
        <w:t xml:space="preserve"> to those</w:t>
      </w:r>
      <w:r w:rsidR="00E81A2D">
        <w:t xml:space="preserve"> research services which aren’t applying this treatment metho</w:t>
      </w:r>
      <w:r w:rsidR="00584E3D">
        <w:t xml:space="preserve">dology, review of literature of information concerning to effectiveness of </w:t>
      </w:r>
      <w:r w:rsidR="00F44582">
        <w:t xml:space="preserve">lab results and </w:t>
      </w:r>
      <w:r w:rsidR="0073439A">
        <w:t>conclusion</w:t>
      </w:r>
      <w:r w:rsidR="00CA41C8">
        <w:t xml:space="preserve"> of </w:t>
      </w:r>
      <w:r w:rsidR="009122FC">
        <w:t>data synthesis</w:t>
      </w:r>
      <w:r w:rsidR="0073439A">
        <w:t>;</w:t>
      </w:r>
      <w:r w:rsidR="007B78DD">
        <w:t xml:space="preserve"> why </w:t>
      </w:r>
      <w:r w:rsidR="00C22BB6">
        <w:t xml:space="preserve">most of the research will be driving towards this latest branch of medicine </w:t>
      </w:r>
      <w:r w:rsidR="00393338">
        <w:t>in the near-</w:t>
      </w:r>
      <w:r w:rsidR="00C22BB6">
        <w:t>future</w:t>
      </w:r>
      <w:r w:rsidR="00393338">
        <w:t xml:space="preserve"> will be discussed in detail too. </w:t>
      </w:r>
      <w:r w:rsidR="00AE1606">
        <w:t>The researcher hopes that this study will raise awareness of the</w:t>
      </w:r>
      <w:r w:rsidR="003876D5">
        <w:t xml:space="preserve"> positive steps that are associated with this particular type of research methodology and</w:t>
      </w:r>
      <w:r w:rsidR="00AE1606">
        <w:t xml:space="preserve"> goal</w:t>
      </w:r>
      <w:r w:rsidR="003876D5">
        <w:t>s</w:t>
      </w:r>
      <w:r w:rsidR="00AE1606">
        <w:t xml:space="preserve"> that have been achieved</w:t>
      </w:r>
      <w:r w:rsidR="003876D5">
        <w:t xml:space="preserve">. </w:t>
      </w:r>
      <w:r w:rsidR="0005152C">
        <w:t xml:space="preserve">By inspecting the influence of the programs at the </w:t>
      </w:r>
      <w:r w:rsidR="0065176A">
        <w:t>University of Michigan and the University of Miami</w:t>
      </w:r>
      <w:r w:rsidR="0005152C">
        <w:t>, and the addition of the present knowledge in the areas of emergency medicine and neuroscie</w:t>
      </w:r>
      <w:r w:rsidR="00D11EB6">
        <w:t xml:space="preserve">nce, </w:t>
      </w:r>
      <w:r w:rsidR="00F7445C">
        <w:t xml:space="preserve">more preventive resources involving latest integration </w:t>
      </w:r>
      <w:r w:rsidR="00F538E7">
        <w:t>valuations</w:t>
      </w:r>
      <w:r w:rsidR="00F7445C">
        <w:t xml:space="preserve"> like genetically modified </w:t>
      </w:r>
      <w:r w:rsidR="00F538E7">
        <w:t xml:space="preserve">pro-survival multi-neurotrophin will be </w:t>
      </w:r>
      <w:r w:rsidR="001D0F88">
        <w:t xml:space="preserve">apportioned nationwide to this particular type of injury (Blaya, Furones-Alonso &amp;,Tsoulfas, 2015). </w:t>
      </w:r>
      <w:r w:rsidR="00393338">
        <w:br/>
      </w:r>
      <w:r w:rsidR="00343037" w:rsidRPr="00343037">
        <w:rPr>
          <w:b/>
        </w:rPr>
        <w:t>Research Questions</w:t>
      </w:r>
      <w:r w:rsidR="00343037">
        <w:t xml:space="preserve"> </w:t>
      </w:r>
      <w:r w:rsidR="00393338">
        <w:br/>
      </w:r>
      <w:r w:rsidR="00343037">
        <w:t xml:space="preserve">Following are the questions that a researcher hopes to address </w:t>
      </w:r>
      <w:r w:rsidR="00737B39">
        <w:t xml:space="preserve">particularly: </w:t>
      </w:r>
      <w:r w:rsidR="00737B39">
        <w:br/>
        <w:t xml:space="preserve">1- Does involvement of surgery create </w:t>
      </w:r>
      <w:r w:rsidR="007043A5">
        <w:t>improved treatment results than the injected</w:t>
      </w:r>
      <w:r w:rsidR="00106AD3">
        <w:t xml:space="preserve"> </w:t>
      </w:r>
      <w:r w:rsidR="00A262B0">
        <w:t xml:space="preserve">Schwann and NPC’s cells </w:t>
      </w:r>
      <w:r w:rsidR="00F37DF6">
        <w:t xml:space="preserve">within brain stem on Traumatic Brain Injury patients over </w:t>
      </w:r>
      <w:r w:rsidR="00847A77">
        <w:t xml:space="preserve">a long period of time? </w:t>
      </w:r>
      <w:r w:rsidR="00847A77">
        <w:br/>
        <w:t xml:space="preserve">2- Is there any connection between </w:t>
      </w:r>
      <w:r w:rsidR="000B4CD0">
        <w:t xml:space="preserve">the elevated </w:t>
      </w:r>
      <w:r w:rsidR="00F94492">
        <w:t>rate</w:t>
      </w:r>
      <w:r w:rsidR="000B4CD0">
        <w:t xml:space="preserve"> of the utilization of brain glucose on affected Traumatic Brain Injury </w:t>
      </w:r>
      <w:r w:rsidR="0083177C">
        <w:t xml:space="preserve">rat that has been injected Chronic A20? </w:t>
      </w:r>
      <w:r w:rsidR="0083177C">
        <w:br/>
        <w:t xml:space="preserve">3- </w:t>
      </w:r>
      <w:r w:rsidR="00B00E9E">
        <w:t>Is there</w:t>
      </w:r>
      <w:r w:rsidR="001015C9">
        <w:t xml:space="preserve"> enough</w:t>
      </w:r>
      <w:r w:rsidR="00B00E9E">
        <w:t xml:space="preserve"> clinical evidence to back </w:t>
      </w:r>
      <w:r w:rsidR="006E2DD8">
        <w:t xml:space="preserve">that the </w:t>
      </w:r>
      <w:r w:rsidR="001015C9">
        <w:t>treatment</w:t>
      </w:r>
      <w:r w:rsidR="00B00E9E">
        <w:t xml:space="preserve"> </w:t>
      </w:r>
      <w:r w:rsidR="001015C9">
        <w:t xml:space="preserve">of neural progenitor cells </w:t>
      </w:r>
      <w:r w:rsidR="006E2DD8">
        <w:t xml:space="preserve">increases neurogenesis activity within Traumatic Brain Injury structures of the brain. </w:t>
      </w:r>
      <w:r w:rsidR="00343037">
        <w:br/>
      </w:r>
      <w:r w:rsidR="00F94492">
        <w:lastRenderedPageBreak/>
        <w:t xml:space="preserve">4- </w:t>
      </w:r>
      <w:r w:rsidR="00D32BE4">
        <w:t xml:space="preserve">After the </w:t>
      </w:r>
      <w:r w:rsidR="00F80DFD">
        <w:t>neural</w:t>
      </w:r>
      <w:r w:rsidR="00D32BE4">
        <w:t xml:space="preserve"> stem cell transplant on </w:t>
      </w:r>
      <w:r w:rsidR="00D32BE4" w:rsidRPr="00D32BE4">
        <w:t>endogenous neurogenesis</w:t>
      </w:r>
      <w:r w:rsidR="00D32BE4">
        <w:t xml:space="preserve">, what are the effects </w:t>
      </w:r>
      <w:r w:rsidR="009E34AB">
        <w:t>and</w:t>
      </w:r>
      <w:r w:rsidR="00D32BE4">
        <w:t xml:space="preserve"> </w:t>
      </w:r>
      <w:r w:rsidR="009E34AB">
        <w:t xml:space="preserve">neurobehavioral results of PBBI patients? </w:t>
      </w:r>
      <w:r w:rsidR="009E34AB">
        <w:br/>
        <w:t xml:space="preserve">5- How do the transfer of the trageted site </w:t>
      </w:r>
      <w:r w:rsidR="00BF6887">
        <w:t>and concentration of cell to deliver maximum engraftment</w:t>
      </w:r>
      <w:r w:rsidR="00F80DFD">
        <w:t xml:space="preserve"> of neural stem cells accelerate cognitive and motor behavior in mice model (fun</w:t>
      </w:r>
      <w:r w:rsidR="00F80DFD">
        <w:t>ction similar to the human brain</w:t>
      </w:r>
      <w:r w:rsidR="006E2917">
        <w:t xml:space="preserve">)? </w:t>
      </w:r>
      <w:r w:rsidR="0083177C">
        <w:br/>
      </w: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9276C6" w:rsidP="009276C6">
      <w:pPr>
        <w:ind w:firstLine="0"/>
        <w:rPr>
          <w:i/>
        </w:rPr>
      </w:pPr>
    </w:p>
    <w:p w:rsidR="009276C6" w:rsidRDefault="00F80DFD" w:rsidP="009276C6">
      <w:pPr>
        <w:ind w:firstLine="0"/>
        <w:jc w:val="center"/>
        <w:rPr>
          <w:b/>
        </w:rPr>
      </w:pPr>
      <w:bookmarkStart w:id="0" w:name="_GoBack"/>
      <w:bookmarkEnd w:id="0"/>
      <w:r w:rsidRPr="00D808D6">
        <w:rPr>
          <w:i/>
        </w:rPr>
        <w:lastRenderedPageBreak/>
        <w:br/>
      </w:r>
      <w:r w:rsidR="00DF5221">
        <w:rPr>
          <w:b/>
        </w:rPr>
        <w:t>References</w:t>
      </w:r>
    </w:p>
    <w:p w:rsidR="00C91946" w:rsidRDefault="00C91946" w:rsidP="00C91946">
      <w:pPr>
        <w:ind w:left="720" w:hanging="720"/>
      </w:pPr>
      <w:r>
        <w:t xml:space="preserve">National Institute of Neurological Disorders and Stroke. (2016). Transforming Research and Clinical Knowledge in Traumatic Brain Injury. Published on January 2015. Retrieved January 29, 2015, from </w:t>
      </w:r>
      <w:hyperlink r:id="rId8" w:history="1">
        <w:r w:rsidRPr="00B577A4">
          <w:rPr>
            <w:rStyle w:val="Hyperlink"/>
          </w:rPr>
          <w:t>http://www.ninds.nih.gov/disorders/tbi/detail_tbi.htm</w:t>
        </w:r>
      </w:hyperlink>
    </w:p>
    <w:p w:rsidR="00C91946" w:rsidRDefault="00C91946" w:rsidP="00C91946">
      <w:pPr>
        <w:ind w:left="720" w:hanging="720"/>
      </w:pPr>
      <w:proofErr w:type="spellStart"/>
      <w:r>
        <w:t>Bramlett</w:t>
      </w:r>
      <w:proofErr w:type="spellEnd"/>
      <w:r>
        <w:t xml:space="preserve">, H., Bullock, R., Diaz, J., </w:t>
      </w:r>
      <w:proofErr w:type="spellStart"/>
      <w:r>
        <w:t>Gajavelli</w:t>
      </w:r>
      <w:proofErr w:type="spellEnd"/>
      <w:r>
        <w:t xml:space="preserve">, S., Jackson, C., Spurlock, M., et al. (2015). Penetrating Ballistic Brain Injury Reduces Focal &amp; Global Brain Glucose Utilization: A C-2DG autoradiography study in a rat model. Miami Project to Cure Paralysis, Department of </w:t>
      </w:r>
      <w:proofErr w:type="spellStart"/>
      <w:r>
        <w:t>Nuerosurgery</w:t>
      </w:r>
      <w:proofErr w:type="spellEnd"/>
      <w:r>
        <w:t>, University of Miami Miller School of Medicine. Published on June 2015.</w:t>
      </w:r>
    </w:p>
    <w:p w:rsidR="00C91946" w:rsidRDefault="00C91946" w:rsidP="00C91946">
      <w:pPr>
        <w:ind w:left="720" w:hanging="720"/>
      </w:pPr>
      <w:proofErr w:type="spellStart"/>
      <w:r>
        <w:t>Blaya</w:t>
      </w:r>
      <w:proofErr w:type="spellEnd"/>
      <w:r>
        <w:t xml:space="preserve">, M., </w:t>
      </w:r>
      <w:proofErr w:type="spellStart"/>
      <w:r>
        <w:t>Furones</w:t>
      </w:r>
      <w:proofErr w:type="spellEnd"/>
      <w:r>
        <w:t xml:space="preserve">-Alonso, O., </w:t>
      </w:r>
      <w:proofErr w:type="spellStart"/>
      <w:r>
        <w:t>Tsoulfas</w:t>
      </w:r>
      <w:proofErr w:type="spellEnd"/>
      <w:r>
        <w:t>, P. (2015). Transplantation of Genetically-Modified Neural Progenitor Cells to Improve Histopathological Hippocampal Neurogenesis: Attenuates cognitive impairment after traumatic brain injury. Miami Project to Cure Paralysis. Department of Veterans Affairs Medical Center, University of Miami Miller School of Medicine. Published on April 2015.</w:t>
      </w:r>
    </w:p>
    <w:p w:rsidR="00C91946" w:rsidRDefault="00C91946" w:rsidP="00C91946">
      <w:pPr>
        <w:ind w:left="720" w:hanging="720"/>
      </w:pPr>
      <w:r>
        <w:t xml:space="preserve">Center for Disease Control and Prevention. (2014). Traumatic Brain Injury. Retrieved January 29, 2016, from </w:t>
      </w:r>
      <w:hyperlink r:id="rId9" w:history="1">
        <w:r w:rsidRPr="00B577A4">
          <w:rPr>
            <w:rStyle w:val="Hyperlink"/>
          </w:rPr>
          <w:t>http://www.cdc.gov/traumaticbraininjury/get_the_facts.html</w:t>
        </w:r>
      </w:hyperlink>
    </w:p>
    <w:p w:rsidR="00C91946" w:rsidRDefault="00C91946" w:rsidP="00C91946">
      <w:pPr>
        <w:ind w:left="720" w:hanging="720"/>
      </w:pPr>
      <w:r>
        <w:t>Brain Injury Association of America. (2015). Family and Caregivers: Brain injury affects the whole family. Baylor Institute of Rehabilitation. Published on February 2015.</w:t>
      </w:r>
    </w:p>
    <w:p w:rsidR="004D295C" w:rsidRPr="009276C6" w:rsidRDefault="00DF5221" w:rsidP="009276C6">
      <w:pPr>
        <w:ind w:firstLine="0"/>
        <w:rPr>
          <w:i/>
        </w:rPr>
      </w:pPr>
      <w:r>
        <w:rPr>
          <w:b/>
        </w:rPr>
        <w:br/>
      </w:r>
    </w:p>
    <w:sectPr w:rsidR="004D295C" w:rsidRPr="009276C6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FD" w:rsidRDefault="00F80DFD">
      <w:pPr>
        <w:spacing w:line="240" w:lineRule="auto"/>
      </w:pPr>
      <w:r>
        <w:separator/>
      </w:r>
    </w:p>
  </w:endnote>
  <w:endnote w:type="continuationSeparator" w:id="0">
    <w:p w:rsidR="00F80DFD" w:rsidRDefault="00F8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FD" w:rsidRDefault="00F80DFD">
      <w:pPr>
        <w:spacing w:line="240" w:lineRule="auto"/>
      </w:pPr>
      <w:r>
        <w:separator/>
      </w:r>
    </w:p>
  </w:footnote>
  <w:footnote w:type="continuationSeparator" w:id="0">
    <w:p w:rsidR="00F80DFD" w:rsidRDefault="00F8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80D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80D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946">
      <w:rPr>
        <w:rStyle w:val="PageNumber"/>
        <w:noProof/>
      </w:rPr>
      <w:t>7</w:t>
    </w:r>
    <w:r>
      <w:rPr>
        <w:rStyle w:val="PageNumber"/>
      </w:rPr>
      <w:fldChar w:fldCharType="end"/>
    </w:r>
  </w:p>
  <w:p w:rsidR="002A2A03" w:rsidRDefault="00F80DFD">
    <w:pPr>
      <w:pStyle w:val="Header"/>
      <w:ind w:right="360" w:firstLine="0"/>
    </w:pPr>
    <w:r>
      <w:t>Research Paper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80D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94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F80DFD">
    <w:pPr>
      <w:ind w:right="360" w:firstLine="0"/>
    </w:pPr>
    <w:r>
      <w:t>Running head:</w:t>
    </w:r>
    <w:r w:rsidR="003211AF">
      <w:t xml:space="preserve"> Research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5BC9"/>
    <w:multiLevelType w:val="hybridMultilevel"/>
    <w:tmpl w:val="D22A3856"/>
    <w:lvl w:ilvl="0" w:tplc="F062A2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7A0B1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4692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4CA7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9066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14F1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7E94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7625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0899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F1E5E"/>
    <w:multiLevelType w:val="hybridMultilevel"/>
    <w:tmpl w:val="716007F8"/>
    <w:lvl w:ilvl="0" w:tplc="39BC7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4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83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2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0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6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01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AF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48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22C0"/>
    <w:multiLevelType w:val="hybridMultilevel"/>
    <w:tmpl w:val="7EC02044"/>
    <w:lvl w:ilvl="0" w:tplc="E0522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C9BB8" w:tentative="1">
      <w:start w:val="1"/>
      <w:numFmt w:val="lowerLetter"/>
      <w:lvlText w:val="%2."/>
      <w:lvlJc w:val="left"/>
      <w:pPr>
        <w:ind w:left="1440" w:hanging="360"/>
      </w:pPr>
    </w:lvl>
    <w:lvl w:ilvl="2" w:tplc="6A38489A" w:tentative="1">
      <w:start w:val="1"/>
      <w:numFmt w:val="lowerRoman"/>
      <w:lvlText w:val="%3."/>
      <w:lvlJc w:val="right"/>
      <w:pPr>
        <w:ind w:left="2160" w:hanging="180"/>
      </w:pPr>
    </w:lvl>
    <w:lvl w:ilvl="3" w:tplc="91B69874" w:tentative="1">
      <w:start w:val="1"/>
      <w:numFmt w:val="decimal"/>
      <w:lvlText w:val="%4."/>
      <w:lvlJc w:val="left"/>
      <w:pPr>
        <w:ind w:left="2880" w:hanging="360"/>
      </w:pPr>
    </w:lvl>
    <w:lvl w:ilvl="4" w:tplc="023ABF40" w:tentative="1">
      <w:start w:val="1"/>
      <w:numFmt w:val="lowerLetter"/>
      <w:lvlText w:val="%5."/>
      <w:lvlJc w:val="left"/>
      <w:pPr>
        <w:ind w:left="3600" w:hanging="360"/>
      </w:pPr>
    </w:lvl>
    <w:lvl w:ilvl="5" w:tplc="6B480BC4" w:tentative="1">
      <w:start w:val="1"/>
      <w:numFmt w:val="lowerRoman"/>
      <w:lvlText w:val="%6."/>
      <w:lvlJc w:val="right"/>
      <w:pPr>
        <w:ind w:left="4320" w:hanging="180"/>
      </w:pPr>
    </w:lvl>
    <w:lvl w:ilvl="6" w:tplc="DF0080FE" w:tentative="1">
      <w:start w:val="1"/>
      <w:numFmt w:val="decimal"/>
      <w:lvlText w:val="%7."/>
      <w:lvlJc w:val="left"/>
      <w:pPr>
        <w:ind w:left="5040" w:hanging="360"/>
      </w:pPr>
    </w:lvl>
    <w:lvl w:ilvl="7" w:tplc="303240F0" w:tentative="1">
      <w:start w:val="1"/>
      <w:numFmt w:val="lowerLetter"/>
      <w:lvlText w:val="%8."/>
      <w:lvlJc w:val="left"/>
      <w:pPr>
        <w:ind w:left="5760" w:hanging="360"/>
      </w:pPr>
    </w:lvl>
    <w:lvl w:ilvl="8" w:tplc="9C2E1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5B90"/>
    <w:multiLevelType w:val="hybridMultilevel"/>
    <w:tmpl w:val="78A6082E"/>
    <w:lvl w:ilvl="0" w:tplc="13B8C0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68DE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CE42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FA8B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9631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FEB3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C20A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8A75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2E21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38A4"/>
    <w:rsid w:val="00005731"/>
    <w:rsid w:val="0000793A"/>
    <w:rsid w:val="00007F40"/>
    <w:rsid w:val="00023A69"/>
    <w:rsid w:val="00024D39"/>
    <w:rsid w:val="00027304"/>
    <w:rsid w:val="00035BAD"/>
    <w:rsid w:val="00045D2E"/>
    <w:rsid w:val="00046B4A"/>
    <w:rsid w:val="0005152C"/>
    <w:rsid w:val="00052AB1"/>
    <w:rsid w:val="00074797"/>
    <w:rsid w:val="00085196"/>
    <w:rsid w:val="00095F02"/>
    <w:rsid w:val="000A06C3"/>
    <w:rsid w:val="000A3DC8"/>
    <w:rsid w:val="000A7B5F"/>
    <w:rsid w:val="000B0A32"/>
    <w:rsid w:val="000B1269"/>
    <w:rsid w:val="000B4CD0"/>
    <w:rsid w:val="000C4A98"/>
    <w:rsid w:val="000E021B"/>
    <w:rsid w:val="000E4C36"/>
    <w:rsid w:val="00100DC7"/>
    <w:rsid w:val="001015C9"/>
    <w:rsid w:val="00101898"/>
    <w:rsid w:val="00106AD3"/>
    <w:rsid w:val="00112E6D"/>
    <w:rsid w:val="00125594"/>
    <w:rsid w:val="00126B01"/>
    <w:rsid w:val="001276E1"/>
    <w:rsid w:val="001456C1"/>
    <w:rsid w:val="00160C61"/>
    <w:rsid w:val="001714EF"/>
    <w:rsid w:val="00176028"/>
    <w:rsid w:val="00177A6B"/>
    <w:rsid w:val="001802F0"/>
    <w:rsid w:val="001836F8"/>
    <w:rsid w:val="00190C6D"/>
    <w:rsid w:val="001A0A79"/>
    <w:rsid w:val="001A5443"/>
    <w:rsid w:val="001B1B9F"/>
    <w:rsid w:val="001C50D2"/>
    <w:rsid w:val="001C650E"/>
    <w:rsid w:val="001C6593"/>
    <w:rsid w:val="001C6CF6"/>
    <w:rsid w:val="001D0F88"/>
    <w:rsid w:val="001D68C0"/>
    <w:rsid w:val="001F10DC"/>
    <w:rsid w:val="0020293D"/>
    <w:rsid w:val="00207B59"/>
    <w:rsid w:val="00207D4D"/>
    <w:rsid w:val="002246E8"/>
    <w:rsid w:val="00225A80"/>
    <w:rsid w:val="002267A6"/>
    <w:rsid w:val="00246FA5"/>
    <w:rsid w:val="00254CA9"/>
    <w:rsid w:val="002555D4"/>
    <w:rsid w:val="002564DA"/>
    <w:rsid w:val="00261F91"/>
    <w:rsid w:val="0026687F"/>
    <w:rsid w:val="002A2264"/>
    <w:rsid w:val="002A27D2"/>
    <w:rsid w:val="002A2A03"/>
    <w:rsid w:val="002A7F65"/>
    <w:rsid w:val="002B015A"/>
    <w:rsid w:val="002B21AF"/>
    <w:rsid w:val="002B565B"/>
    <w:rsid w:val="002B7AD3"/>
    <w:rsid w:val="002C0758"/>
    <w:rsid w:val="002E0FC6"/>
    <w:rsid w:val="002F2769"/>
    <w:rsid w:val="002F41E4"/>
    <w:rsid w:val="0030241A"/>
    <w:rsid w:val="003029B8"/>
    <w:rsid w:val="00310EAA"/>
    <w:rsid w:val="00312786"/>
    <w:rsid w:val="00316C55"/>
    <w:rsid w:val="003211AF"/>
    <w:rsid w:val="00321D5F"/>
    <w:rsid w:val="0033180C"/>
    <w:rsid w:val="003343C9"/>
    <w:rsid w:val="003354F0"/>
    <w:rsid w:val="00336966"/>
    <w:rsid w:val="003377EC"/>
    <w:rsid w:val="00343037"/>
    <w:rsid w:val="00345911"/>
    <w:rsid w:val="0035285A"/>
    <w:rsid w:val="0037157E"/>
    <w:rsid w:val="00380E19"/>
    <w:rsid w:val="00382556"/>
    <w:rsid w:val="003876D5"/>
    <w:rsid w:val="00393338"/>
    <w:rsid w:val="003A4841"/>
    <w:rsid w:val="003A4D50"/>
    <w:rsid w:val="003B0743"/>
    <w:rsid w:val="003B3DA6"/>
    <w:rsid w:val="003C212B"/>
    <w:rsid w:val="003D699B"/>
    <w:rsid w:val="003E185B"/>
    <w:rsid w:val="003E23ED"/>
    <w:rsid w:val="00413EF9"/>
    <w:rsid w:val="004303CB"/>
    <w:rsid w:val="00436C68"/>
    <w:rsid w:val="00470486"/>
    <w:rsid w:val="00471F56"/>
    <w:rsid w:val="00484FAE"/>
    <w:rsid w:val="00497454"/>
    <w:rsid w:val="004A1509"/>
    <w:rsid w:val="004A540F"/>
    <w:rsid w:val="004B17CD"/>
    <w:rsid w:val="004C2FF4"/>
    <w:rsid w:val="004D295C"/>
    <w:rsid w:val="004D46EF"/>
    <w:rsid w:val="004E003F"/>
    <w:rsid w:val="004E345C"/>
    <w:rsid w:val="004E753D"/>
    <w:rsid w:val="004E7ACD"/>
    <w:rsid w:val="004F7C81"/>
    <w:rsid w:val="00507F57"/>
    <w:rsid w:val="00514138"/>
    <w:rsid w:val="00522208"/>
    <w:rsid w:val="005342FC"/>
    <w:rsid w:val="00534852"/>
    <w:rsid w:val="005374EE"/>
    <w:rsid w:val="00542C15"/>
    <w:rsid w:val="005432F0"/>
    <w:rsid w:val="005460C3"/>
    <w:rsid w:val="00550D06"/>
    <w:rsid w:val="00561FB0"/>
    <w:rsid w:val="00581786"/>
    <w:rsid w:val="00584E3D"/>
    <w:rsid w:val="00595518"/>
    <w:rsid w:val="005A4DC9"/>
    <w:rsid w:val="005A5C2F"/>
    <w:rsid w:val="005B79A4"/>
    <w:rsid w:val="005C3A13"/>
    <w:rsid w:val="005C3FB4"/>
    <w:rsid w:val="005E265C"/>
    <w:rsid w:val="005F1A66"/>
    <w:rsid w:val="005F598A"/>
    <w:rsid w:val="005F677E"/>
    <w:rsid w:val="005F78B7"/>
    <w:rsid w:val="006006CE"/>
    <w:rsid w:val="006069A1"/>
    <w:rsid w:val="006075A8"/>
    <w:rsid w:val="006351E0"/>
    <w:rsid w:val="00641BB3"/>
    <w:rsid w:val="0064338D"/>
    <w:rsid w:val="00646BE5"/>
    <w:rsid w:val="0065176A"/>
    <w:rsid w:val="0065177F"/>
    <w:rsid w:val="0066432C"/>
    <w:rsid w:val="00666961"/>
    <w:rsid w:val="0067153B"/>
    <w:rsid w:val="006819E9"/>
    <w:rsid w:val="00687827"/>
    <w:rsid w:val="00694A19"/>
    <w:rsid w:val="00697D69"/>
    <w:rsid w:val="006B4F35"/>
    <w:rsid w:val="006B6020"/>
    <w:rsid w:val="006B7A5C"/>
    <w:rsid w:val="006E1B1C"/>
    <w:rsid w:val="006E2917"/>
    <w:rsid w:val="006E2DD8"/>
    <w:rsid w:val="006F2745"/>
    <w:rsid w:val="007043A5"/>
    <w:rsid w:val="007174C4"/>
    <w:rsid w:val="007308F8"/>
    <w:rsid w:val="0073439A"/>
    <w:rsid w:val="00737B39"/>
    <w:rsid w:val="00743FC4"/>
    <w:rsid w:val="00745A67"/>
    <w:rsid w:val="00766CD9"/>
    <w:rsid w:val="00767F5C"/>
    <w:rsid w:val="00772081"/>
    <w:rsid w:val="007736BF"/>
    <w:rsid w:val="007816EB"/>
    <w:rsid w:val="00782904"/>
    <w:rsid w:val="007846A9"/>
    <w:rsid w:val="00786585"/>
    <w:rsid w:val="007A49C4"/>
    <w:rsid w:val="007B2D2D"/>
    <w:rsid w:val="007B78DD"/>
    <w:rsid w:val="007C1F94"/>
    <w:rsid w:val="007C4FF8"/>
    <w:rsid w:val="007E3FB1"/>
    <w:rsid w:val="007F0FBF"/>
    <w:rsid w:val="007F4E61"/>
    <w:rsid w:val="008003AE"/>
    <w:rsid w:val="008035A7"/>
    <w:rsid w:val="00812559"/>
    <w:rsid w:val="0081326E"/>
    <w:rsid w:val="00814ABC"/>
    <w:rsid w:val="00821836"/>
    <w:rsid w:val="008221C6"/>
    <w:rsid w:val="0083096B"/>
    <w:rsid w:val="0083177C"/>
    <w:rsid w:val="0083381D"/>
    <w:rsid w:val="00842859"/>
    <w:rsid w:val="008436CC"/>
    <w:rsid w:val="00847A77"/>
    <w:rsid w:val="00855547"/>
    <w:rsid w:val="00873DCD"/>
    <w:rsid w:val="008973B6"/>
    <w:rsid w:val="008A23F6"/>
    <w:rsid w:val="008A78B4"/>
    <w:rsid w:val="008C661A"/>
    <w:rsid w:val="008D4024"/>
    <w:rsid w:val="008E5728"/>
    <w:rsid w:val="00905EC8"/>
    <w:rsid w:val="009122FC"/>
    <w:rsid w:val="009142D3"/>
    <w:rsid w:val="00924019"/>
    <w:rsid w:val="009240DB"/>
    <w:rsid w:val="009276C6"/>
    <w:rsid w:val="009303D6"/>
    <w:rsid w:val="00932257"/>
    <w:rsid w:val="009372F0"/>
    <w:rsid w:val="009639E8"/>
    <w:rsid w:val="00975994"/>
    <w:rsid w:val="009928AA"/>
    <w:rsid w:val="009933CC"/>
    <w:rsid w:val="009A5C04"/>
    <w:rsid w:val="009B3825"/>
    <w:rsid w:val="009C51D7"/>
    <w:rsid w:val="009D74EC"/>
    <w:rsid w:val="009E079C"/>
    <w:rsid w:val="009E34AB"/>
    <w:rsid w:val="009E42D2"/>
    <w:rsid w:val="009F243A"/>
    <w:rsid w:val="00A013FA"/>
    <w:rsid w:val="00A023F4"/>
    <w:rsid w:val="00A05A73"/>
    <w:rsid w:val="00A125F6"/>
    <w:rsid w:val="00A262B0"/>
    <w:rsid w:val="00A34272"/>
    <w:rsid w:val="00A4758F"/>
    <w:rsid w:val="00A50946"/>
    <w:rsid w:val="00A67D10"/>
    <w:rsid w:val="00AB2D95"/>
    <w:rsid w:val="00AB6220"/>
    <w:rsid w:val="00AC4899"/>
    <w:rsid w:val="00AD62F8"/>
    <w:rsid w:val="00AE1606"/>
    <w:rsid w:val="00AF035F"/>
    <w:rsid w:val="00B00E9E"/>
    <w:rsid w:val="00B318D5"/>
    <w:rsid w:val="00B34834"/>
    <w:rsid w:val="00B40DFF"/>
    <w:rsid w:val="00B4199F"/>
    <w:rsid w:val="00B5379B"/>
    <w:rsid w:val="00B903F0"/>
    <w:rsid w:val="00B931C5"/>
    <w:rsid w:val="00B96404"/>
    <w:rsid w:val="00B9747F"/>
    <w:rsid w:val="00BB01D1"/>
    <w:rsid w:val="00BB1D17"/>
    <w:rsid w:val="00BB552A"/>
    <w:rsid w:val="00BC3001"/>
    <w:rsid w:val="00BC3140"/>
    <w:rsid w:val="00BD1D7D"/>
    <w:rsid w:val="00BE5682"/>
    <w:rsid w:val="00BE6EF4"/>
    <w:rsid w:val="00BE79C3"/>
    <w:rsid w:val="00BF000C"/>
    <w:rsid w:val="00BF6887"/>
    <w:rsid w:val="00C02DBE"/>
    <w:rsid w:val="00C06602"/>
    <w:rsid w:val="00C07F68"/>
    <w:rsid w:val="00C16B41"/>
    <w:rsid w:val="00C22BB6"/>
    <w:rsid w:val="00C354DD"/>
    <w:rsid w:val="00C545F1"/>
    <w:rsid w:val="00C60D13"/>
    <w:rsid w:val="00C6353F"/>
    <w:rsid w:val="00C63CAA"/>
    <w:rsid w:val="00C65B23"/>
    <w:rsid w:val="00C66C88"/>
    <w:rsid w:val="00C67138"/>
    <w:rsid w:val="00C71DBB"/>
    <w:rsid w:val="00C91946"/>
    <w:rsid w:val="00C934F0"/>
    <w:rsid w:val="00C96139"/>
    <w:rsid w:val="00CA41C8"/>
    <w:rsid w:val="00CB0438"/>
    <w:rsid w:val="00CB2683"/>
    <w:rsid w:val="00CB7E5D"/>
    <w:rsid w:val="00CC1754"/>
    <w:rsid w:val="00CC1EBB"/>
    <w:rsid w:val="00CC2DD5"/>
    <w:rsid w:val="00CC769E"/>
    <w:rsid w:val="00CD2FB2"/>
    <w:rsid w:val="00CD35A0"/>
    <w:rsid w:val="00CE0330"/>
    <w:rsid w:val="00CE6048"/>
    <w:rsid w:val="00CF29F0"/>
    <w:rsid w:val="00CF47E8"/>
    <w:rsid w:val="00D005BD"/>
    <w:rsid w:val="00D11EB6"/>
    <w:rsid w:val="00D32BE4"/>
    <w:rsid w:val="00D338EF"/>
    <w:rsid w:val="00D44BD0"/>
    <w:rsid w:val="00D52DAB"/>
    <w:rsid w:val="00D5788E"/>
    <w:rsid w:val="00D60969"/>
    <w:rsid w:val="00D74B12"/>
    <w:rsid w:val="00D808D6"/>
    <w:rsid w:val="00D808FA"/>
    <w:rsid w:val="00D86F98"/>
    <w:rsid w:val="00DA7587"/>
    <w:rsid w:val="00DC4BFA"/>
    <w:rsid w:val="00DC5E9C"/>
    <w:rsid w:val="00DC6518"/>
    <w:rsid w:val="00DF4FF0"/>
    <w:rsid w:val="00DF5221"/>
    <w:rsid w:val="00DF5EE3"/>
    <w:rsid w:val="00E123EE"/>
    <w:rsid w:val="00E132D0"/>
    <w:rsid w:val="00E135A4"/>
    <w:rsid w:val="00E20B41"/>
    <w:rsid w:val="00E23137"/>
    <w:rsid w:val="00E31EE0"/>
    <w:rsid w:val="00E353FB"/>
    <w:rsid w:val="00E521F0"/>
    <w:rsid w:val="00E80CA9"/>
    <w:rsid w:val="00E81A2D"/>
    <w:rsid w:val="00E8294B"/>
    <w:rsid w:val="00E91136"/>
    <w:rsid w:val="00E966E0"/>
    <w:rsid w:val="00EA01A7"/>
    <w:rsid w:val="00EA1580"/>
    <w:rsid w:val="00EA598B"/>
    <w:rsid w:val="00EB20E0"/>
    <w:rsid w:val="00EC631A"/>
    <w:rsid w:val="00ED213B"/>
    <w:rsid w:val="00EE03F8"/>
    <w:rsid w:val="00EE2E0D"/>
    <w:rsid w:val="00EE2EB8"/>
    <w:rsid w:val="00F00755"/>
    <w:rsid w:val="00F03741"/>
    <w:rsid w:val="00F0585D"/>
    <w:rsid w:val="00F14C5C"/>
    <w:rsid w:val="00F15D77"/>
    <w:rsid w:val="00F20104"/>
    <w:rsid w:val="00F27A4B"/>
    <w:rsid w:val="00F30461"/>
    <w:rsid w:val="00F37DF6"/>
    <w:rsid w:val="00F44582"/>
    <w:rsid w:val="00F447CB"/>
    <w:rsid w:val="00F4632F"/>
    <w:rsid w:val="00F538E7"/>
    <w:rsid w:val="00F64006"/>
    <w:rsid w:val="00F71180"/>
    <w:rsid w:val="00F7445C"/>
    <w:rsid w:val="00F76B5F"/>
    <w:rsid w:val="00F77B95"/>
    <w:rsid w:val="00F80DFD"/>
    <w:rsid w:val="00F869EA"/>
    <w:rsid w:val="00F907FA"/>
    <w:rsid w:val="00F94492"/>
    <w:rsid w:val="00FA5AAD"/>
    <w:rsid w:val="00FC2C80"/>
    <w:rsid w:val="00FC2EE2"/>
    <w:rsid w:val="00FC64D7"/>
    <w:rsid w:val="00FC7363"/>
    <w:rsid w:val="00FD03B1"/>
    <w:rsid w:val="00FD72F3"/>
    <w:rsid w:val="00FE257F"/>
    <w:rsid w:val="00FE3A3E"/>
    <w:rsid w:val="00FF4465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5EF9A-447E-485F-91DF-0528EA0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6006C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A013FA"/>
    <w:pPr>
      <w:ind w:left="720" w:hanging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ds.nih.gov/disorders/tbi/detail_tbi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traumaticbraininjury/get_the_fac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Bae10</b:Tag>
    <b:SourceType>JournalArticle</b:SourceType>
    <b:Guid>{6468C456-16F7-44A0-BBA6-25834BEEA2D8}</b:Guid>
    <b:Author>
      <b:Author>
        <b:NameList>
          <b:Person>
            <b:Last>Kyoo</b:Last>
            <b:First>Baek</b:First>
          </b:Person>
        </b:NameList>
      </b:Author>
    </b:Author>
    <b:Title>Career satisfaction, organizational commitment, and turnover intention: The effects of goal orientation, organizational learning culture and developmental feedback</b:Title>
    <b:JournalName>Leadership and Organizational development Journal</b:JournalName>
    <b:Year>2010</b:Year>
    <b:Pages>482-500</b:Pages>
    <b:RefOrder>1</b:RefOrder>
  </b:Source>
  <b:Source>
    <b:Tag>Ill09</b:Tag>
    <b:SourceType>JournalArticle</b:SourceType>
    <b:Guid>{9B8BFA9B-B9FD-4D21-AE4F-A1A453428AF9}</b:Guid>
    <b:Author>
      <b:Author>
        <b:NameList>
          <b:Person>
            <b:Last>K</b:Last>
            <b:First>Illeris</b:First>
          </b:Person>
        </b:NameList>
      </b:Author>
    </b:Author>
    <b:Title>Transfer of learning in society: how can barriers between different learnind speces be surmounted, and can the gap between lerning inside and outside work be bridged?</b:Title>
    <b:JournalName>Journal of life Long Education</b:JournalName>
    <b:Year>2009</b:Year>
    <b:Pages>137-148</b:Pages>
    <b:RefOrder>2</b:RefOrder>
  </b:Source>
  <b:Source>
    <b:Tag>Mic15</b:Tag>
    <b:SourceType>JournalArticle</b:SourceType>
    <b:Guid>{992DB89C-76F4-4172-BFCA-E93A945CF473}</b:Guid>
    <b:Author>
      <b:Author>
        <b:NameList>
          <b:Person>
            <b:Last>Cohen</b:Last>
            <b:First>Michael</b:First>
            <b:Middle>D.</b:Middle>
          </b:Person>
        </b:NameList>
      </b:Author>
    </b:Author>
    <b:Title>Individual Learning and Organizational Routine</b:Title>
    <b:JournalName>Organizational Science</b:JournalName>
    <b:Year>2015</b:Year>
    <b:Pages>135-139</b:Pages>
    <b:RefOrder>3</b:RefOrder>
  </b:Source>
  <b:Source>
    <b:Tag>Sey98</b:Tag>
    <b:SourceType>JournalArticle</b:SourceType>
    <b:Guid>{28D55AF3-3B01-4B14-9E9E-7A79DCBA7057}</b:Guid>
    <b:Author>
      <b:Author>
        <b:NameList>
          <b:Person>
            <b:Last>Seyler D. L.</b:Last>
            <b:First>Holton</b:First>
            <b:Middle>LLL, E. F, Bates, R A Burnett and Carvalho</b:Middle>
          </b:Person>
        </b:NameList>
      </b:Author>
    </b:Author>
    <b:Title>Factors affecting motivation to transfer training</b:Title>
    <b:JournalName>International Journal of Traimning and development</b:JournalName>
    <b:Year>1998</b:Year>
    <b:Pages>16</b:Pages>
    <b:RefOrder>4</b:RefOrder>
  </b:Source>
  <b:Source>
    <b:Tag>Rou93</b:Tag>
    <b:SourceType>JournalArticle</b:SourceType>
    <b:Guid>{C42AE06C-16B3-42AE-BB84-F07623E19590}</b:Guid>
    <b:Author>
      <b:Author>
        <b:NameList>
          <b:Person>
            <b:Last>Goldstein</b:Last>
            <b:First>Rouiller</b:First>
            <b:Middle>J. Z and</b:Middle>
          </b:Person>
        </b:NameList>
      </b:Author>
    </b:Author>
    <b:Title>The Reaklationship between organizational transfer climate and positive transfer of training</b:Title>
    <b:JournalName>Human Resource Development </b:JournalName>
    <b:Year>1993</b:Year>
    <b:Pages>37-390</b:Pages>
    <b:RefOrder>5</b:RefOrder>
  </b:Source>
  <b:Source>
    <b:Tag>Ann11</b:Tag>
    <b:SourceType>JournalArticle</b:SourceType>
    <b:Guid>{EA06BB72-E638-4EE1-8AC4-620869D114BA}</b:Guid>
    <b:Author>
      <b:Author>
        <b:NameList>
          <b:Person>
            <b:Last>Annie Jalbert and Ian Neath</b:Last>
            <b:First>Tamra</b:First>
            <b:Middle>J. Bireta</b:Middle>
          </b:Person>
        </b:NameList>
      </b:Author>
    </b:Author>
    <b:Title>Aumee M. Suprenanat</b:Title>
    <b:JournalName>Memorial University of Newfoundland</b:JournalName>
    <b:Year>2011</b:Year>
    <b:RefOrder>1</b:RefOrder>
  </b:Source>
  <b:Source>
    <b:Tag>Her76</b:Tag>
    <b:SourceType>JournalArticle</b:SourceType>
    <b:Guid>{2718B039-9219-4C77-A320-556CDB6CFE77}</b:Guid>
    <b:Title>Acoustic Masking in Prinmary Memory</b:Title>
    <b:Year>1976</b:Year>
    <b:Author>
      <b:Author>
        <b:NameList>
          <b:Person>
            <b:Last>Welsh</b:Last>
            <b:First>Herbert</b:First>
            <b:Middle>A. Colle and Alan</b:Middle>
          </b:Person>
        </b:NameList>
      </b:Author>
    </b:Author>
    <b:JournalName>University Of Chicago</b:JournalName>
    <b:RefOrder>2</b:RefOrder>
  </b:Source>
</b:Sources>
</file>

<file path=customXml/itemProps1.xml><?xml version="1.0" encoding="utf-8"?>
<ds:datastoreItem xmlns:ds="http://schemas.openxmlformats.org/officeDocument/2006/customXml" ds:itemID="{624AB3ED-4DEA-46C3-B608-C5016D1B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Ammara Fayyaz</cp:lastModifiedBy>
  <cp:revision>19</cp:revision>
  <dcterms:created xsi:type="dcterms:W3CDTF">2019-02-02T08:11:00Z</dcterms:created>
  <dcterms:modified xsi:type="dcterms:W3CDTF">2019-02-02T18:44:00Z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id="XduLo03e"/&gt;&lt;style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