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9E" w:rsidRDefault="001A5F9E">
      <w:pPr>
        <w:spacing w:after="0" w:line="480" w:lineRule="auto"/>
        <w:ind w:firstLine="720"/>
        <w:rPr>
          <w:rFonts w:ascii="Times New Roman" w:eastAsia="Times New Roman" w:hAnsi="Times New Roman" w:cs="Times New Roman"/>
          <w:sz w:val="24"/>
        </w:rPr>
      </w:pPr>
    </w:p>
    <w:p w:rsidR="001A5F9E" w:rsidRDefault="00804DF4">
      <w:pPr>
        <w:tabs>
          <w:tab w:val="left" w:pos="4410"/>
        </w:tabs>
        <w:spacing w:after="0" w:line="480" w:lineRule="auto"/>
        <w:ind w:left="3600"/>
        <w:rPr>
          <w:rFonts w:ascii="Times New Roman" w:eastAsia="Times New Roman" w:hAnsi="Times New Roman" w:cs="Times New Roman"/>
          <w:sz w:val="24"/>
        </w:rPr>
      </w:pPr>
      <w:r>
        <w:rPr>
          <w:rFonts w:ascii="Times New Roman" w:eastAsia="Times New Roman" w:hAnsi="Times New Roman" w:cs="Times New Roman"/>
          <w:sz w:val="24"/>
        </w:rPr>
        <w:tab/>
      </w:r>
    </w:p>
    <w:p w:rsidR="001A5F9E" w:rsidRDefault="001A5F9E">
      <w:pPr>
        <w:tabs>
          <w:tab w:val="left" w:pos="4410"/>
        </w:tabs>
        <w:spacing w:after="0" w:line="480" w:lineRule="auto"/>
        <w:ind w:left="3600"/>
        <w:rPr>
          <w:rFonts w:ascii="Times New Roman" w:eastAsia="Times New Roman" w:hAnsi="Times New Roman" w:cs="Times New Roman"/>
          <w:sz w:val="24"/>
        </w:rPr>
      </w:pPr>
    </w:p>
    <w:p w:rsidR="001A5F9E" w:rsidRDefault="001A5F9E">
      <w:pPr>
        <w:tabs>
          <w:tab w:val="left" w:pos="4410"/>
        </w:tabs>
        <w:spacing w:after="0" w:line="480" w:lineRule="auto"/>
        <w:ind w:left="3600"/>
        <w:rPr>
          <w:rFonts w:ascii="Times New Roman" w:eastAsia="Times New Roman" w:hAnsi="Times New Roman" w:cs="Times New Roman"/>
          <w:sz w:val="24"/>
        </w:rPr>
      </w:pPr>
    </w:p>
    <w:p w:rsidR="001A5F9E" w:rsidRDefault="001A5F9E">
      <w:pPr>
        <w:tabs>
          <w:tab w:val="left" w:pos="4410"/>
        </w:tabs>
        <w:spacing w:after="0" w:line="480" w:lineRule="auto"/>
        <w:ind w:left="3600"/>
        <w:rPr>
          <w:rFonts w:ascii="Times New Roman" w:eastAsia="Times New Roman" w:hAnsi="Times New Roman" w:cs="Times New Roman"/>
          <w:sz w:val="24"/>
        </w:rPr>
      </w:pPr>
    </w:p>
    <w:p w:rsidR="001A5F9E" w:rsidRDefault="001A5F9E">
      <w:pPr>
        <w:tabs>
          <w:tab w:val="left" w:pos="4410"/>
        </w:tabs>
        <w:spacing w:after="0" w:line="480" w:lineRule="auto"/>
        <w:ind w:left="3600"/>
        <w:rPr>
          <w:rFonts w:ascii="Times New Roman" w:eastAsia="Times New Roman" w:hAnsi="Times New Roman" w:cs="Times New Roman"/>
          <w:sz w:val="24"/>
        </w:rPr>
      </w:pPr>
    </w:p>
    <w:p w:rsidR="001A5F9E" w:rsidRDefault="00804DF4">
      <w:pPr>
        <w:tabs>
          <w:tab w:val="left" w:pos="4410"/>
        </w:tabs>
        <w:spacing w:after="0" w:line="480" w:lineRule="auto"/>
        <w:ind w:left="360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Research Paper</w:t>
      </w:r>
    </w:p>
    <w:p w:rsidR="001A5F9E" w:rsidRDefault="00804DF4">
      <w:pPr>
        <w:spacing w:after="0" w:line="480" w:lineRule="auto"/>
        <w:ind w:firstLine="720"/>
        <w:jc w:val="center"/>
        <w:rPr>
          <w:rFonts w:ascii="Times New Roman" w:eastAsia="Times New Roman" w:hAnsi="Times New Roman" w:cs="Times New Roman"/>
          <w:sz w:val="24"/>
        </w:rPr>
      </w:pPr>
      <w:r>
        <w:rPr>
          <w:rFonts w:ascii="Times New Roman" w:eastAsia="Times New Roman" w:hAnsi="Times New Roman" w:cs="Times New Roman"/>
          <w:sz w:val="24"/>
        </w:rPr>
        <w:t>Name (First M_Last)</w:t>
      </w:r>
    </w:p>
    <w:p w:rsidR="001A5F9E" w:rsidRDefault="00804DF4">
      <w:pPr>
        <w:spacing w:after="0" w:line="480" w:lineRule="auto"/>
        <w:ind w:firstLine="720"/>
        <w:jc w:val="center"/>
        <w:rPr>
          <w:rFonts w:ascii="Times New Roman" w:eastAsia="Times New Roman" w:hAnsi="Times New Roman" w:cs="Times New Roman"/>
          <w:sz w:val="24"/>
        </w:rPr>
      </w:pPr>
      <w:r>
        <w:rPr>
          <w:rFonts w:ascii="Times New Roman" w:eastAsia="Times New Roman" w:hAnsi="Times New Roman" w:cs="Times New Roman"/>
          <w:sz w:val="24"/>
        </w:rPr>
        <w:t>Institution Name</w:t>
      </w:r>
    </w:p>
    <w:p w:rsidR="001A5F9E" w:rsidRDefault="00804DF4">
      <w:pPr>
        <w:spacing w:after="0" w:line="480" w:lineRule="auto"/>
        <w:ind w:firstLine="72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A5F9E" w:rsidRDefault="001A5F9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2308EE" w:rsidRDefault="002308EE">
      <w:pPr>
        <w:spacing w:after="0" w:line="480" w:lineRule="auto"/>
        <w:ind w:firstLine="720"/>
        <w:jc w:val="center"/>
        <w:rPr>
          <w:rFonts w:ascii="Times New Roman" w:eastAsia="Times New Roman" w:hAnsi="Times New Roman" w:cs="Times New Roman"/>
          <w:sz w:val="24"/>
        </w:rPr>
      </w:pPr>
    </w:p>
    <w:p w:rsidR="001A5F9E" w:rsidRDefault="00804DF4">
      <w:pPr>
        <w:spacing w:after="0" w:line="480" w:lineRule="auto"/>
        <w:jc w:val="center"/>
        <w:rPr>
          <w:rFonts w:ascii="Times New Roman" w:eastAsia="Times New Roman" w:hAnsi="Times New Roman" w:cs="Times New Roman"/>
          <w:b/>
          <w:sz w:val="24"/>
        </w:rPr>
      </w:pPr>
      <w:bookmarkStart w:id="0" w:name="_GoBack"/>
      <w:r>
        <w:rPr>
          <w:rFonts w:ascii="Times New Roman" w:eastAsia="Times New Roman" w:hAnsi="Times New Roman" w:cs="Times New Roman"/>
          <w:b/>
          <w:sz w:val="24"/>
        </w:rPr>
        <w:lastRenderedPageBreak/>
        <w:t>Outline</w:t>
      </w:r>
    </w:p>
    <w:p w:rsidR="001A5F9E" w:rsidRDefault="00804DF4">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Introduction</w:t>
      </w:r>
    </w:p>
    <w:p w:rsidR="001A5F9E" w:rsidRDefault="00804DF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Self-Determination Theory (SDT) deals with the Personality and motivations of an individual. Applications of the SDT can enhance the performance of individuals in a </w:t>
      </w:r>
      <w:r>
        <w:rPr>
          <w:rFonts w:ascii="Times New Roman" w:eastAsia="Times New Roman" w:hAnsi="Times New Roman" w:cs="Times New Roman"/>
          <w:sz w:val="24"/>
        </w:rPr>
        <w:t>learning environment.</w:t>
      </w:r>
    </w:p>
    <w:p w:rsidR="001A5F9E" w:rsidRDefault="00804DF4">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Discussion</w:t>
      </w:r>
    </w:p>
    <w:p w:rsidR="001A5F9E" w:rsidRDefault="00804DF4">
      <w:pPr>
        <w:numPr>
          <w:ilvl w:val="0"/>
          <w:numId w:val="1"/>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Misbehavior of the students can be managed by specific tools and techniques used by teachers (</w:t>
      </w:r>
      <w:r>
        <w:rPr>
          <w:rFonts w:ascii="Times New Roman" w:eastAsia="Times New Roman" w:hAnsi="Times New Roman" w:cs="Times New Roman"/>
          <w:color w:val="222222"/>
          <w:sz w:val="24"/>
          <w:shd w:val="clear" w:color="auto" w:fill="FFFFFF"/>
        </w:rPr>
        <w:t xml:space="preserve">Tsouloupas, Carson &amp; MacGregor, 2014). </w:t>
      </w:r>
    </w:p>
    <w:p w:rsidR="001A5F9E" w:rsidRDefault="00804DF4">
      <w:pPr>
        <w:numPr>
          <w:ilvl w:val="0"/>
          <w:numId w:val="1"/>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It is usually intricate to originate practical directions from correlational studies, spe</w:t>
      </w:r>
      <w:r>
        <w:rPr>
          <w:rFonts w:ascii="Times New Roman" w:eastAsia="Times New Roman" w:hAnsi="Times New Roman" w:cs="Times New Roman"/>
          <w:sz w:val="24"/>
        </w:rPr>
        <w:t>cifically when such correlations are on the lower side (</w:t>
      </w:r>
      <w:r>
        <w:rPr>
          <w:rFonts w:ascii="Times New Roman" w:eastAsia="Times New Roman" w:hAnsi="Times New Roman" w:cs="Times New Roman"/>
          <w:color w:val="222222"/>
          <w:sz w:val="24"/>
          <w:shd w:val="clear" w:color="auto" w:fill="FFFFFF"/>
        </w:rPr>
        <w:t>Müller &amp; Louw, 2004</w:t>
      </w:r>
      <w:r>
        <w:rPr>
          <w:rFonts w:ascii="Times New Roman" w:eastAsia="Times New Roman" w:hAnsi="Times New Roman" w:cs="Times New Roman"/>
          <w:sz w:val="24"/>
        </w:rPr>
        <w:t>).</w:t>
      </w:r>
    </w:p>
    <w:p w:rsidR="001A5F9E" w:rsidRDefault="00804DF4">
      <w:pPr>
        <w:numPr>
          <w:ilvl w:val="0"/>
          <w:numId w:val="1"/>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When social contexts back self-determined motivation, circumstances are optimum for fine-quality learning (</w:t>
      </w:r>
      <w:r>
        <w:rPr>
          <w:rFonts w:ascii="Times New Roman" w:eastAsia="Times New Roman" w:hAnsi="Times New Roman" w:cs="Times New Roman"/>
          <w:color w:val="222222"/>
          <w:sz w:val="24"/>
          <w:shd w:val="clear" w:color="auto" w:fill="FFFFFF"/>
        </w:rPr>
        <w:t>Rigby, Deci, Patrick &amp; Ryan, 1992</w:t>
      </w:r>
      <w:r>
        <w:rPr>
          <w:rFonts w:ascii="Times New Roman" w:eastAsia="Times New Roman" w:hAnsi="Times New Roman" w:cs="Times New Roman"/>
          <w:sz w:val="24"/>
        </w:rPr>
        <w:t>).</w:t>
      </w:r>
    </w:p>
    <w:p w:rsidR="001A5F9E" w:rsidRDefault="00804DF4">
      <w:pPr>
        <w:numPr>
          <w:ilvl w:val="0"/>
          <w:numId w:val="1"/>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 intricate and complex environmen</w:t>
      </w:r>
      <w:r>
        <w:rPr>
          <w:rFonts w:ascii="Times New Roman" w:eastAsia="Times New Roman" w:hAnsi="Times New Roman" w:cs="Times New Roman"/>
          <w:sz w:val="24"/>
        </w:rPr>
        <w:t>ts, people with self-determination are motivated to determine ambiguity by self-determination (London, Smither, 1999).</w:t>
      </w:r>
    </w:p>
    <w:p w:rsidR="001A5F9E" w:rsidRDefault="00804DF4">
      <w:pPr>
        <w:numPr>
          <w:ilvl w:val="0"/>
          <w:numId w:val="1"/>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Intrinsic motivation was improved and heightened when students professed they were competent as well as when their performances were unde</w:t>
      </w:r>
      <w:r>
        <w:rPr>
          <w:rFonts w:ascii="Times New Roman" w:eastAsia="Times New Roman" w:hAnsi="Times New Roman" w:cs="Times New Roman"/>
          <w:sz w:val="24"/>
        </w:rPr>
        <w:t>r their control (Young, 2005).</w:t>
      </w:r>
    </w:p>
    <w:p w:rsidR="001A5F9E" w:rsidRDefault="00804DF4">
      <w:pPr>
        <w:numPr>
          <w:ilvl w:val="0"/>
          <w:numId w:val="1"/>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Intricate nature of the motivation of online learner and its dynamic relationships amid several derivatives and antecedents (Chen &amp;Jang, 2010).  </w:t>
      </w:r>
    </w:p>
    <w:p w:rsidR="001A5F9E" w:rsidRDefault="00804DF4">
      <w:pPr>
        <w:spacing w:after="0" w:line="48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DC3480" w:rsidRDefault="00804DF4" w:rsidP="00DC3480">
      <w:pPr>
        <w:spacing w:after="0" w:line="48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Applications of STD</w:t>
      </w:r>
      <w:r>
        <w:rPr>
          <w:rFonts w:ascii="Times New Roman" w:eastAsia="Times New Roman" w:hAnsi="Times New Roman" w:cs="Times New Roman"/>
          <w:sz w:val="24"/>
        </w:rPr>
        <w:t xml:space="preserve"> are helpful in every kind of learning environment and they can be a powerful way to enhance, advance and elevate the learning level of the student of different kind of behaviors. </w:t>
      </w:r>
    </w:p>
    <w:p w:rsidR="001A5F9E" w:rsidRDefault="001A5F9E">
      <w:pPr>
        <w:spacing w:after="0" w:line="480" w:lineRule="auto"/>
        <w:rPr>
          <w:rFonts w:ascii="Times New Roman" w:eastAsia="Times New Roman" w:hAnsi="Times New Roman" w:cs="Times New Roman"/>
          <w:b/>
          <w:sz w:val="24"/>
        </w:rPr>
      </w:pPr>
    </w:p>
    <w:p w:rsidR="001A5F9E" w:rsidRDefault="00804DF4">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Annotated Bibliography</w:t>
      </w:r>
    </w:p>
    <w:p w:rsidR="001A5F9E" w:rsidRDefault="00804DF4">
      <w:pPr>
        <w:numPr>
          <w:ilvl w:val="0"/>
          <w:numId w:val="2"/>
        </w:numPr>
        <w:spacing w:after="0" w:line="480" w:lineRule="auto"/>
        <w:ind w:left="720" w:hanging="360"/>
        <w:rPr>
          <w:rFonts w:ascii="Times New Roman" w:eastAsia="Times New Roman" w:hAnsi="Times New Roman" w:cs="Times New Roman"/>
          <w:b/>
          <w:sz w:val="24"/>
        </w:rPr>
      </w:pPr>
      <w:r>
        <w:rPr>
          <w:rFonts w:ascii="Times New Roman" w:eastAsia="Times New Roman" w:hAnsi="Times New Roman" w:cs="Times New Roman"/>
          <w:color w:val="222222"/>
          <w:sz w:val="24"/>
          <w:shd w:val="clear" w:color="auto" w:fill="FFFFFF"/>
        </w:rPr>
        <w:t>Tsouloupas, C. N., Carson, R. L., &amp; MacGregor, S. K</w:t>
      </w:r>
      <w:r>
        <w:rPr>
          <w:rFonts w:ascii="Times New Roman" w:eastAsia="Times New Roman" w:hAnsi="Times New Roman" w:cs="Times New Roman"/>
          <w:color w:val="222222"/>
          <w:sz w:val="24"/>
          <w:shd w:val="clear" w:color="auto" w:fill="FFFFFF"/>
        </w:rPr>
        <w:t>. (2014). The development of high school teachers’ efficacy in handling student misbehavior (TEHSM). </w:t>
      </w:r>
      <w:r>
        <w:rPr>
          <w:rFonts w:ascii="Times New Roman" w:eastAsia="Times New Roman" w:hAnsi="Times New Roman" w:cs="Times New Roman"/>
          <w:i/>
          <w:color w:val="222222"/>
          <w:sz w:val="24"/>
          <w:shd w:val="clear" w:color="auto" w:fill="FFFFFF"/>
        </w:rPr>
        <w:t>The Journal of Educational Research</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107</w:t>
      </w:r>
      <w:r>
        <w:rPr>
          <w:rFonts w:ascii="Times New Roman" w:eastAsia="Times New Roman" w:hAnsi="Times New Roman" w:cs="Times New Roman"/>
          <w:color w:val="222222"/>
          <w:sz w:val="24"/>
          <w:shd w:val="clear" w:color="auto" w:fill="FFFFFF"/>
        </w:rPr>
        <w:t>(3), 230-240.</w:t>
      </w:r>
    </w:p>
    <w:p w:rsidR="001A5F9E" w:rsidRDefault="00804DF4">
      <w:pPr>
        <w:spacing w:after="0" w:line="48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According to this article future research on the teachers’ efficacy in handling students’ misbehavior</w:t>
      </w:r>
      <w:r>
        <w:rPr>
          <w:rFonts w:ascii="Times New Roman" w:eastAsia="Times New Roman" w:hAnsi="Times New Roman" w:cs="Times New Roman"/>
          <w:sz w:val="24"/>
        </w:rPr>
        <w:t xml:space="preserve"> can assist in guiding the content and design of workshops of professional development which assist teachers to have specific tools and realistic expectations to manage misbehavior of students. Information like this may deliver practitioners with the buoya</w:t>
      </w:r>
      <w:r>
        <w:rPr>
          <w:rFonts w:ascii="Times New Roman" w:eastAsia="Times New Roman" w:hAnsi="Times New Roman" w:cs="Times New Roman"/>
          <w:sz w:val="24"/>
        </w:rPr>
        <w:t>ncy to efficiently handle misbehavior of students rather removing students from their classrooms or simply ignoring them. Thus, the emotional drainage which is mostly related to the dealings of teachers with behaviors of students might be improved. Those t</w:t>
      </w:r>
      <w:r>
        <w:rPr>
          <w:rFonts w:ascii="Times New Roman" w:eastAsia="Times New Roman" w:hAnsi="Times New Roman" w:cs="Times New Roman"/>
          <w:sz w:val="24"/>
        </w:rPr>
        <w:t>eachers who get emotionally exhausted may cultivate a sense of scantiness and may feel that to interact with complex students, they do not have an emotional reserve, slowly become more unconcerned toward students and lose the motivation and interest to end</w:t>
      </w:r>
      <w:r>
        <w:rPr>
          <w:rFonts w:ascii="Times New Roman" w:eastAsia="Times New Roman" w:hAnsi="Times New Roman" w:cs="Times New Roman"/>
          <w:sz w:val="24"/>
        </w:rPr>
        <w:t>ow their time on students. So, lessening emotional drainage at work is precarious. For this study, theorizing, synthesizing comprehension of the data revealed three themes associated with the advancement of TEHSM. If teachers are provided with explicit tra</w:t>
      </w:r>
      <w:r>
        <w:rPr>
          <w:rFonts w:ascii="Times New Roman" w:eastAsia="Times New Roman" w:hAnsi="Times New Roman" w:cs="Times New Roman"/>
          <w:sz w:val="24"/>
        </w:rPr>
        <w:t>ining tools and effective resources of learning related with high beliefs of efficacy which enhance the chance of well-managed classes can be decisive in upholding positive behaviors of students and improving the overall climate of learning.</w:t>
      </w:r>
    </w:p>
    <w:p w:rsidR="001A5F9E" w:rsidRDefault="00804DF4">
      <w:pPr>
        <w:numPr>
          <w:ilvl w:val="0"/>
          <w:numId w:val="3"/>
        </w:numPr>
        <w:spacing w:after="0" w:line="48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color w:val="222222"/>
          <w:sz w:val="24"/>
          <w:shd w:val="clear" w:color="auto" w:fill="FFFFFF"/>
        </w:rPr>
        <w:t>Müller, F. H.</w:t>
      </w:r>
      <w:r>
        <w:rPr>
          <w:rFonts w:ascii="Times New Roman" w:eastAsia="Times New Roman" w:hAnsi="Times New Roman" w:cs="Times New Roman"/>
          <w:color w:val="222222"/>
          <w:sz w:val="24"/>
          <w:shd w:val="clear" w:color="auto" w:fill="FFFFFF"/>
        </w:rPr>
        <w:t xml:space="preserve">, &amp; Louw, J. (2004). The learning environment, motivation, and interest: Perspectives on self-determination theory. </w:t>
      </w:r>
      <w:r>
        <w:rPr>
          <w:rFonts w:ascii="Times New Roman" w:eastAsia="Times New Roman" w:hAnsi="Times New Roman" w:cs="Times New Roman"/>
          <w:i/>
          <w:color w:val="222222"/>
          <w:sz w:val="24"/>
          <w:shd w:val="clear" w:color="auto" w:fill="FFFFFF"/>
        </w:rPr>
        <w:t>South African Journal of Psychology</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34</w:t>
      </w:r>
      <w:r>
        <w:rPr>
          <w:rFonts w:ascii="Times New Roman" w:eastAsia="Times New Roman" w:hAnsi="Times New Roman" w:cs="Times New Roman"/>
          <w:color w:val="222222"/>
          <w:sz w:val="24"/>
          <w:shd w:val="clear" w:color="auto" w:fill="FFFFFF"/>
        </w:rPr>
        <w:t>(2), 169-190.</w:t>
      </w:r>
    </w:p>
    <w:p w:rsidR="001A5F9E" w:rsidRDefault="00804DF4">
      <w:pPr>
        <w:spacing w:after="0" w:line="48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objective of this research in the article was to evaluate the quality of learning </w:t>
      </w:r>
      <w:r>
        <w:rPr>
          <w:rFonts w:ascii="Times New Roman" w:eastAsia="Times New Roman" w:hAnsi="Times New Roman" w:cs="Times New Roman"/>
          <w:sz w:val="24"/>
        </w:rPr>
        <w:t>motivation and to associate it with the traits of the learning environment and teaching. Questionnaires were used for this method of research. According to the study in this journal, it was found that most of the students showed intrinsic and recognized le</w:t>
      </w:r>
      <w:r>
        <w:rPr>
          <w:rFonts w:ascii="Times New Roman" w:eastAsia="Times New Roman" w:hAnsi="Times New Roman" w:cs="Times New Roman"/>
          <w:sz w:val="24"/>
        </w:rPr>
        <w:t xml:space="preserve">arning motivation, and ranked greatly on the study interest. Some of the students wholly extrinsically motivated or amotivaed. It is usually intricate to originate practical directions from correlational studies, specifically when such correlations are on </w:t>
      </w:r>
      <w:r>
        <w:rPr>
          <w:rFonts w:ascii="Times New Roman" w:eastAsia="Times New Roman" w:hAnsi="Times New Roman" w:cs="Times New Roman"/>
          <w:sz w:val="24"/>
        </w:rPr>
        <w:t>the lower side. Moreover, dynamic interaction should be assumed between environment and motivation. To validate the practical influence of environment’s analyzed aspects it is necessary to conduct ecological experiments. In other words, it will be required</w:t>
      </w:r>
      <w:r>
        <w:rPr>
          <w:rFonts w:ascii="Times New Roman" w:eastAsia="Times New Roman" w:hAnsi="Times New Roman" w:cs="Times New Roman"/>
          <w:sz w:val="24"/>
        </w:rPr>
        <w:t xml:space="preserve"> to form learning and teaching environments rendering to the theoretical assumptions (constructivist learning environments and basic needs), and then scrutinize their impacts on motivation. </w:t>
      </w:r>
    </w:p>
    <w:p w:rsidR="001A5F9E" w:rsidRDefault="00804DF4">
      <w:pPr>
        <w:numPr>
          <w:ilvl w:val="0"/>
          <w:numId w:val="4"/>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 xml:space="preserve">Rigby, C. S., Deci, E. L., Patrick, B. C., &amp; Ryan, R. M. (1992). </w:t>
      </w:r>
      <w:r>
        <w:rPr>
          <w:rFonts w:ascii="Times New Roman" w:eastAsia="Times New Roman" w:hAnsi="Times New Roman" w:cs="Times New Roman"/>
          <w:color w:val="222222"/>
          <w:sz w:val="24"/>
          <w:shd w:val="clear" w:color="auto" w:fill="FFFFFF"/>
        </w:rPr>
        <w:t>Beyond the intrinsic-extrinsic dichotomy: Self-determination in motivation and learning. </w:t>
      </w:r>
      <w:r>
        <w:rPr>
          <w:rFonts w:ascii="Times New Roman" w:eastAsia="Times New Roman" w:hAnsi="Times New Roman" w:cs="Times New Roman"/>
          <w:i/>
          <w:color w:val="222222"/>
          <w:sz w:val="24"/>
          <w:shd w:val="clear" w:color="auto" w:fill="FFFFFF"/>
        </w:rPr>
        <w:t>Motivation and Emotion</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16</w:t>
      </w:r>
      <w:r>
        <w:rPr>
          <w:rFonts w:ascii="Times New Roman" w:eastAsia="Times New Roman" w:hAnsi="Times New Roman" w:cs="Times New Roman"/>
          <w:color w:val="222222"/>
          <w:sz w:val="24"/>
          <w:shd w:val="clear" w:color="auto" w:fill="FFFFFF"/>
        </w:rPr>
        <w:t>(3), 165-185.</w:t>
      </w:r>
    </w:p>
    <w:p w:rsidR="001A5F9E" w:rsidRDefault="00804DF4">
      <w:pPr>
        <w:spacing w:after="0" w:line="48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Research in this article highlights that learning extensively to involve effective, relational and cognitive dimensions and i</w:t>
      </w:r>
      <w:r>
        <w:rPr>
          <w:rFonts w:ascii="Times New Roman" w:eastAsia="Times New Roman" w:hAnsi="Times New Roman" w:cs="Times New Roman"/>
          <w:sz w:val="24"/>
        </w:rPr>
        <w:t>nspecting learning as a procedure which is assisted by contexts which support relatedness, competence, and autonomy of individuals, permits for a discussion which exceeds the traditional and academic moral setting and permit a focus on entirely related amb</w:t>
      </w:r>
      <w:r>
        <w:rPr>
          <w:rFonts w:ascii="Times New Roman" w:eastAsia="Times New Roman" w:hAnsi="Times New Roman" w:cs="Times New Roman"/>
          <w:sz w:val="24"/>
        </w:rPr>
        <w:t xml:space="preserve">ient contexts.  This kind of focus involves workplace, classroom, and home, in short, any general social environment. For the conduction of research in this article, the authors focused on the practices of </w:t>
      </w:r>
      <w:r>
        <w:rPr>
          <w:rFonts w:ascii="Times New Roman" w:eastAsia="Times New Roman" w:hAnsi="Times New Roman" w:cs="Times New Roman"/>
          <w:sz w:val="24"/>
        </w:rPr>
        <w:lastRenderedPageBreak/>
        <w:t>integration and internalization to deliver extrins</w:t>
      </w:r>
      <w:r>
        <w:rPr>
          <w:rFonts w:ascii="Times New Roman" w:eastAsia="Times New Roman" w:hAnsi="Times New Roman" w:cs="Times New Roman"/>
          <w:sz w:val="24"/>
        </w:rPr>
        <w:t>ic motivation's differentiated conception and to describe that specific method of differentiated conceptions combined with intrinsic motivation establish the foundation for the functioning of self-determination. Studies have progressively shown that when s</w:t>
      </w:r>
      <w:r>
        <w:rPr>
          <w:rFonts w:ascii="Times New Roman" w:eastAsia="Times New Roman" w:hAnsi="Times New Roman" w:cs="Times New Roman"/>
          <w:sz w:val="24"/>
        </w:rPr>
        <w:t xml:space="preserve">ocial contexts back self-determined motivation, circumstances are optimum for fine-quality learning. </w:t>
      </w:r>
    </w:p>
    <w:p w:rsidR="001A5F9E" w:rsidRDefault="00804DF4">
      <w:pPr>
        <w:numPr>
          <w:ilvl w:val="0"/>
          <w:numId w:val="5"/>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London, M., &amp; Smither, J. W. (1999). Empowered self</w:t>
      </w:r>
      <w:r>
        <w:rPr>
          <w:rFonts w:ascii="Cambria Math" w:eastAsia="Cambria Math" w:hAnsi="Cambria Math" w:cs="Cambria Math"/>
          <w:color w:val="222222"/>
          <w:sz w:val="24"/>
          <w:shd w:val="clear" w:color="auto" w:fill="FFFFFF"/>
        </w:rPr>
        <w:t>‐</w:t>
      </w:r>
      <w:r>
        <w:rPr>
          <w:rFonts w:ascii="Times New Roman" w:eastAsia="Times New Roman" w:hAnsi="Times New Roman" w:cs="Times New Roman"/>
          <w:color w:val="222222"/>
          <w:sz w:val="24"/>
          <w:shd w:val="clear" w:color="auto" w:fill="FFFFFF"/>
        </w:rPr>
        <w:t>development and continuous learning. </w:t>
      </w:r>
      <w:r>
        <w:rPr>
          <w:rFonts w:ascii="Times New Roman" w:eastAsia="Times New Roman" w:hAnsi="Times New Roman" w:cs="Times New Roman"/>
          <w:i/>
          <w:color w:val="222222"/>
          <w:sz w:val="24"/>
          <w:shd w:val="clear" w:color="auto" w:fill="FFFFFF"/>
        </w:rPr>
        <w:t xml:space="preserve">Human Resource Management: Published in Cooperation with the </w:t>
      </w:r>
      <w:r>
        <w:rPr>
          <w:rFonts w:ascii="Times New Roman" w:eastAsia="Times New Roman" w:hAnsi="Times New Roman" w:cs="Times New Roman"/>
          <w:i/>
          <w:color w:val="222222"/>
          <w:sz w:val="24"/>
          <w:shd w:val="clear" w:color="auto" w:fill="FFFFFF"/>
        </w:rPr>
        <w:t>School of Business Administration, The University of Michigan and in alliance with the Society of Human Resources Management</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38</w:t>
      </w:r>
      <w:r>
        <w:rPr>
          <w:rFonts w:ascii="Times New Roman" w:eastAsia="Times New Roman" w:hAnsi="Times New Roman" w:cs="Times New Roman"/>
          <w:color w:val="222222"/>
          <w:sz w:val="24"/>
          <w:shd w:val="clear" w:color="auto" w:fill="FFFFFF"/>
        </w:rPr>
        <w:t>(1), 3-15.</w:t>
      </w:r>
    </w:p>
    <w:p w:rsidR="001A5F9E" w:rsidRDefault="00804DF4">
      <w:pPr>
        <w:spacing w:after="0" w:line="48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Table II of this article summarizes the central elements necessary for continuous learning and empowered self-develop</w:t>
      </w:r>
      <w:r>
        <w:rPr>
          <w:rFonts w:ascii="Times New Roman" w:eastAsia="Times New Roman" w:hAnsi="Times New Roman" w:cs="Times New Roman"/>
          <w:sz w:val="24"/>
        </w:rPr>
        <w:t>ment. This articles reflect that in the organization of today, workers should take responsibility for their learning and identifying that learning is a long process in career. This knowledge involves recognizing how to pursue feedback, associating response</w:t>
      </w:r>
      <w:r>
        <w:rPr>
          <w:rFonts w:ascii="Times New Roman" w:eastAsia="Times New Roman" w:hAnsi="Times New Roman" w:cs="Times New Roman"/>
          <w:sz w:val="24"/>
        </w:rPr>
        <w:t xml:space="preserve"> to current and future expectations of performance, tracking progress and setting goals of performance. Individuals that are self-determined, are highly motivated to increase their performance. Even if they are already better in their performance they will</w:t>
      </w:r>
      <w:r>
        <w:rPr>
          <w:rFonts w:ascii="Times New Roman" w:eastAsia="Times New Roman" w:hAnsi="Times New Roman" w:cs="Times New Roman"/>
          <w:sz w:val="24"/>
        </w:rPr>
        <w:t xml:space="preserve"> tend to do more good next time. In intricate and complex environments, such people are motivated to determine ambiguity by self-determination. Individuals who are high in need for uncertainty orientation, control, and self-efficacy are more likely to use </w:t>
      </w:r>
      <w:r>
        <w:rPr>
          <w:rFonts w:ascii="Times New Roman" w:eastAsia="Times New Roman" w:hAnsi="Times New Roman" w:cs="Times New Roman"/>
          <w:sz w:val="24"/>
        </w:rPr>
        <w:t xml:space="preserve">and pursue feedback as a way of determining to gain control and uncertainty. In the end, research of this article concludes that self-determined behavior might be induced and learned, hence it increases the positive impacts of an empowering environment of </w:t>
      </w:r>
      <w:r>
        <w:rPr>
          <w:rFonts w:ascii="Times New Roman" w:eastAsia="Times New Roman" w:hAnsi="Times New Roman" w:cs="Times New Roman"/>
          <w:sz w:val="24"/>
        </w:rPr>
        <w:t xml:space="preserve">work on the self-development.  </w:t>
      </w:r>
    </w:p>
    <w:p w:rsidR="001A5F9E" w:rsidRDefault="00804DF4">
      <w:pPr>
        <w:numPr>
          <w:ilvl w:val="0"/>
          <w:numId w:val="6"/>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lastRenderedPageBreak/>
        <w:t>Young, M. R. (2005). The motivational effects of the classroom environment in facilitating self-regulated learning. </w:t>
      </w:r>
      <w:r>
        <w:rPr>
          <w:rFonts w:ascii="Times New Roman" w:eastAsia="Times New Roman" w:hAnsi="Times New Roman" w:cs="Times New Roman"/>
          <w:i/>
          <w:color w:val="222222"/>
          <w:sz w:val="24"/>
          <w:shd w:val="clear" w:color="auto" w:fill="FFFFFF"/>
        </w:rPr>
        <w:t>Journal of Marketing Education</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27</w:t>
      </w:r>
      <w:r>
        <w:rPr>
          <w:rFonts w:ascii="Times New Roman" w:eastAsia="Times New Roman" w:hAnsi="Times New Roman" w:cs="Times New Roman"/>
          <w:color w:val="222222"/>
          <w:sz w:val="24"/>
          <w:shd w:val="clear" w:color="auto" w:fill="FFFFFF"/>
        </w:rPr>
        <w:t>(1), 25-40.</w:t>
      </w:r>
    </w:p>
    <w:p w:rsidR="001A5F9E" w:rsidRDefault="00804DF4">
      <w:pPr>
        <w:spacing w:after="0" w:line="48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The data collection method is used for the research of this </w:t>
      </w:r>
      <w:r>
        <w:rPr>
          <w:rFonts w:ascii="Times New Roman" w:eastAsia="Times New Roman" w:hAnsi="Times New Roman" w:cs="Times New Roman"/>
          <w:sz w:val="24"/>
        </w:rPr>
        <w:t>article. In this article, it was hypothesized that students who are extrinsically motivated will use strategies of superficial learning, and students who are intrinsically motivated will use strategies of metacognitive and deep cognitive. For the theoretic</w:t>
      </w:r>
      <w:r>
        <w:rPr>
          <w:rFonts w:ascii="Times New Roman" w:eastAsia="Times New Roman" w:hAnsi="Times New Roman" w:cs="Times New Roman"/>
          <w:sz w:val="24"/>
        </w:rPr>
        <w:t>al relationships that are between and within self-regulated learning strategies, achievement goal theory, and cognitive evaluation theory, in the context of the classroom, results of this research provided empirical support. Strategies of superficial learn</w:t>
      </w:r>
      <w:r>
        <w:rPr>
          <w:rFonts w:ascii="Times New Roman" w:eastAsia="Times New Roman" w:hAnsi="Times New Roman" w:cs="Times New Roman"/>
          <w:sz w:val="24"/>
        </w:rPr>
        <w:t>ing for this research were associated with extrinsic motivation, on the other hand, intrinsic motivation resolute metacognitive and deep cognitive strategy usage. According to cognitive evaluation theory, intrinsic motivation was improved and heightened wh</w:t>
      </w:r>
      <w:r>
        <w:rPr>
          <w:rFonts w:ascii="Times New Roman" w:eastAsia="Times New Roman" w:hAnsi="Times New Roman" w:cs="Times New Roman"/>
          <w:sz w:val="24"/>
        </w:rPr>
        <w:t xml:space="preserve">en students professed they were competent as well as when their performances were under their control.  </w:t>
      </w:r>
    </w:p>
    <w:p w:rsidR="001A5F9E" w:rsidRDefault="00804DF4">
      <w:pPr>
        <w:numPr>
          <w:ilvl w:val="0"/>
          <w:numId w:val="7"/>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Chen, K. C., &amp; Jang, S. J. (2010). Motivation in online learning: Testing a model of self-determination theory. </w:t>
      </w:r>
      <w:r>
        <w:rPr>
          <w:rFonts w:ascii="Times New Roman" w:eastAsia="Times New Roman" w:hAnsi="Times New Roman" w:cs="Times New Roman"/>
          <w:i/>
          <w:color w:val="222222"/>
          <w:sz w:val="24"/>
          <w:shd w:val="clear" w:color="auto" w:fill="FFFFFF"/>
        </w:rPr>
        <w:t>Computers in Human Behavior</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26</w:t>
      </w:r>
      <w:r>
        <w:rPr>
          <w:rFonts w:ascii="Times New Roman" w:eastAsia="Times New Roman" w:hAnsi="Times New Roman" w:cs="Times New Roman"/>
          <w:color w:val="222222"/>
          <w:sz w:val="24"/>
          <w:shd w:val="clear" w:color="auto" w:fill="FFFFFF"/>
        </w:rPr>
        <w:t>(4), 741</w:t>
      </w:r>
      <w:r>
        <w:rPr>
          <w:rFonts w:ascii="Times New Roman" w:eastAsia="Times New Roman" w:hAnsi="Times New Roman" w:cs="Times New Roman"/>
          <w:color w:val="222222"/>
          <w:sz w:val="24"/>
          <w:shd w:val="clear" w:color="auto" w:fill="FFFFFF"/>
        </w:rPr>
        <w:t>-752.</w:t>
      </w:r>
    </w:p>
    <w:p w:rsidR="001A5F9E" w:rsidRDefault="00804DF4">
      <w:pPr>
        <w:spacing w:after="0" w:line="48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Data collection method was used for the research of this article. Relative Autonomy Index was calculated to signify online students. Study of this article functions as one of the initial research which tests a model of the self-determination theory i</w:t>
      </w:r>
      <w:r>
        <w:rPr>
          <w:rFonts w:ascii="Times New Roman" w:eastAsia="Times New Roman" w:hAnsi="Times New Roman" w:cs="Times New Roman"/>
          <w:sz w:val="24"/>
        </w:rPr>
        <w:t>n the context of online learning. Information obtained by the research in this article has delivered inferences for the support of online learners. Moreover, research of this article also increases the information base regarding the intricate nature of the</w:t>
      </w:r>
      <w:r>
        <w:rPr>
          <w:rFonts w:ascii="Times New Roman" w:eastAsia="Times New Roman" w:hAnsi="Times New Roman" w:cs="Times New Roman"/>
          <w:sz w:val="24"/>
        </w:rPr>
        <w:t xml:space="preserve"> motivation of online learner and its dynamic relationships amid several derivatives and antecedents. According to the authors, it is expected that their this research will inspire more self-</w:t>
      </w:r>
      <w:r>
        <w:rPr>
          <w:rFonts w:ascii="Times New Roman" w:eastAsia="Times New Roman" w:hAnsi="Times New Roman" w:cs="Times New Roman"/>
          <w:sz w:val="24"/>
        </w:rPr>
        <w:lastRenderedPageBreak/>
        <w:t>determination based studies to deliberate and discuss the motivat</w:t>
      </w:r>
      <w:r>
        <w:rPr>
          <w:rFonts w:ascii="Times New Roman" w:eastAsia="Times New Roman" w:hAnsi="Times New Roman" w:cs="Times New Roman"/>
          <w:sz w:val="24"/>
        </w:rPr>
        <w:t>ions, contextual support, and needs of learners, and on its basis motivating and vibrant online environments of learning can be flourished.</w:t>
      </w:r>
    </w:p>
    <w:p w:rsidR="001A5F9E" w:rsidRDefault="00177AD6" w:rsidP="00177AD6">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804DF4">
        <w:rPr>
          <w:rFonts w:ascii="Times New Roman" w:eastAsia="Times New Roman" w:hAnsi="Times New Roman" w:cs="Times New Roman"/>
          <w:b/>
          <w:sz w:val="24"/>
        </w:rPr>
        <w:t xml:space="preserve">Essay </w:t>
      </w:r>
      <w:r w:rsidR="00804DF4">
        <w:rPr>
          <w:rFonts w:ascii="Times New Roman" w:eastAsia="Times New Roman" w:hAnsi="Times New Roman" w:cs="Times New Roman"/>
          <w:b/>
          <w:sz w:val="24"/>
        </w:rPr>
        <w:br/>
      </w:r>
      <w:r w:rsidR="00804DF4">
        <w:rPr>
          <w:rFonts w:ascii="Times New Roman" w:eastAsia="Times New Roman" w:hAnsi="Times New Roman" w:cs="Times New Roman"/>
          <w:sz w:val="24"/>
        </w:rPr>
        <w:tab/>
        <w:t>Self-Determination Theory deals with the personality and motivation which discusses three universal psycholo</w:t>
      </w:r>
      <w:r w:rsidR="00804DF4">
        <w:rPr>
          <w:rFonts w:ascii="Times New Roman" w:eastAsia="Times New Roman" w:hAnsi="Times New Roman" w:cs="Times New Roman"/>
          <w:sz w:val="24"/>
        </w:rPr>
        <w:t>gical and innate needs: autonomy, competence and psychological relatedness (Deci, Ryan, 2004). This research paper is about Self-determination theory and its applications in the learning environment. It will address the present motivational level of studen</w:t>
      </w:r>
      <w:r w:rsidR="00804DF4">
        <w:rPr>
          <w:rFonts w:ascii="Times New Roman" w:eastAsia="Times New Roman" w:hAnsi="Times New Roman" w:cs="Times New Roman"/>
          <w:sz w:val="24"/>
        </w:rPr>
        <w:t xml:space="preserve">ts. Furthermore, it will be discussed how the motivation of these students can be improved using the suggestions self-determination theory </w:t>
      </w:r>
      <w:r>
        <w:rPr>
          <w:rFonts w:ascii="Times New Roman" w:eastAsia="Times New Roman" w:hAnsi="Times New Roman" w:cs="Times New Roman"/>
          <w:sz w:val="24"/>
        </w:rPr>
        <w:t>proposes</w:t>
      </w:r>
      <w:r w:rsidRPr="00204189">
        <w:rPr>
          <w:rFonts w:ascii="Times New Roman" w:eastAsia="Times New Roman" w:hAnsi="Times New Roman" w:cs="Times New Roman"/>
          <w:sz w:val="24"/>
        </w:rPr>
        <w:t xml:space="preserve"> (</w:t>
      </w:r>
      <w:r w:rsidR="00204189" w:rsidRPr="00204189">
        <w:rPr>
          <w:rFonts w:ascii="Times New Roman" w:eastAsia="Times New Roman" w:hAnsi="Times New Roman" w:cs="Times New Roman"/>
          <w:sz w:val="24"/>
        </w:rPr>
        <w:t>Garn, Matthews, &amp; Jolly, 2010)</w:t>
      </w:r>
      <w:r w:rsidR="00804DF4">
        <w:rPr>
          <w:rFonts w:ascii="Times New Roman" w:eastAsia="Times New Roman" w:hAnsi="Times New Roman" w:cs="Times New Roman"/>
          <w:sz w:val="24"/>
        </w:rPr>
        <w:t>.</w:t>
      </w:r>
    </w:p>
    <w:p w:rsidR="00A82608" w:rsidRDefault="00804DF4" w:rsidP="00A82608">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 recent years motivation in the context of school has been illuminated </w:t>
      </w:r>
      <w:r>
        <w:rPr>
          <w:rFonts w:ascii="Times New Roman" w:eastAsia="Times New Roman" w:hAnsi="Times New Roman" w:cs="Times New Roman"/>
          <w:sz w:val="24"/>
        </w:rPr>
        <w:t xml:space="preserve">in various studies. The main objective is to seek ways which can influence students to enhance their involvement in activities of learning (Reeve, 2012). Motivation of students is considered as stimulating energy in the learning and teaching process which </w:t>
      </w:r>
      <w:r>
        <w:rPr>
          <w:rFonts w:ascii="Times New Roman" w:eastAsia="Times New Roman" w:hAnsi="Times New Roman" w:cs="Times New Roman"/>
          <w:sz w:val="24"/>
        </w:rPr>
        <w:t xml:space="preserve">infuses all standards of education, both in association with the number of time students devote to studying, and in their academic achievements, and performances contribute significantly to the accomplishment of satisfaction in their lives (malaise versus </w:t>
      </w:r>
      <w:r>
        <w:rPr>
          <w:rFonts w:ascii="Times New Roman" w:eastAsia="Times New Roman" w:hAnsi="Times New Roman" w:cs="Times New Roman"/>
          <w:sz w:val="24"/>
        </w:rPr>
        <w:t>wellbeing) (Reeve, Deci, Ryan, Jang, 2008). Motivation is a psychological phenomenon in which the traits of personality, (for instance, reasons, perspectives, interests, skills, motives, and expectations) interact with professed characteristics of the envi</w:t>
      </w:r>
      <w:r>
        <w:rPr>
          <w:rFonts w:ascii="Times New Roman" w:eastAsia="Times New Roman" w:hAnsi="Times New Roman" w:cs="Times New Roman"/>
          <w:sz w:val="24"/>
        </w:rPr>
        <w:t>ronment</w:t>
      </w:r>
      <w:r w:rsidR="009A6252">
        <w:rPr>
          <w:rFonts w:ascii="Times New Roman" w:eastAsia="Times New Roman" w:hAnsi="Times New Roman" w:cs="Times New Roman"/>
          <w:sz w:val="24"/>
        </w:rPr>
        <w:t xml:space="preserve"> </w:t>
      </w:r>
      <w:r w:rsidR="009A6252" w:rsidRPr="009A6252">
        <w:rPr>
          <w:rFonts w:ascii="Times New Roman" w:eastAsia="Times New Roman" w:hAnsi="Times New Roman" w:cs="Times New Roman"/>
          <w:sz w:val="24"/>
        </w:rPr>
        <w:t>(Cate, Kusurkar, Williams, 2011)</w:t>
      </w:r>
      <w:r>
        <w:rPr>
          <w:rFonts w:ascii="Times New Roman" w:eastAsia="Times New Roman" w:hAnsi="Times New Roman" w:cs="Times New Roman"/>
          <w:sz w:val="24"/>
        </w:rPr>
        <w:t xml:space="preserve">. This directs that the motivation of the student can be affected by variations within the personality of the student as well in their school culture or learning environment.  In this respect, the SDT, </w:t>
      </w:r>
      <w:r>
        <w:rPr>
          <w:rFonts w:ascii="Times New Roman" w:eastAsia="Times New Roman" w:hAnsi="Times New Roman" w:cs="Times New Roman"/>
          <w:sz w:val="24"/>
        </w:rPr>
        <w:t xml:space="preserve">self-determination theory, has been broadly deliberated in the platform of motivation in learning in school </w:t>
      </w:r>
      <w:r>
        <w:rPr>
          <w:rFonts w:ascii="Times New Roman" w:eastAsia="Times New Roman" w:hAnsi="Times New Roman" w:cs="Times New Roman"/>
          <w:color w:val="222222"/>
          <w:sz w:val="24"/>
          <w:shd w:val="clear" w:color="auto" w:fill="FFFFFF"/>
        </w:rPr>
        <w:t xml:space="preserve">(Sørebø, Halvari, Kristiansen, </w:t>
      </w:r>
      <w:r>
        <w:rPr>
          <w:rFonts w:ascii="Times New Roman" w:eastAsia="Times New Roman" w:hAnsi="Times New Roman" w:cs="Times New Roman"/>
          <w:color w:val="222222"/>
          <w:sz w:val="24"/>
          <w:shd w:val="clear" w:color="auto" w:fill="FFFFFF"/>
        </w:rPr>
        <w:lastRenderedPageBreak/>
        <w:t>2009)</w:t>
      </w:r>
      <w:r>
        <w:rPr>
          <w:rFonts w:ascii="Times New Roman" w:eastAsia="Times New Roman" w:hAnsi="Times New Roman" w:cs="Times New Roman"/>
          <w:sz w:val="24"/>
        </w:rPr>
        <w:t>. Moreover, various research has revealed that motivation can influence on the performance and learning of the s</w:t>
      </w:r>
      <w:r>
        <w:rPr>
          <w:rFonts w:ascii="Times New Roman" w:eastAsia="Times New Roman" w:hAnsi="Times New Roman" w:cs="Times New Roman"/>
          <w:sz w:val="24"/>
        </w:rPr>
        <w:t>tudents and contrariwise, that learning can impact on motivation as well</w:t>
      </w:r>
      <w:r w:rsidR="00204189">
        <w:rPr>
          <w:rFonts w:ascii="Times New Roman" w:eastAsia="Times New Roman" w:hAnsi="Times New Roman" w:cs="Times New Roman"/>
          <w:sz w:val="24"/>
        </w:rPr>
        <w:t xml:space="preserve"> </w:t>
      </w:r>
      <w:r w:rsidR="00204189">
        <w:rPr>
          <w:rFonts w:ascii="Arial" w:eastAsia="Arial" w:hAnsi="Arial" w:cs="Arial"/>
          <w:color w:val="222222"/>
          <w:sz w:val="20"/>
          <w:shd w:val="clear" w:color="auto" w:fill="FFFFFF"/>
        </w:rPr>
        <w:t>(Vansteenkiste, Lens &amp; Deci, 2006)</w:t>
      </w:r>
      <w:r>
        <w:rPr>
          <w:rFonts w:ascii="Times New Roman" w:eastAsia="Times New Roman" w:hAnsi="Times New Roman" w:cs="Times New Roman"/>
          <w:sz w:val="24"/>
        </w:rPr>
        <w:t>. Principles of the Self-determination theory state that motivation of individuals differs, being driven and determined by the contexts which back ps</w:t>
      </w:r>
      <w:r>
        <w:rPr>
          <w:rFonts w:ascii="Times New Roman" w:eastAsia="Times New Roman" w:hAnsi="Times New Roman" w:cs="Times New Roman"/>
          <w:sz w:val="24"/>
        </w:rPr>
        <w:t>ychological requirements which manifest themselves in various conducts, making motivation of the student for learning a multi-determined and complex process that can only be contingent by observing the behavior, whether by self-reporting or in real situati</w:t>
      </w:r>
      <w:r>
        <w:rPr>
          <w:rFonts w:ascii="Times New Roman" w:eastAsia="Times New Roman" w:hAnsi="Times New Roman" w:cs="Times New Roman"/>
          <w:sz w:val="24"/>
        </w:rPr>
        <w:t xml:space="preserve">ons of performance </w:t>
      </w:r>
      <w:r>
        <w:rPr>
          <w:rFonts w:ascii="Times New Roman" w:eastAsia="Times New Roman" w:hAnsi="Times New Roman" w:cs="Times New Roman"/>
          <w:color w:val="222222"/>
          <w:sz w:val="24"/>
          <w:shd w:val="clear" w:color="auto" w:fill="FFFFFF"/>
        </w:rPr>
        <w:t>(Kusurkar, Croiset &amp; Cate, 2011)</w:t>
      </w:r>
      <w:r>
        <w:rPr>
          <w:rFonts w:ascii="Times New Roman" w:eastAsia="Times New Roman" w:hAnsi="Times New Roman" w:cs="Times New Roman"/>
          <w:sz w:val="24"/>
        </w:rPr>
        <w:t>. If the social context supports self-determined motivation, conditions are optimum fine-quality learning (</w:t>
      </w:r>
      <w:r>
        <w:rPr>
          <w:rFonts w:ascii="Times New Roman" w:eastAsia="Times New Roman" w:hAnsi="Times New Roman" w:cs="Times New Roman"/>
          <w:color w:val="222222"/>
          <w:sz w:val="24"/>
          <w:shd w:val="clear" w:color="auto" w:fill="FFFFFF"/>
        </w:rPr>
        <w:t>Rigby, Deci, Patrick &amp; Ryan, 1992</w:t>
      </w:r>
      <w:r>
        <w:rPr>
          <w:rFonts w:ascii="Times New Roman" w:eastAsia="Times New Roman" w:hAnsi="Times New Roman" w:cs="Times New Roman"/>
          <w:sz w:val="24"/>
        </w:rPr>
        <w:t>).</w:t>
      </w:r>
    </w:p>
    <w:p w:rsidR="00A82608" w:rsidRDefault="00804DF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environment where students learn greatly impacts on the l</w:t>
      </w:r>
      <w:r>
        <w:rPr>
          <w:rFonts w:ascii="Times New Roman" w:eastAsia="Times New Roman" w:hAnsi="Times New Roman" w:cs="Times New Roman"/>
          <w:sz w:val="24"/>
        </w:rPr>
        <w:t>earning of the students. But even if it is complicated, students who have self-determination are motivated to determine ambiguities and complexities by self-determination (London, Smither, 1999). Moreover, it was seen that when students were given a compet</w:t>
      </w:r>
      <w:r>
        <w:rPr>
          <w:rFonts w:ascii="Times New Roman" w:eastAsia="Times New Roman" w:hAnsi="Times New Roman" w:cs="Times New Roman"/>
          <w:sz w:val="24"/>
        </w:rPr>
        <w:t>ent environment, their intrinsic motivation as well as progress were enhanced and were under control (Young, 2005). Today, as e-learning is on the rise, online learner’s intricate kind of motivation and its dynamic relationships amid seve</w:t>
      </w:r>
      <w:r w:rsidR="004A30DB">
        <w:rPr>
          <w:rFonts w:ascii="Times New Roman" w:eastAsia="Times New Roman" w:hAnsi="Times New Roman" w:cs="Times New Roman"/>
          <w:sz w:val="24"/>
        </w:rPr>
        <w:t xml:space="preserve">ral derivatives and antecedents functions just like any other environment of learning </w:t>
      </w:r>
      <w:r>
        <w:rPr>
          <w:rFonts w:ascii="Times New Roman" w:eastAsia="Times New Roman" w:hAnsi="Times New Roman" w:cs="Times New Roman"/>
          <w:sz w:val="24"/>
        </w:rPr>
        <w:t xml:space="preserve">(Chen &amp;Jang, 2010).  </w:t>
      </w:r>
    </w:p>
    <w:p w:rsidR="001A5F9E" w:rsidRDefault="00804DF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It is </w:t>
      </w:r>
      <w:r w:rsidR="004A30DB">
        <w:rPr>
          <w:rFonts w:ascii="Times New Roman" w:eastAsia="Times New Roman" w:hAnsi="Times New Roman" w:cs="Times New Roman"/>
          <w:sz w:val="24"/>
        </w:rPr>
        <w:t>necessary</w:t>
      </w:r>
      <w:r>
        <w:rPr>
          <w:rFonts w:ascii="Times New Roman" w:eastAsia="Times New Roman" w:hAnsi="Times New Roman" w:cs="Times New Roman"/>
          <w:sz w:val="24"/>
        </w:rPr>
        <w:t xml:space="preserve"> for every general education program to motivate each student of the classroom to get good in learning (</w:t>
      </w:r>
      <w:r>
        <w:rPr>
          <w:rFonts w:ascii="Times New Roman" w:eastAsia="Times New Roman" w:hAnsi="Times New Roman" w:cs="Times New Roman"/>
          <w:color w:val="222222"/>
          <w:sz w:val="24"/>
          <w:shd w:val="clear" w:color="auto" w:fill="FFFFFF"/>
        </w:rPr>
        <w:t xml:space="preserve">Tsouloupas, Carson &amp; MacGregor, 2014). </w:t>
      </w:r>
      <w:r>
        <w:rPr>
          <w:rFonts w:ascii="Times New Roman" w:eastAsia="Times New Roman" w:hAnsi="Times New Roman" w:cs="Times New Roman"/>
          <w:sz w:val="24"/>
        </w:rPr>
        <w:t xml:space="preserve"> Even </w:t>
      </w:r>
      <w:r>
        <w:rPr>
          <w:rFonts w:ascii="Times New Roman" w:eastAsia="Times New Roman" w:hAnsi="Times New Roman" w:cs="Times New Roman"/>
          <w:sz w:val="24"/>
        </w:rPr>
        <w:t xml:space="preserve">though there are many students who misbehave and are hard to deal with but there are tools and techniques which can be used by teachers to enhance their interest in learning </w:t>
      </w:r>
      <w:r>
        <w:rPr>
          <w:rFonts w:ascii="Times New Roman" w:eastAsia="Times New Roman" w:hAnsi="Times New Roman" w:cs="Times New Roman"/>
          <w:color w:val="222222"/>
          <w:sz w:val="24"/>
          <w:shd w:val="clear" w:color="auto" w:fill="FFFFFF"/>
        </w:rPr>
        <w:t>(Glynn, Aultman &amp; Owen, 2005)</w:t>
      </w:r>
      <w:r>
        <w:rPr>
          <w:rFonts w:ascii="Times New Roman" w:eastAsia="Times New Roman" w:hAnsi="Times New Roman" w:cs="Times New Roman"/>
          <w:sz w:val="24"/>
        </w:rPr>
        <w:t xml:space="preserve">. It has been shown from the data of recent and past </w:t>
      </w:r>
      <w:r>
        <w:rPr>
          <w:rFonts w:ascii="Times New Roman" w:eastAsia="Times New Roman" w:hAnsi="Times New Roman" w:cs="Times New Roman"/>
          <w:sz w:val="24"/>
        </w:rPr>
        <w:t>studies that applications of self-</w:t>
      </w:r>
      <w:r w:rsidR="00A82608">
        <w:rPr>
          <w:rFonts w:ascii="Times New Roman" w:eastAsia="Times New Roman" w:hAnsi="Times New Roman" w:cs="Times New Roman"/>
          <w:sz w:val="24"/>
        </w:rPr>
        <w:t>determination</w:t>
      </w:r>
      <w:r>
        <w:rPr>
          <w:rFonts w:ascii="Times New Roman" w:eastAsia="Times New Roman" w:hAnsi="Times New Roman" w:cs="Times New Roman"/>
          <w:sz w:val="24"/>
        </w:rPr>
        <w:t xml:space="preserve"> theory are helpful in every kind of learning environment and they can be a </w:t>
      </w:r>
      <w:r>
        <w:rPr>
          <w:rFonts w:ascii="Times New Roman" w:eastAsia="Times New Roman" w:hAnsi="Times New Roman" w:cs="Times New Roman"/>
          <w:sz w:val="24"/>
        </w:rPr>
        <w:lastRenderedPageBreak/>
        <w:t xml:space="preserve">powerful way to enhance, advance and elevate the learning level of the student of </w:t>
      </w:r>
      <w:r w:rsidR="00A82608">
        <w:rPr>
          <w:rFonts w:ascii="Times New Roman" w:eastAsia="Times New Roman" w:hAnsi="Times New Roman" w:cs="Times New Roman"/>
          <w:sz w:val="24"/>
        </w:rPr>
        <w:t>different</w:t>
      </w:r>
      <w:r>
        <w:rPr>
          <w:rFonts w:ascii="Times New Roman" w:eastAsia="Times New Roman" w:hAnsi="Times New Roman" w:cs="Times New Roman"/>
          <w:sz w:val="24"/>
        </w:rPr>
        <w:t xml:space="preserve"> kind of </w:t>
      </w:r>
      <w:r w:rsidR="00A82608">
        <w:rPr>
          <w:rFonts w:ascii="Times New Roman" w:eastAsia="Times New Roman" w:hAnsi="Times New Roman" w:cs="Times New Roman"/>
          <w:sz w:val="24"/>
        </w:rPr>
        <w:t>behaviors</w:t>
      </w:r>
      <w:r>
        <w:rPr>
          <w:rFonts w:ascii="Times New Roman" w:eastAsia="Times New Roman" w:hAnsi="Times New Roman" w:cs="Times New Roman"/>
          <w:sz w:val="24"/>
        </w:rPr>
        <w:t xml:space="preserve">. </w:t>
      </w:r>
    </w:p>
    <w:p w:rsidR="001A5F9E" w:rsidRDefault="00804DF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r>
    </w:p>
    <w:bookmarkEnd w:id="0"/>
    <w:p w:rsidR="001A5F9E" w:rsidRDefault="001A5F9E">
      <w:pPr>
        <w:spacing w:after="0" w:line="480" w:lineRule="auto"/>
        <w:rPr>
          <w:rFonts w:ascii="Times New Roman" w:eastAsia="Times New Roman" w:hAnsi="Times New Roman" w:cs="Times New Roman"/>
          <w:sz w:val="24"/>
        </w:rPr>
      </w:pPr>
    </w:p>
    <w:p w:rsidR="001A5F9E" w:rsidRDefault="001A5F9E">
      <w:pPr>
        <w:spacing w:after="0" w:line="480" w:lineRule="auto"/>
        <w:rPr>
          <w:rFonts w:ascii="Times New Roman" w:eastAsia="Times New Roman" w:hAnsi="Times New Roman" w:cs="Times New Roman"/>
          <w:sz w:val="24"/>
        </w:rPr>
      </w:pPr>
    </w:p>
    <w:p w:rsidR="001A5F9E" w:rsidRDefault="001A5F9E">
      <w:pPr>
        <w:spacing w:after="0" w:line="480" w:lineRule="auto"/>
        <w:rPr>
          <w:rFonts w:ascii="Times New Roman" w:eastAsia="Times New Roman" w:hAnsi="Times New Roman" w:cs="Times New Roman"/>
          <w:sz w:val="24"/>
        </w:rPr>
      </w:pPr>
    </w:p>
    <w:p w:rsidR="001A5F9E" w:rsidRDefault="001A5F9E">
      <w:pPr>
        <w:spacing w:after="0" w:line="480" w:lineRule="auto"/>
        <w:rPr>
          <w:rFonts w:ascii="Times New Roman" w:eastAsia="Times New Roman" w:hAnsi="Times New Roman" w:cs="Times New Roman"/>
          <w:b/>
          <w:sz w:val="24"/>
        </w:rPr>
      </w:pPr>
    </w:p>
    <w:p w:rsidR="001A5F9E" w:rsidRDefault="001A5F9E">
      <w:pPr>
        <w:spacing w:after="0" w:line="480" w:lineRule="auto"/>
        <w:rPr>
          <w:rFonts w:ascii="Times New Roman" w:eastAsia="Times New Roman" w:hAnsi="Times New Roman" w:cs="Times New Roman"/>
          <w:b/>
          <w:sz w:val="24"/>
        </w:rPr>
      </w:pPr>
    </w:p>
    <w:p w:rsidR="001A5F9E" w:rsidRDefault="001A5F9E" w:rsidP="00B414D8">
      <w:pPr>
        <w:spacing w:after="0" w:line="480" w:lineRule="auto"/>
        <w:rPr>
          <w:rFonts w:ascii="Times New Roman" w:eastAsia="Times New Roman" w:hAnsi="Times New Roman" w:cs="Times New Roman"/>
          <w:b/>
          <w:sz w:val="24"/>
        </w:rPr>
      </w:pPr>
    </w:p>
    <w:p w:rsidR="001A5F9E" w:rsidRDefault="001A5F9E">
      <w:pPr>
        <w:spacing w:after="0" w:line="480" w:lineRule="auto"/>
        <w:jc w:val="center"/>
        <w:rPr>
          <w:rFonts w:ascii="Times New Roman" w:eastAsia="Times New Roman" w:hAnsi="Times New Roman" w:cs="Times New Roman"/>
          <w:b/>
          <w:sz w:val="24"/>
        </w:rPr>
      </w:pPr>
    </w:p>
    <w:p w:rsidR="001A5F9E" w:rsidRDefault="001A5F9E">
      <w:pPr>
        <w:spacing w:after="0" w:line="480" w:lineRule="auto"/>
        <w:jc w:val="center"/>
        <w:rPr>
          <w:rFonts w:ascii="Times New Roman" w:eastAsia="Times New Roman" w:hAnsi="Times New Roman" w:cs="Times New Roman"/>
          <w:b/>
          <w:sz w:val="24"/>
        </w:rPr>
      </w:pPr>
    </w:p>
    <w:p w:rsidR="001A5F9E" w:rsidRDefault="00804DF4">
      <w:pPr>
        <w:spacing w:after="0" w:line="480" w:lineRule="auto"/>
        <w:ind w:firstLine="72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b/>
          <w:sz w:val="24"/>
        </w:rPr>
        <w:t xml:space="preserve">                                                      References </w:t>
      </w:r>
      <w:r>
        <w:rPr>
          <w:rFonts w:ascii="Times New Roman" w:eastAsia="Times New Roman" w:hAnsi="Times New Roman" w:cs="Times New Roman"/>
          <w:b/>
          <w:sz w:val="24"/>
        </w:rPr>
        <w:br/>
      </w:r>
      <w:r>
        <w:rPr>
          <w:rFonts w:ascii="Times New Roman" w:eastAsia="Times New Roman" w:hAnsi="Times New Roman" w:cs="Times New Roman"/>
          <w:color w:val="222222"/>
          <w:sz w:val="24"/>
          <w:shd w:val="clear" w:color="auto" w:fill="FFFFFF"/>
        </w:rPr>
        <w:t xml:space="preserve">Deci, E. L., &amp; Ryan, R. M. (Eds.). (2004). Handbook of self-determination research. University of Rochester Press. </w:t>
      </w:r>
    </w:p>
    <w:p w:rsidR="001A5F9E" w:rsidRDefault="00804DF4">
      <w:pPr>
        <w:spacing w:after="0" w:line="48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Reeve, J. (2012). A self-determination theory perspective on student engag</w:t>
      </w:r>
      <w:r>
        <w:rPr>
          <w:rFonts w:ascii="Times New Roman" w:eastAsia="Times New Roman" w:hAnsi="Times New Roman" w:cs="Times New Roman"/>
          <w:color w:val="222222"/>
          <w:sz w:val="24"/>
          <w:shd w:val="clear" w:color="auto" w:fill="FFFFFF"/>
        </w:rPr>
        <w:t>ement. In </w:t>
      </w:r>
      <w:r>
        <w:rPr>
          <w:rFonts w:ascii="Times New Roman" w:eastAsia="Times New Roman" w:hAnsi="Times New Roman" w:cs="Times New Roman"/>
          <w:i/>
          <w:color w:val="222222"/>
          <w:sz w:val="24"/>
          <w:shd w:val="clear" w:color="auto" w:fill="FFFFFF"/>
        </w:rPr>
        <w:t>Handbook of research on student engagement</w:t>
      </w:r>
      <w:r>
        <w:rPr>
          <w:rFonts w:ascii="Times New Roman" w:eastAsia="Times New Roman" w:hAnsi="Times New Roman" w:cs="Times New Roman"/>
          <w:color w:val="222222"/>
          <w:sz w:val="24"/>
          <w:shd w:val="clear" w:color="auto" w:fill="FFFFFF"/>
        </w:rPr>
        <w:t> (pp. 149-172). Springer, Boston, MA.</w:t>
      </w:r>
    </w:p>
    <w:p w:rsidR="001A5F9E" w:rsidRDefault="00804DF4">
      <w:pPr>
        <w:spacing w:after="0" w:line="480" w:lineRule="auto"/>
        <w:jc w:val="center"/>
        <w:rPr>
          <w:rFonts w:ascii="Arial" w:eastAsia="Arial" w:hAnsi="Arial" w:cs="Arial"/>
          <w:color w:val="222222"/>
          <w:sz w:val="20"/>
          <w:shd w:val="clear" w:color="auto" w:fill="FFFFFF"/>
        </w:rPr>
      </w:pPr>
      <w:r>
        <w:rPr>
          <w:rFonts w:ascii="Times New Roman" w:eastAsia="Times New Roman" w:hAnsi="Times New Roman" w:cs="Times New Roman"/>
          <w:color w:val="222222"/>
          <w:sz w:val="24"/>
          <w:shd w:val="clear" w:color="auto" w:fill="FFFFFF"/>
        </w:rPr>
        <w:t>Reeve, J., Ryan, R. M., Deci, E. L., &amp; Jang, H. (2008).Understanding and promoting autonomous self-regulation: A self-determination theory perspective. </w:t>
      </w:r>
      <w:r>
        <w:rPr>
          <w:rFonts w:ascii="Times New Roman" w:eastAsia="Times New Roman" w:hAnsi="Times New Roman" w:cs="Times New Roman"/>
          <w:i/>
          <w:color w:val="222222"/>
          <w:sz w:val="24"/>
          <w:shd w:val="clear" w:color="auto" w:fill="FFFFFF"/>
        </w:rPr>
        <w:t>Motivation and</w:t>
      </w:r>
      <w:r>
        <w:rPr>
          <w:rFonts w:ascii="Times New Roman" w:eastAsia="Times New Roman" w:hAnsi="Times New Roman" w:cs="Times New Roman"/>
          <w:i/>
          <w:color w:val="222222"/>
          <w:sz w:val="24"/>
          <w:shd w:val="clear" w:color="auto" w:fill="FFFFFF"/>
        </w:rPr>
        <w:t xml:space="preserve"> self-regulated learning: Theory, research, and applications</w:t>
      </w:r>
      <w:r>
        <w:rPr>
          <w:rFonts w:ascii="Times New Roman" w:eastAsia="Times New Roman" w:hAnsi="Times New Roman" w:cs="Times New Roman"/>
          <w:color w:val="222222"/>
          <w:sz w:val="24"/>
          <w:shd w:val="clear" w:color="auto" w:fill="FFFFFF"/>
        </w:rPr>
        <w:t>, 223-244.</w:t>
      </w:r>
    </w:p>
    <w:p w:rsidR="001A5F9E" w:rsidRDefault="00804DF4">
      <w:pPr>
        <w:spacing w:after="0" w:line="480" w:lineRule="auto"/>
        <w:jc w:val="center"/>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Sørebø, Ø., Halvari, H., Gulli, V. F., &amp; Kristiansen, R. (2009). The role of self-determination theory in explaining teachers’ motivation to continue to use e-learning technology. </w:t>
      </w:r>
      <w:r>
        <w:rPr>
          <w:rFonts w:ascii="Times New Roman" w:eastAsia="Times New Roman" w:hAnsi="Times New Roman" w:cs="Times New Roman"/>
          <w:i/>
          <w:color w:val="222222"/>
          <w:sz w:val="24"/>
          <w:shd w:val="clear" w:color="auto" w:fill="FFFFFF"/>
        </w:rPr>
        <w:t>Compu</w:t>
      </w:r>
      <w:r>
        <w:rPr>
          <w:rFonts w:ascii="Times New Roman" w:eastAsia="Times New Roman" w:hAnsi="Times New Roman" w:cs="Times New Roman"/>
          <w:i/>
          <w:color w:val="222222"/>
          <w:sz w:val="24"/>
          <w:shd w:val="clear" w:color="auto" w:fill="FFFFFF"/>
        </w:rPr>
        <w:t>ters &amp; Education</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53</w:t>
      </w:r>
      <w:r>
        <w:rPr>
          <w:rFonts w:ascii="Times New Roman" w:eastAsia="Times New Roman" w:hAnsi="Times New Roman" w:cs="Times New Roman"/>
          <w:color w:val="222222"/>
          <w:sz w:val="24"/>
          <w:shd w:val="clear" w:color="auto" w:fill="FFFFFF"/>
        </w:rPr>
        <w:t>(4), 1177-1187.</w:t>
      </w:r>
    </w:p>
    <w:p w:rsidR="001A5F9E" w:rsidRPr="00204189" w:rsidRDefault="00804DF4">
      <w:pPr>
        <w:spacing w:after="0" w:line="480" w:lineRule="auto"/>
        <w:jc w:val="center"/>
        <w:rPr>
          <w:rFonts w:ascii="Times New Roman" w:eastAsia="Arial" w:hAnsi="Times New Roman" w:cs="Times New Roman"/>
          <w:color w:val="222222"/>
          <w:sz w:val="24"/>
          <w:szCs w:val="24"/>
          <w:shd w:val="clear" w:color="auto" w:fill="FFFFFF"/>
        </w:rPr>
      </w:pPr>
      <w:r w:rsidRPr="00204189">
        <w:rPr>
          <w:rFonts w:ascii="Times New Roman" w:eastAsia="Arial" w:hAnsi="Times New Roman" w:cs="Times New Roman"/>
          <w:color w:val="222222"/>
          <w:sz w:val="24"/>
          <w:szCs w:val="24"/>
          <w:shd w:val="clear" w:color="auto" w:fill="FFFFFF"/>
        </w:rPr>
        <w:lastRenderedPageBreak/>
        <w:t>Garn, A. C., Matthews, M. S., &amp; Jolly, J. L. (2010). Parental influences on the academic motivation of gifted students: A self-determination theory perspective. </w:t>
      </w:r>
      <w:r w:rsidRPr="00204189">
        <w:rPr>
          <w:rFonts w:ascii="Times New Roman" w:eastAsia="Arial" w:hAnsi="Times New Roman" w:cs="Times New Roman"/>
          <w:i/>
          <w:color w:val="222222"/>
          <w:sz w:val="24"/>
          <w:szCs w:val="24"/>
          <w:shd w:val="clear" w:color="auto" w:fill="FFFFFF"/>
        </w:rPr>
        <w:t>Gifted Child Quarterly</w:t>
      </w:r>
      <w:r w:rsidRPr="00204189">
        <w:rPr>
          <w:rFonts w:ascii="Times New Roman" w:eastAsia="Arial" w:hAnsi="Times New Roman" w:cs="Times New Roman"/>
          <w:color w:val="222222"/>
          <w:sz w:val="24"/>
          <w:szCs w:val="24"/>
          <w:shd w:val="clear" w:color="auto" w:fill="FFFFFF"/>
        </w:rPr>
        <w:t>, </w:t>
      </w:r>
      <w:r w:rsidRPr="00204189">
        <w:rPr>
          <w:rFonts w:ascii="Times New Roman" w:eastAsia="Arial" w:hAnsi="Times New Roman" w:cs="Times New Roman"/>
          <w:i/>
          <w:color w:val="222222"/>
          <w:sz w:val="24"/>
          <w:szCs w:val="24"/>
          <w:shd w:val="clear" w:color="auto" w:fill="FFFFFF"/>
        </w:rPr>
        <w:t>54</w:t>
      </w:r>
      <w:r w:rsidRPr="00204189">
        <w:rPr>
          <w:rFonts w:ascii="Times New Roman" w:eastAsia="Arial" w:hAnsi="Times New Roman" w:cs="Times New Roman"/>
          <w:color w:val="222222"/>
          <w:sz w:val="24"/>
          <w:szCs w:val="24"/>
          <w:shd w:val="clear" w:color="auto" w:fill="FFFFFF"/>
        </w:rPr>
        <w:t>(4), 263-272.</w:t>
      </w:r>
    </w:p>
    <w:p w:rsidR="001A5F9E" w:rsidRDefault="00804DF4">
      <w:pPr>
        <w:spacing w:after="0" w:line="480" w:lineRule="auto"/>
        <w:jc w:val="center"/>
        <w:rPr>
          <w:rFonts w:ascii="Arial" w:eastAsia="Arial" w:hAnsi="Arial" w:cs="Arial"/>
          <w:color w:val="222222"/>
          <w:sz w:val="20"/>
          <w:shd w:val="clear" w:color="auto" w:fill="FFFFFF"/>
        </w:rPr>
      </w:pPr>
      <w:r>
        <w:rPr>
          <w:rFonts w:ascii="Times New Roman" w:eastAsia="Times New Roman" w:hAnsi="Times New Roman" w:cs="Times New Roman"/>
          <w:color w:val="222222"/>
          <w:sz w:val="24"/>
          <w:shd w:val="clear" w:color="auto" w:fill="FFFFFF"/>
        </w:rPr>
        <w:t xml:space="preserve">Kusurkar, R. A., </w:t>
      </w:r>
      <w:r>
        <w:rPr>
          <w:rFonts w:ascii="Times New Roman" w:eastAsia="Times New Roman" w:hAnsi="Times New Roman" w:cs="Times New Roman"/>
          <w:color w:val="222222"/>
          <w:sz w:val="24"/>
          <w:shd w:val="clear" w:color="auto" w:fill="FFFFFF"/>
        </w:rPr>
        <w:t>Croiset, G., &amp; Ten Cate, O. T. J. (2011). Twelve tips to stimulate intrinsic motivation in students through autonomy-supportive classroom teaching derived from self-determination theory. </w:t>
      </w:r>
      <w:r>
        <w:rPr>
          <w:rFonts w:ascii="Times New Roman" w:eastAsia="Times New Roman" w:hAnsi="Times New Roman" w:cs="Times New Roman"/>
          <w:i/>
          <w:color w:val="222222"/>
          <w:sz w:val="24"/>
          <w:shd w:val="clear" w:color="auto" w:fill="FFFFFF"/>
        </w:rPr>
        <w:t>Medical Teacher</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33</w:t>
      </w:r>
      <w:r>
        <w:rPr>
          <w:rFonts w:ascii="Times New Roman" w:eastAsia="Times New Roman" w:hAnsi="Times New Roman" w:cs="Times New Roman"/>
          <w:color w:val="222222"/>
          <w:sz w:val="24"/>
          <w:shd w:val="clear" w:color="auto" w:fill="FFFFFF"/>
        </w:rPr>
        <w:t>(12), 978-982.</w:t>
      </w:r>
    </w:p>
    <w:p w:rsidR="001A5F9E" w:rsidRPr="00204189" w:rsidRDefault="00804DF4">
      <w:pPr>
        <w:spacing w:after="0" w:line="480" w:lineRule="auto"/>
        <w:jc w:val="center"/>
        <w:rPr>
          <w:rFonts w:ascii="Times New Roman" w:eastAsia="Arial" w:hAnsi="Times New Roman" w:cs="Times New Roman"/>
          <w:color w:val="222222"/>
          <w:sz w:val="24"/>
          <w:szCs w:val="24"/>
          <w:shd w:val="clear" w:color="auto" w:fill="FFFFFF"/>
        </w:rPr>
      </w:pPr>
      <w:r w:rsidRPr="00204189">
        <w:rPr>
          <w:rFonts w:ascii="Times New Roman" w:eastAsia="Arial" w:hAnsi="Times New Roman" w:cs="Times New Roman"/>
          <w:color w:val="222222"/>
          <w:sz w:val="24"/>
          <w:szCs w:val="24"/>
          <w:shd w:val="clear" w:color="auto" w:fill="FFFFFF"/>
        </w:rPr>
        <w:t>Vansteenkiste, M., Lens, W., &amp; Deci</w:t>
      </w:r>
      <w:r w:rsidRPr="00204189">
        <w:rPr>
          <w:rFonts w:ascii="Times New Roman" w:eastAsia="Arial" w:hAnsi="Times New Roman" w:cs="Times New Roman"/>
          <w:color w:val="222222"/>
          <w:sz w:val="24"/>
          <w:szCs w:val="24"/>
          <w:shd w:val="clear" w:color="auto" w:fill="FFFFFF"/>
        </w:rPr>
        <w:t>, E. L. (2006). Intrinsic versus extrinsic goal contents in self-determination theory: Another look at the quality of academic motivation. </w:t>
      </w:r>
      <w:r w:rsidRPr="00204189">
        <w:rPr>
          <w:rFonts w:ascii="Times New Roman" w:eastAsia="Arial" w:hAnsi="Times New Roman" w:cs="Times New Roman"/>
          <w:i/>
          <w:color w:val="222222"/>
          <w:sz w:val="24"/>
          <w:szCs w:val="24"/>
          <w:shd w:val="clear" w:color="auto" w:fill="FFFFFF"/>
        </w:rPr>
        <w:t>Educational psychologist</w:t>
      </w:r>
      <w:r w:rsidRPr="00204189">
        <w:rPr>
          <w:rFonts w:ascii="Times New Roman" w:eastAsia="Arial" w:hAnsi="Times New Roman" w:cs="Times New Roman"/>
          <w:color w:val="222222"/>
          <w:sz w:val="24"/>
          <w:szCs w:val="24"/>
          <w:shd w:val="clear" w:color="auto" w:fill="FFFFFF"/>
        </w:rPr>
        <w:t>, </w:t>
      </w:r>
      <w:r w:rsidRPr="00204189">
        <w:rPr>
          <w:rFonts w:ascii="Times New Roman" w:eastAsia="Arial" w:hAnsi="Times New Roman" w:cs="Times New Roman"/>
          <w:i/>
          <w:color w:val="222222"/>
          <w:sz w:val="24"/>
          <w:szCs w:val="24"/>
          <w:shd w:val="clear" w:color="auto" w:fill="FFFFFF"/>
        </w:rPr>
        <w:t>41</w:t>
      </w:r>
      <w:r w:rsidRPr="00204189">
        <w:rPr>
          <w:rFonts w:ascii="Times New Roman" w:eastAsia="Arial" w:hAnsi="Times New Roman" w:cs="Times New Roman"/>
          <w:color w:val="222222"/>
          <w:sz w:val="24"/>
          <w:szCs w:val="24"/>
          <w:shd w:val="clear" w:color="auto" w:fill="FFFFFF"/>
        </w:rPr>
        <w:t>(1), 19-31.</w:t>
      </w:r>
    </w:p>
    <w:p w:rsidR="001A5F9E" w:rsidRPr="009A6252" w:rsidRDefault="00804DF4">
      <w:pPr>
        <w:spacing w:after="0" w:line="480" w:lineRule="auto"/>
        <w:jc w:val="center"/>
        <w:rPr>
          <w:rFonts w:ascii="Times New Roman" w:eastAsia="Arial" w:hAnsi="Times New Roman" w:cs="Times New Roman"/>
          <w:color w:val="222222"/>
          <w:sz w:val="24"/>
          <w:szCs w:val="24"/>
          <w:shd w:val="clear" w:color="auto" w:fill="FFFFFF"/>
        </w:rPr>
      </w:pPr>
      <w:r w:rsidRPr="009A6252">
        <w:rPr>
          <w:rFonts w:ascii="Times New Roman" w:eastAsia="Arial" w:hAnsi="Times New Roman" w:cs="Times New Roman"/>
          <w:color w:val="222222"/>
          <w:sz w:val="24"/>
          <w:szCs w:val="24"/>
          <w:shd w:val="clear" w:color="auto" w:fill="FFFFFF"/>
        </w:rPr>
        <w:t>ten Cate, O. T. J., Kusurkar, R. A., &amp; Williams, G. C. (2011). How self-deter</w:t>
      </w:r>
      <w:r w:rsidRPr="009A6252">
        <w:rPr>
          <w:rFonts w:ascii="Times New Roman" w:eastAsia="Arial" w:hAnsi="Times New Roman" w:cs="Times New Roman"/>
          <w:color w:val="222222"/>
          <w:sz w:val="24"/>
          <w:szCs w:val="24"/>
          <w:shd w:val="clear" w:color="auto" w:fill="FFFFFF"/>
        </w:rPr>
        <w:t>mination theory can assist our understanding of the teaching and learning processes in medical education. AMEE guide No. 59. </w:t>
      </w:r>
      <w:r w:rsidRPr="009A6252">
        <w:rPr>
          <w:rFonts w:ascii="Times New Roman" w:eastAsia="Arial" w:hAnsi="Times New Roman" w:cs="Times New Roman"/>
          <w:i/>
          <w:color w:val="222222"/>
          <w:sz w:val="24"/>
          <w:szCs w:val="24"/>
          <w:shd w:val="clear" w:color="auto" w:fill="FFFFFF"/>
        </w:rPr>
        <w:t>Medical teacher</w:t>
      </w:r>
      <w:r w:rsidRPr="009A6252">
        <w:rPr>
          <w:rFonts w:ascii="Times New Roman" w:eastAsia="Arial" w:hAnsi="Times New Roman" w:cs="Times New Roman"/>
          <w:color w:val="222222"/>
          <w:sz w:val="24"/>
          <w:szCs w:val="24"/>
          <w:shd w:val="clear" w:color="auto" w:fill="FFFFFF"/>
        </w:rPr>
        <w:t>, </w:t>
      </w:r>
      <w:r w:rsidRPr="009A6252">
        <w:rPr>
          <w:rFonts w:ascii="Times New Roman" w:eastAsia="Arial" w:hAnsi="Times New Roman" w:cs="Times New Roman"/>
          <w:i/>
          <w:color w:val="222222"/>
          <w:sz w:val="24"/>
          <w:szCs w:val="24"/>
          <w:shd w:val="clear" w:color="auto" w:fill="FFFFFF"/>
        </w:rPr>
        <w:t>33</w:t>
      </w:r>
      <w:r w:rsidRPr="009A6252">
        <w:rPr>
          <w:rFonts w:ascii="Times New Roman" w:eastAsia="Arial" w:hAnsi="Times New Roman" w:cs="Times New Roman"/>
          <w:color w:val="222222"/>
          <w:sz w:val="24"/>
          <w:szCs w:val="24"/>
          <w:shd w:val="clear" w:color="auto" w:fill="FFFFFF"/>
        </w:rPr>
        <w:t>(12), 961-973.</w:t>
      </w:r>
    </w:p>
    <w:p w:rsidR="001A5F9E" w:rsidRDefault="00804DF4">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color w:val="222222"/>
          <w:sz w:val="24"/>
          <w:shd w:val="clear" w:color="auto" w:fill="FFFFFF"/>
        </w:rPr>
        <w:t xml:space="preserve">Glynn, S. M., Aultman, L. P., &amp; Owens, A. M. (2005). Motivation to learn in general education </w:t>
      </w:r>
      <w:r>
        <w:rPr>
          <w:rFonts w:ascii="Times New Roman" w:eastAsia="Times New Roman" w:hAnsi="Times New Roman" w:cs="Times New Roman"/>
          <w:color w:val="222222"/>
          <w:sz w:val="24"/>
          <w:shd w:val="clear" w:color="auto" w:fill="FFFFFF"/>
        </w:rPr>
        <w:t>programs. </w:t>
      </w:r>
      <w:r>
        <w:rPr>
          <w:rFonts w:ascii="Times New Roman" w:eastAsia="Times New Roman" w:hAnsi="Times New Roman" w:cs="Times New Roman"/>
          <w:i/>
          <w:color w:val="222222"/>
          <w:sz w:val="24"/>
          <w:shd w:val="clear" w:color="auto" w:fill="FFFFFF"/>
        </w:rPr>
        <w:t>The Journal of General Education</w:t>
      </w:r>
      <w:r>
        <w:rPr>
          <w:rFonts w:ascii="Times New Roman" w:eastAsia="Times New Roman" w:hAnsi="Times New Roman" w:cs="Times New Roman"/>
          <w:color w:val="222222"/>
          <w:sz w:val="24"/>
          <w:shd w:val="clear" w:color="auto" w:fill="FFFFFF"/>
        </w:rPr>
        <w:t>, </w:t>
      </w:r>
      <w:r>
        <w:rPr>
          <w:rFonts w:ascii="Times New Roman" w:eastAsia="Times New Roman" w:hAnsi="Times New Roman" w:cs="Times New Roman"/>
          <w:i/>
          <w:color w:val="222222"/>
          <w:sz w:val="24"/>
          <w:shd w:val="clear" w:color="auto" w:fill="FFFFFF"/>
        </w:rPr>
        <w:t>54</w:t>
      </w:r>
      <w:r>
        <w:rPr>
          <w:rFonts w:ascii="Times New Roman" w:eastAsia="Times New Roman" w:hAnsi="Times New Roman" w:cs="Times New Roman"/>
          <w:color w:val="222222"/>
          <w:sz w:val="24"/>
          <w:shd w:val="clear" w:color="auto" w:fill="FFFFFF"/>
        </w:rPr>
        <w:t>(2), 150-170.</w:t>
      </w:r>
    </w:p>
    <w:sectPr w:rsidR="001A5F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F4" w:rsidRDefault="00804DF4">
      <w:pPr>
        <w:spacing w:after="0" w:line="240" w:lineRule="auto"/>
      </w:pPr>
      <w:r>
        <w:separator/>
      </w:r>
    </w:p>
  </w:endnote>
  <w:endnote w:type="continuationSeparator" w:id="0">
    <w:p w:rsidR="00804DF4" w:rsidRDefault="0080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F4" w:rsidRDefault="00804DF4">
      <w:pPr>
        <w:spacing w:after="0" w:line="240" w:lineRule="auto"/>
      </w:pPr>
      <w:r>
        <w:separator/>
      </w:r>
    </w:p>
  </w:footnote>
  <w:footnote w:type="continuationSeparator" w:id="0">
    <w:p w:rsidR="00804DF4" w:rsidRDefault="00804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08" w:rsidRDefault="00804DF4">
    <w:pPr>
      <w:pStyle w:val="Header"/>
    </w:pPr>
    <w:r>
      <w:rPr>
        <w:rFonts w:ascii="Times New Roman" w:eastAsia="Times New Roman" w:hAnsi="Times New Roman" w:cs="Times New Roman"/>
        <w:sz w:val="24"/>
      </w:rPr>
      <w:t>Research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740"/>
    <w:multiLevelType w:val="multilevel"/>
    <w:tmpl w:val="B7B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B1E44"/>
    <w:multiLevelType w:val="multilevel"/>
    <w:tmpl w:val="7D022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0078C"/>
    <w:multiLevelType w:val="multilevel"/>
    <w:tmpl w:val="8FFC3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222A9"/>
    <w:multiLevelType w:val="multilevel"/>
    <w:tmpl w:val="D4681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31183C"/>
    <w:multiLevelType w:val="multilevel"/>
    <w:tmpl w:val="EE1A0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D2DFA"/>
    <w:multiLevelType w:val="multilevel"/>
    <w:tmpl w:val="3A809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EA069F"/>
    <w:multiLevelType w:val="multilevel"/>
    <w:tmpl w:val="5F9AE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9E"/>
    <w:rsid w:val="00177AD6"/>
    <w:rsid w:val="001A5F9E"/>
    <w:rsid w:val="00204189"/>
    <w:rsid w:val="002308EE"/>
    <w:rsid w:val="003E6097"/>
    <w:rsid w:val="004A30DB"/>
    <w:rsid w:val="00804DF4"/>
    <w:rsid w:val="009A6252"/>
    <w:rsid w:val="00A82608"/>
    <w:rsid w:val="00B414D8"/>
    <w:rsid w:val="00D65D55"/>
    <w:rsid w:val="00DC3480"/>
    <w:rsid w:val="00D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C75BF-5C87-402C-9401-1B772CB0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08"/>
  </w:style>
  <w:style w:type="paragraph" w:styleId="Footer">
    <w:name w:val="footer"/>
    <w:basedOn w:val="Normal"/>
    <w:link w:val="FooterChar"/>
    <w:uiPriority w:val="99"/>
    <w:unhideWhenUsed/>
    <w:rsid w:val="00A82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Ammara Fayyaz</dc:creator>
  <cp:lastModifiedBy>Ammara Fayyaz</cp:lastModifiedBy>
  <cp:revision>2</cp:revision>
  <dcterms:created xsi:type="dcterms:W3CDTF">2019-04-17T17:56:00Z</dcterms:created>
  <dcterms:modified xsi:type="dcterms:W3CDTF">2019-04-17T17:56:00Z</dcterms:modified>
</cp:coreProperties>
</file>