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DC5447" w:rsidRDefault="002A2A03" w:rsidP="00DC5447"/>
    <w:p w:rsidR="002A2A03" w:rsidRPr="00DC5447" w:rsidRDefault="002A2A03" w:rsidP="00DC5447">
      <w:pPr>
        <w:ind w:firstLine="0"/>
      </w:pPr>
    </w:p>
    <w:p w:rsidR="002A2A03" w:rsidRPr="00DC5447" w:rsidRDefault="002A2A03" w:rsidP="00DC5447"/>
    <w:p w:rsidR="002A2A03" w:rsidRPr="00DC5447" w:rsidRDefault="002A2A03" w:rsidP="00DC5447"/>
    <w:p w:rsidR="002A2A03" w:rsidRPr="00DC5447" w:rsidRDefault="002A2A03" w:rsidP="00DC5447"/>
    <w:p w:rsidR="002A2A03" w:rsidRPr="00DC5447" w:rsidRDefault="00DA1975" w:rsidP="00DC5447">
      <w:pPr>
        <w:jc w:val="center"/>
      </w:pPr>
      <w:r w:rsidRPr="00DC5447">
        <w:t>Full Title of Your Paper Here</w:t>
      </w:r>
    </w:p>
    <w:p w:rsidR="002A2A03" w:rsidRPr="00DC5447" w:rsidRDefault="00DA1975" w:rsidP="00DC5447">
      <w:pPr>
        <w:jc w:val="center"/>
      </w:pPr>
      <w:r w:rsidRPr="00DC5447">
        <w:t>Your Name  (First M. Last)</w:t>
      </w:r>
    </w:p>
    <w:p w:rsidR="002A2A03" w:rsidRPr="00DC5447" w:rsidRDefault="00DA1975" w:rsidP="00DC5447">
      <w:pPr>
        <w:jc w:val="center"/>
      </w:pPr>
      <w:r w:rsidRPr="00DC5447">
        <w:t>School or Institution Name (University at Place or Town, State)</w:t>
      </w:r>
    </w:p>
    <w:p w:rsidR="00E74522" w:rsidRPr="00DC5447" w:rsidRDefault="00E74522" w:rsidP="00DC5447">
      <w:pPr>
        <w:ind w:firstLine="0"/>
      </w:pPr>
    </w:p>
    <w:p w:rsidR="00E74522" w:rsidRPr="00DC5447" w:rsidRDefault="00E74522" w:rsidP="00DC5447">
      <w:pPr>
        <w:ind w:firstLine="0"/>
      </w:pPr>
    </w:p>
    <w:p w:rsidR="00E74522" w:rsidRPr="00DC5447" w:rsidRDefault="00E74522" w:rsidP="00DC5447">
      <w:pPr>
        <w:ind w:firstLine="0"/>
      </w:pPr>
    </w:p>
    <w:p w:rsidR="00E74522" w:rsidRPr="00DC5447" w:rsidRDefault="00E74522" w:rsidP="00DC5447">
      <w:pPr>
        <w:ind w:firstLine="0"/>
      </w:pPr>
    </w:p>
    <w:p w:rsidR="00E74522" w:rsidRPr="00DC5447" w:rsidRDefault="00E74522" w:rsidP="00DC5447">
      <w:pPr>
        <w:ind w:firstLine="0"/>
      </w:pPr>
    </w:p>
    <w:p w:rsidR="00E74522" w:rsidRPr="00DC5447" w:rsidRDefault="00E74522" w:rsidP="00DC5447">
      <w:pPr>
        <w:ind w:firstLine="0"/>
      </w:pPr>
    </w:p>
    <w:p w:rsidR="00E74522" w:rsidRPr="00DC5447" w:rsidRDefault="00E74522" w:rsidP="00DC5447">
      <w:pPr>
        <w:ind w:firstLine="0"/>
      </w:pPr>
    </w:p>
    <w:p w:rsidR="00E74522" w:rsidRPr="00DC5447" w:rsidRDefault="00E74522" w:rsidP="00DC5447">
      <w:pPr>
        <w:ind w:firstLine="0"/>
      </w:pPr>
    </w:p>
    <w:p w:rsidR="00E74522" w:rsidRPr="00DC5447" w:rsidRDefault="00E74522" w:rsidP="00DC5447">
      <w:pPr>
        <w:ind w:firstLine="0"/>
      </w:pPr>
    </w:p>
    <w:p w:rsidR="00E74522" w:rsidRPr="00DC5447" w:rsidRDefault="00E74522" w:rsidP="00DC5447">
      <w:pPr>
        <w:ind w:firstLine="0"/>
      </w:pPr>
    </w:p>
    <w:p w:rsidR="00E74522" w:rsidRPr="00DC5447" w:rsidRDefault="00E74522" w:rsidP="00DC5447">
      <w:pPr>
        <w:ind w:firstLine="0"/>
      </w:pPr>
    </w:p>
    <w:p w:rsidR="00E74522" w:rsidRPr="00DC5447" w:rsidRDefault="00E74522" w:rsidP="00DC5447">
      <w:pPr>
        <w:ind w:firstLine="0"/>
      </w:pPr>
    </w:p>
    <w:p w:rsidR="00E74522" w:rsidRPr="00DC5447" w:rsidRDefault="00E74522" w:rsidP="00DC5447">
      <w:pPr>
        <w:ind w:firstLine="0"/>
      </w:pPr>
    </w:p>
    <w:p w:rsidR="00E74522" w:rsidRPr="00DC5447" w:rsidRDefault="00E74522" w:rsidP="00DC5447">
      <w:pPr>
        <w:ind w:firstLine="0"/>
      </w:pPr>
    </w:p>
    <w:p w:rsidR="00E74522" w:rsidRPr="00DC5447" w:rsidRDefault="00E74522" w:rsidP="00DC5447">
      <w:pPr>
        <w:ind w:firstLine="0"/>
      </w:pPr>
    </w:p>
    <w:p w:rsidR="005C636A" w:rsidRPr="00DC5447" w:rsidRDefault="00DA1975" w:rsidP="00DC5447">
      <w:pPr>
        <w:ind w:firstLine="0"/>
      </w:pPr>
      <w:r w:rsidRPr="00DC5447">
        <w:lastRenderedPageBreak/>
        <w:t>Response to Question 1:</w:t>
      </w:r>
    </w:p>
    <w:p w:rsidR="005C636A" w:rsidRPr="00DC5447" w:rsidRDefault="00DA1975" w:rsidP="00DC5447">
      <w:r w:rsidRPr="00DC5447">
        <w:t xml:space="preserve">Net Present Value is one of the capital budgeting methods used to </w:t>
      </w:r>
      <w:r w:rsidR="00E74522" w:rsidRPr="00DC5447">
        <w:t>estimate the potential projects that can be profitable to invest in. The analysis of Net Present Value is based on the cash flows, and it makes this method very accurate because it considers the time variables along with risks. In this method, the cash flow that is expected at certain time periods is discounted at a certain rate</w:t>
      </w:r>
      <w:r w:rsidR="00DC5447" w:rsidRPr="00DC5447">
        <w:t xml:space="preserve"> </w:t>
      </w:r>
      <w:r w:rsidR="00DC5447" w:rsidRPr="00DC5447">
        <w:rPr>
          <w:color w:val="000000"/>
          <w:shd w:val="clear" w:color="auto" w:fill="FFFFFF"/>
        </w:rPr>
        <w:t>("Net Present Value - NPV," 2019)</w:t>
      </w:r>
      <w:r w:rsidR="00E74522" w:rsidRPr="00DC5447">
        <w:t xml:space="preserve">. The present value a cash flow is having is compared with the initial investments. The results of that difference are positive then the project gets accepted, however, it gets rejected. The positive of this method is that it uses the concept of time value of money and focuses on </w:t>
      </w:r>
      <w:r w:rsidR="00267490" w:rsidRPr="00DC5447">
        <w:t>increasing</w:t>
      </w:r>
      <w:r w:rsidR="00E74522" w:rsidRPr="00DC5447">
        <w:t xml:space="preserve"> the profitability of investors. </w:t>
      </w:r>
      <w:r w:rsidR="00267490" w:rsidRPr="00DC5447">
        <w:t xml:space="preserve">It is calculated by subtracting the present value of costs from the present value of benefits. </w:t>
      </w:r>
    </w:p>
    <w:p w:rsidR="00670B5D" w:rsidRPr="00DC5447" w:rsidRDefault="00DA1975" w:rsidP="00DC5447">
      <w:pPr>
        <w:ind w:left="720" w:hanging="720"/>
      </w:pPr>
      <w:r w:rsidRPr="00DC5447">
        <w:t>Response to Question 2:</w:t>
      </w:r>
    </w:p>
    <w:p w:rsidR="00670B5D" w:rsidRPr="00DC5447" w:rsidRDefault="00DA1975" w:rsidP="00DC5447">
      <w:r w:rsidRPr="00DC5447">
        <w:t>As suggested by its name, this method is used to identify the time period</w:t>
      </w:r>
      <w:r w:rsidRPr="00DC5447">
        <w:t xml:space="preserve"> in which the proposal will generate cash flow which will recover the initial investment. This method emphasizes the cash flows and the project's economic life and also the investment that is made in that project</w:t>
      </w:r>
      <w:r w:rsidR="00DC5447" w:rsidRPr="00DC5447">
        <w:t xml:space="preserve"> </w:t>
      </w:r>
      <w:sdt>
        <w:sdtPr>
          <w:id w:val="-1992629941"/>
          <w:citation/>
        </w:sdtPr>
        <w:sdtEndPr/>
        <w:sdtContent>
          <w:r w:rsidR="00DC5447" w:rsidRPr="00DC5447">
            <w:fldChar w:fldCharType="begin"/>
          </w:r>
          <w:r w:rsidR="00DC5447" w:rsidRPr="00DC5447">
            <w:instrText xml:space="preserve"> CITATION Bre95 \l 1033 </w:instrText>
          </w:r>
          <w:r w:rsidR="00DC5447" w:rsidRPr="00DC5447">
            <w:fldChar w:fldCharType="separate"/>
          </w:r>
          <w:r w:rsidR="00DC5447" w:rsidRPr="00DC5447">
            <w:rPr>
              <w:noProof/>
            </w:rPr>
            <w:t>(Brealey, 1995)</w:t>
          </w:r>
          <w:r w:rsidR="00DC5447" w:rsidRPr="00DC5447">
            <w:fldChar w:fldCharType="end"/>
          </w:r>
        </w:sdtContent>
      </w:sdt>
      <w:r w:rsidRPr="00DC5447">
        <w:t xml:space="preserve">. </w:t>
      </w:r>
      <w:r w:rsidR="005C636A" w:rsidRPr="00DC5447">
        <w:t xml:space="preserve">This method is helpful in selecting the project based on its earning capacity. It has simple calculations that are used to decide whether the project should be selected or rejected. However, this method ignores the impact of the time value of money and the other aspects of profitability. The acceptance benchmark for this method is that the project is desirable whose payback period is shorter and returns the initial investment as early as possible. However, returns are also evaluated in some cases. </w:t>
      </w:r>
    </w:p>
    <w:p w:rsidR="00267490" w:rsidRPr="00DC5447" w:rsidRDefault="00DA1975" w:rsidP="00DC5447">
      <w:pPr>
        <w:ind w:left="720" w:hanging="720"/>
      </w:pPr>
      <w:r w:rsidRPr="00DC5447">
        <w:t>Respo</w:t>
      </w:r>
      <w:r w:rsidRPr="00DC5447">
        <w:t>nse to Question 3:</w:t>
      </w:r>
    </w:p>
    <w:p w:rsidR="00267490" w:rsidRPr="00DC5447" w:rsidRDefault="00DA1975" w:rsidP="00DC5447">
      <w:r w:rsidRPr="00DC5447">
        <w:t xml:space="preserve">The internal rate of return (IRR) can be defined as the rate at which net present value of the investment is equal to zero. This is another method employed in capital budgeting to estimate </w:t>
      </w:r>
      <w:r w:rsidRPr="00DC5447">
        <w:lastRenderedPageBreak/>
        <w:t xml:space="preserve">the desirability of a project. </w:t>
      </w:r>
      <w:r w:rsidR="00953633" w:rsidRPr="00DC5447">
        <w:t>In this technique, the discounted cash inflow and cash outflow are equal. It also considers the concept of the time value of money. It strives to reach an interest rate where finances that are invested in the project can be repaid out of cash inflows</w:t>
      </w:r>
      <w:r w:rsidR="00DC5447" w:rsidRPr="00DC5447">
        <w:t xml:space="preserve"> </w:t>
      </w:r>
      <w:sdt>
        <w:sdtPr>
          <w:id w:val="-227158950"/>
          <w:citation/>
        </w:sdtPr>
        <w:sdtEndPr/>
        <w:sdtContent>
          <w:r w:rsidR="00DC5447" w:rsidRPr="00DC5447">
            <w:fldChar w:fldCharType="begin"/>
          </w:r>
          <w:r w:rsidR="00DC5447" w:rsidRPr="00DC5447">
            <w:instrText xml:space="preserve"> CITATION Kel04 \l 1033 </w:instrText>
          </w:r>
          <w:r w:rsidR="00DC5447" w:rsidRPr="00DC5447">
            <w:fldChar w:fldCharType="separate"/>
          </w:r>
          <w:r w:rsidR="00DC5447" w:rsidRPr="00DC5447">
            <w:rPr>
              <w:noProof/>
            </w:rPr>
            <w:t>(Kelleher, 2004)</w:t>
          </w:r>
          <w:r w:rsidR="00DC5447" w:rsidRPr="00DC5447">
            <w:fldChar w:fldCharType="end"/>
          </w:r>
        </w:sdtContent>
      </w:sdt>
      <w:r w:rsidR="00953633" w:rsidRPr="00DC5447">
        <w:t xml:space="preserve">. </w:t>
      </w:r>
      <w:r w:rsidR="002C5522" w:rsidRPr="00DC5447">
        <w:t>However, it is not an easy task to calculate the international rate of return. This method is an internal rate method because it only focuses on the outlay and proceeds linked with the project and outside the investment, no rate is determined. If IRR is greater than the cost than the project is accepted. Otherwise, it is rejected. The project is also profitable if IRR is higher than the weighted average cost of capital.</w:t>
      </w:r>
    </w:p>
    <w:p w:rsidR="002A4A50" w:rsidRPr="00DC5447" w:rsidRDefault="00DA1975" w:rsidP="00DC5447">
      <w:pPr>
        <w:ind w:left="720" w:hanging="720"/>
      </w:pPr>
      <w:r w:rsidRPr="00DC5447">
        <w:t>Response to Question 4:</w:t>
      </w:r>
    </w:p>
    <w:p w:rsidR="002A4A50" w:rsidRPr="00DC5447" w:rsidRDefault="00DA1975" w:rsidP="00DC5447">
      <w:r w:rsidRPr="00DC5447">
        <w:t>The modified internal rate of return (M</w:t>
      </w:r>
      <w:r w:rsidRPr="00DC5447">
        <w:t xml:space="preserve">IRR) is another capital budgeting technique, which assumes that all the positive cash flows are invested again at the firm’s cost of capital. In addition, the initial outlay is refinanced at its financing cost. </w:t>
      </w:r>
      <w:r w:rsidR="00932CE5" w:rsidRPr="00DC5447">
        <w:t>The internal rate of return assumes that cash flows from a certain project are invested again at IRR</w:t>
      </w:r>
      <w:r w:rsidR="006367FD" w:rsidRPr="00DC5447">
        <w:t xml:space="preserve"> </w:t>
      </w:r>
      <w:r w:rsidR="006367FD" w:rsidRPr="00DC5447">
        <w:rPr>
          <w:color w:val="000000"/>
          <w:shd w:val="clear" w:color="auto" w:fill="FFFFFF"/>
        </w:rPr>
        <w:t>("Modified Internal Rate Of Return - MIRR," 2019)</w:t>
      </w:r>
      <w:r w:rsidR="00932CE5" w:rsidRPr="00DC5447">
        <w:t xml:space="preserve">. The MIRR is focused on accurately reflecting profitability and cost of the project. </w:t>
      </w:r>
      <w:r w:rsidR="00C452F7" w:rsidRPr="00DC5447">
        <w:t xml:space="preserve">To calculate MIRR, it is assumed that the positive cash flows are going to be reinvested. </w:t>
      </w:r>
      <w:r w:rsidR="00A673AC" w:rsidRPr="00DC5447">
        <w:t xml:space="preserve">It is helpful because it ranks the projects of unequal size, </w:t>
      </w:r>
      <w:r w:rsidR="00C452F7" w:rsidRPr="00DC5447">
        <w:t>however;</w:t>
      </w:r>
      <w:r w:rsidR="00A673AC" w:rsidRPr="00DC5447">
        <w:t xml:space="preserve"> it gets hard to calculate the MIRR. Furthermore, it gives a more realistic evaluation of a project. </w:t>
      </w:r>
      <w:r w:rsidR="00C452F7" w:rsidRPr="00DC5447">
        <w:t xml:space="preserve">It is more precise than IRR due to the fact that it determines the true rate of return of a project. </w:t>
      </w:r>
    </w:p>
    <w:p w:rsidR="00B071FE" w:rsidRDefault="00B071FE" w:rsidP="00DC5447">
      <w:pPr>
        <w:jc w:val="center"/>
      </w:pPr>
    </w:p>
    <w:p w:rsidR="00B071FE" w:rsidRDefault="00B071FE" w:rsidP="00DC5447">
      <w:pPr>
        <w:jc w:val="center"/>
      </w:pPr>
    </w:p>
    <w:p w:rsidR="00B071FE" w:rsidRDefault="00B071FE" w:rsidP="00DC5447">
      <w:pPr>
        <w:jc w:val="center"/>
      </w:pPr>
    </w:p>
    <w:p w:rsidR="00B071FE" w:rsidRDefault="00B071FE" w:rsidP="00DC5447">
      <w:pPr>
        <w:jc w:val="center"/>
      </w:pPr>
    </w:p>
    <w:p w:rsidR="00B071FE" w:rsidRDefault="00B071FE" w:rsidP="00DC5447">
      <w:pPr>
        <w:jc w:val="center"/>
      </w:pPr>
    </w:p>
    <w:p w:rsidR="00125FA3" w:rsidRPr="00DC5447" w:rsidRDefault="00DA1975" w:rsidP="00DC5447">
      <w:pPr>
        <w:jc w:val="center"/>
      </w:pPr>
      <w:r w:rsidRPr="00DC5447">
        <w:lastRenderedPageBreak/>
        <w:t>Solutions to Problems</w:t>
      </w:r>
    </w:p>
    <w:p w:rsidR="00125FA3" w:rsidRPr="00DC5447" w:rsidRDefault="00DA1975" w:rsidP="00DC5447">
      <w:pPr>
        <w:ind w:firstLine="0"/>
      </w:pPr>
      <w:r w:rsidRPr="00DC5447">
        <w:t>Response to Problem 1:</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8A4156" w:rsidTr="00125FA3">
        <w:tc>
          <w:tcPr>
            <w:tcW w:w="1558" w:type="dxa"/>
          </w:tcPr>
          <w:p w:rsidR="00125FA3" w:rsidRPr="00DC5447" w:rsidRDefault="00DA1975" w:rsidP="00DC5447">
            <w:pPr>
              <w:ind w:firstLine="0"/>
            </w:pPr>
            <w:r w:rsidRPr="00DC5447">
              <w:t>time</w:t>
            </w:r>
          </w:p>
        </w:tc>
        <w:tc>
          <w:tcPr>
            <w:tcW w:w="1558" w:type="dxa"/>
          </w:tcPr>
          <w:p w:rsidR="00125FA3" w:rsidRPr="00DC5447" w:rsidRDefault="00DA1975" w:rsidP="00DC5447">
            <w:pPr>
              <w:ind w:firstLine="0"/>
            </w:pPr>
            <w:r w:rsidRPr="00DC5447">
              <w:t>0</w:t>
            </w:r>
          </w:p>
        </w:tc>
        <w:tc>
          <w:tcPr>
            <w:tcW w:w="1558" w:type="dxa"/>
          </w:tcPr>
          <w:p w:rsidR="00125FA3" w:rsidRPr="00DC5447" w:rsidRDefault="00DA1975" w:rsidP="00DC5447">
            <w:pPr>
              <w:ind w:firstLine="0"/>
            </w:pPr>
            <w:r w:rsidRPr="00DC5447">
              <w:t>1</w:t>
            </w:r>
          </w:p>
        </w:tc>
        <w:tc>
          <w:tcPr>
            <w:tcW w:w="1558" w:type="dxa"/>
          </w:tcPr>
          <w:p w:rsidR="00125FA3" w:rsidRPr="00DC5447" w:rsidRDefault="00DA1975" w:rsidP="00DC5447">
            <w:pPr>
              <w:ind w:firstLine="0"/>
            </w:pPr>
            <w:r w:rsidRPr="00DC5447">
              <w:t>2</w:t>
            </w:r>
          </w:p>
        </w:tc>
        <w:tc>
          <w:tcPr>
            <w:tcW w:w="1559" w:type="dxa"/>
          </w:tcPr>
          <w:p w:rsidR="00125FA3" w:rsidRPr="00DC5447" w:rsidRDefault="00DA1975" w:rsidP="00DC5447">
            <w:pPr>
              <w:ind w:firstLine="0"/>
            </w:pPr>
            <w:r w:rsidRPr="00DC5447">
              <w:t>3</w:t>
            </w:r>
          </w:p>
        </w:tc>
        <w:tc>
          <w:tcPr>
            <w:tcW w:w="1559" w:type="dxa"/>
          </w:tcPr>
          <w:p w:rsidR="00125FA3" w:rsidRPr="00DC5447" w:rsidRDefault="00DA1975" w:rsidP="00DC5447">
            <w:pPr>
              <w:ind w:firstLine="0"/>
            </w:pPr>
            <w:r w:rsidRPr="00DC5447">
              <w:t>4</w:t>
            </w:r>
          </w:p>
        </w:tc>
      </w:tr>
      <w:tr w:rsidR="008A4156" w:rsidTr="00125FA3">
        <w:tc>
          <w:tcPr>
            <w:tcW w:w="1558" w:type="dxa"/>
          </w:tcPr>
          <w:p w:rsidR="00125FA3" w:rsidRPr="00DC5447" w:rsidRDefault="00DA1975" w:rsidP="00DC5447">
            <w:pPr>
              <w:ind w:firstLine="0"/>
            </w:pPr>
            <w:r w:rsidRPr="00DC5447">
              <w:t>cash flow</w:t>
            </w:r>
          </w:p>
        </w:tc>
        <w:tc>
          <w:tcPr>
            <w:tcW w:w="1558" w:type="dxa"/>
          </w:tcPr>
          <w:p w:rsidR="00125FA3" w:rsidRPr="00DC5447" w:rsidRDefault="00DA1975" w:rsidP="00DC5447">
            <w:pPr>
              <w:ind w:firstLine="0"/>
            </w:pPr>
            <w:r w:rsidRPr="00DC5447">
              <w:t>$12000</w:t>
            </w:r>
          </w:p>
        </w:tc>
        <w:tc>
          <w:tcPr>
            <w:tcW w:w="1558" w:type="dxa"/>
          </w:tcPr>
          <w:p w:rsidR="00125FA3" w:rsidRPr="00DC5447" w:rsidRDefault="00DA1975" w:rsidP="00DC5447">
            <w:pPr>
              <w:ind w:firstLine="0"/>
            </w:pPr>
            <w:r w:rsidRPr="00DC5447">
              <w:t>$2360</w:t>
            </w:r>
          </w:p>
        </w:tc>
        <w:tc>
          <w:tcPr>
            <w:tcW w:w="1558" w:type="dxa"/>
          </w:tcPr>
          <w:p w:rsidR="00125FA3" w:rsidRPr="00DC5447" w:rsidRDefault="00DA1975" w:rsidP="00DC5447">
            <w:pPr>
              <w:ind w:firstLine="0"/>
            </w:pPr>
            <w:r w:rsidRPr="00DC5447">
              <w:t>$4390</w:t>
            </w:r>
          </w:p>
        </w:tc>
        <w:tc>
          <w:tcPr>
            <w:tcW w:w="1559" w:type="dxa"/>
          </w:tcPr>
          <w:p w:rsidR="00125FA3" w:rsidRPr="00DC5447" w:rsidRDefault="00DA1975" w:rsidP="00DC5447">
            <w:pPr>
              <w:ind w:firstLine="0"/>
            </w:pPr>
            <w:r w:rsidRPr="00DC5447">
              <w:t>$1520</w:t>
            </w:r>
          </w:p>
        </w:tc>
        <w:tc>
          <w:tcPr>
            <w:tcW w:w="1559" w:type="dxa"/>
          </w:tcPr>
          <w:p w:rsidR="00125FA3" w:rsidRPr="00DC5447" w:rsidRDefault="00DA1975" w:rsidP="00DC5447">
            <w:pPr>
              <w:ind w:firstLine="0"/>
            </w:pPr>
            <w:r w:rsidRPr="00DC5447">
              <w:t>$3300</w:t>
            </w:r>
          </w:p>
        </w:tc>
      </w:tr>
    </w:tbl>
    <w:p w:rsidR="00125FA3" w:rsidRPr="00DC5447" w:rsidRDefault="00125FA3" w:rsidP="00DC5447">
      <w:pPr>
        <w:ind w:firstLine="0"/>
      </w:pPr>
    </w:p>
    <w:p w:rsidR="00125FA3" w:rsidRPr="00DC5447" w:rsidRDefault="00125FA3" w:rsidP="00DC5447">
      <w:pPr>
        <w:ind w:firstLine="0"/>
      </w:pPr>
    </w:p>
    <w:p w:rsidR="00125FA3" w:rsidRPr="00DC5447" w:rsidRDefault="00DA1975" w:rsidP="00DC5447">
      <w:pPr>
        <w:ind w:firstLine="0"/>
      </w:pPr>
      <w:r w:rsidRPr="00DC5447">
        <w:t>NPV = -12000+2360*1.12+4390*1.12^2+1520*1.12^3+2200*1.12^4</w:t>
      </w:r>
    </w:p>
    <w:p w:rsidR="00125FA3" w:rsidRPr="00DC5447" w:rsidRDefault="00DA1975" w:rsidP="00DC5447">
      <w:pPr>
        <w:ind w:firstLine="0"/>
      </w:pPr>
      <w:r w:rsidRPr="00DC5447">
        <w:t>NPV= -3214.06</w:t>
      </w:r>
    </w:p>
    <w:p w:rsidR="00125FA3" w:rsidRPr="00DC5447" w:rsidRDefault="00DA1975" w:rsidP="00DC5447">
      <w:pPr>
        <w:ind w:firstLine="0"/>
      </w:pPr>
      <w:r w:rsidRPr="00DC5447">
        <w:t xml:space="preserve">The project should be rejected because the NPV is lesser than zero. </w:t>
      </w:r>
    </w:p>
    <w:p w:rsidR="00125FA3" w:rsidRPr="00DC5447" w:rsidRDefault="00DA1975" w:rsidP="00DC5447">
      <w:pPr>
        <w:ind w:firstLine="0"/>
      </w:pPr>
      <w:r w:rsidRPr="00DC5447">
        <w:t>Response to Problem 2:</w:t>
      </w:r>
    </w:p>
    <w:tbl>
      <w:tblPr>
        <w:tblStyle w:val="TableGrid"/>
        <w:tblW w:w="0" w:type="auto"/>
        <w:tblLook w:val="04A0" w:firstRow="1" w:lastRow="0" w:firstColumn="1" w:lastColumn="0" w:noHBand="0" w:noVBand="1"/>
      </w:tblPr>
      <w:tblGrid>
        <w:gridCol w:w="1316"/>
        <w:gridCol w:w="1392"/>
        <w:gridCol w:w="1360"/>
        <w:gridCol w:w="1360"/>
        <w:gridCol w:w="1360"/>
        <w:gridCol w:w="1360"/>
        <w:gridCol w:w="1202"/>
      </w:tblGrid>
      <w:tr w:rsidR="008A4156" w:rsidTr="00125FA3">
        <w:tc>
          <w:tcPr>
            <w:tcW w:w="1316" w:type="dxa"/>
          </w:tcPr>
          <w:p w:rsidR="00125FA3" w:rsidRPr="00DC5447" w:rsidRDefault="00DA1975" w:rsidP="00DC5447">
            <w:pPr>
              <w:ind w:firstLine="0"/>
            </w:pPr>
            <w:r w:rsidRPr="00DC5447">
              <w:t>time</w:t>
            </w:r>
          </w:p>
        </w:tc>
        <w:tc>
          <w:tcPr>
            <w:tcW w:w="1392" w:type="dxa"/>
          </w:tcPr>
          <w:p w:rsidR="00125FA3" w:rsidRPr="00DC5447" w:rsidRDefault="00DA1975" w:rsidP="00DC5447">
            <w:pPr>
              <w:ind w:firstLine="0"/>
            </w:pPr>
            <w:r w:rsidRPr="00DC5447">
              <w:t>0</w:t>
            </w:r>
          </w:p>
        </w:tc>
        <w:tc>
          <w:tcPr>
            <w:tcW w:w="1360" w:type="dxa"/>
          </w:tcPr>
          <w:p w:rsidR="00125FA3" w:rsidRPr="00DC5447" w:rsidRDefault="00DA1975" w:rsidP="00DC5447">
            <w:pPr>
              <w:ind w:firstLine="0"/>
            </w:pPr>
            <w:r w:rsidRPr="00DC5447">
              <w:t>1</w:t>
            </w:r>
          </w:p>
        </w:tc>
        <w:tc>
          <w:tcPr>
            <w:tcW w:w="1360" w:type="dxa"/>
          </w:tcPr>
          <w:p w:rsidR="00125FA3" w:rsidRPr="00DC5447" w:rsidRDefault="00DA1975" w:rsidP="00DC5447">
            <w:pPr>
              <w:ind w:firstLine="0"/>
            </w:pPr>
            <w:r w:rsidRPr="00DC5447">
              <w:t>2</w:t>
            </w:r>
          </w:p>
        </w:tc>
        <w:tc>
          <w:tcPr>
            <w:tcW w:w="1360" w:type="dxa"/>
          </w:tcPr>
          <w:p w:rsidR="00125FA3" w:rsidRPr="00DC5447" w:rsidRDefault="00DA1975" w:rsidP="00DC5447">
            <w:pPr>
              <w:ind w:firstLine="0"/>
            </w:pPr>
            <w:r w:rsidRPr="00DC5447">
              <w:t>3</w:t>
            </w:r>
          </w:p>
        </w:tc>
        <w:tc>
          <w:tcPr>
            <w:tcW w:w="1360" w:type="dxa"/>
          </w:tcPr>
          <w:p w:rsidR="00125FA3" w:rsidRPr="00DC5447" w:rsidRDefault="00DA1975" w:rsidP="00DC5447">
            <w:pPr>
              <w:ind w:firstLine="0"/>
            </w:pPr>
            <w:r w:rsidRPr="00DC5447">
              <w:t>4</w:t>
            </w:r>
          </w:p>
        </w:tc>
        <w:tc>
          <w:tcPr>
            <w:tcW w:w="1202" w:type="dxa"/>
          </w:tcPr>
          <w:p w:rsidR="00125FA3" w:rsidRPr="00DC5447" w:rsidRDefault="00DA1975" w:rsidP="00DC5447">
            <w:pPr>
              <w:ind w:firstLine="0"/>
            </w:pPr>
            <w:r w:rsidRPr="00DC5447">
              <w:t>5</w:t>
            </w:r>
          </w:p>
        </w:tc>
      </w:tr>
      <w:tr w:rsidR="008A4156" w:rsidTr="00125FA3">
        <w:tc>
          <w:tcPr>
            <w:tcW w:w="1316" w:type="dxa"/>
          </w:tcPr>
          <w:p w:rsidR="00125FA3" w:rsidRPr="00DC5447" w:rsidRDefault="00DA1975" w:rsidP="00DC5447">
            <w:pPr>
              <w:ind w:firstLine="0"/>
            </w:pPr>
            <w:r w:rsidRPr="00DC5447">
              <w:t>cash flow</w:t>
            </w:r>
          </w:p>
        </w:tc>
        <w:tc>
          <w:tcPr>
            <w:tcW w:w="1392" w:type="dxa"/>
          </w:tcPr>
          <w:p w:rsidR="00125FA3" w:rsidRPr="00DC5447" w:rsidRDefault="00DA1975" w:rsidP="00DC5447">
            <w:pPr>
              <w:ind w:firstLine="0"/>
            </w:pPr>
            <w:r w:rsidRPr="00DC5447">
              <w:t>$12000</w:t>
            </w:r>
          </w:p>
        </w:tc>
        <w:tc>
          <w:tcPr>
            <w:tcW w:w="1360" w:type="dxa"/>
          </w:tcPr>
          <w:p w:rsidR="00125FA3" w:rsidRPr="00DC5447" w:rsidRDefault="00DA1975" w:rsidP="00DC5447">
            <w:pPr>
              <w:ind w:firstLine="0"/>
            </w:pPr>
            <w:r w:rsidRPr="00DC5447">
              <w:t>$2360</w:t>
            </w:r>
          </w:p>
        </w:tc>
        <w:tc>
          <w:tcPr>
            <w:tcW w:w="1360" w:type="dxa"/>
          </w:tcPr>
          <w:p w:rsidR="00125FA3" w:rsidRPr="00DC5447" w:rsidRDefault="00DA1975" w:rsidP="00DC5447">
            <w:pPr>
              <w:ind w:firstLine="0"/>
            </w:pPr>
            <w:r w:rsidRPr="00DC5447">
              <w:t>$4390</w:t>
            </w:r>
          </w:p>
        </w:tc>
        <w:tc>
          <w:tcPr>
            <w:tcW w:w="1360" w:type="dxa"/>
          </w:tcPr>
          <w:p w:rsidR="00125FA3" w:rsidRPr="00DC5447" w:rsidRDefault="00DA1975" w:rsidP="00DC5447">
            <w:pPr>
              <w:ind w:firstLine="0"/>
            </w:pPr>
            <w:r w:rsidRPr="00DC5447">
              <w:t>$1520</w:t>
            </w:r>
          </w:p>
        </w:tc>
        <w:tc>
          <w:tcPr>
            <w:tcW w:w="1360" w:type="dxa"/>
          </w:tcPr>
          <w:p w:rsidR="00125FA3" w:rsidRPr="00DC5447" w:rsidRDefault="00DA1975" w:rsidP="00DC5447">
            <w:pPr>
              <w:ind w:firstLine="0"/>
            </w:pPr>
            <w:r w:rsidRPr="00DC5447">
              <w:t>$3300</w:t>
            </w:r>
          </w:p>
        </w:tc>
        <w:tc>
          <w:tcPr>
            <w:tcW w:w="1202" w:type="dxa"/>
          </w:tcPr>
          <w:p w:rsidR="00125FA3" w:rsidRPr="00DC5447" w:rsidRDefault="00DA1975" w:rsidP="00DC5447">
            <w:pPr>
              <w:ind w:firstLine="0"/>
            </w:pPr>
            <w:r w:rsidRPr="00DC5447">
              <w:t>$1250</w:t>
            </w:r>
          </w:p>
        </w:tc>
      </w:tr>
    </w:tbl>
    <w:p w:rsidR="00125FA3" w:rsidRPr="00DC5447" w:rsidRDefault="00125FA3" w:rsidP="00DC5447">
      <w:pPr>
        <w:ind w:firstLine="0"/>
      </w:pPr>
    </w:p>
    <w:p w:rsidR="00125FA3" w:rsidRPr="00DC5447" w:rsidRDefault="00DA1975" w:rsidP="00DC5447">
      <w:pPr>
        <w:ind w:firstLine="0"/>
      </w:pPr>
      <w:r w:rsidRPr="00DC5447">
        <w:t>IRR= cash outflow / cash inflow</w:t>
      </w:r>
    </w:p>
    <w:p w:rsidR="00125FA3" w:rsidRPr="00DC5447" w:rsidRDefault="00DA1975" w:rsidP="00DC5447">
      <w:pPr>
        <w:ind w:firstLine="0"/>
      </w:pPr>
      <w:r w:rsidRPr="00DC5447">
        <w:t>IRR = 12000/2100</w:t>
      </w:r>
    </w:p>
    <w:p w:rsidR="00125FA3" w:rsidRPr="00DC5447" w:rsidRDefault="00DA1975" w:rsidP="00DC5447">
      <w:pPr>
        <w:ind w:firstLine="0"/>
      </w:pPr>
      <w:r w:rsidRPr="00DC5447">
        <w:t>IRR = 5.71</w:t>
      </w:r>
    </w:p>
    <w:p w:rsidR="00125FA3" w:rsidRPr="00DC5447" w:rsidRDefault="00DA1975" w:rsidP="00DC5447">
      <w:pPr>
        <w:ind w:firstLine="0"/>
      </w:pPr>
      <w:r w:rsidRPr="00DC5447">
        <w:t xml:space="preserve">IRR is approx. 7% using annuity chart </w:t>
      </w:r>
    </w:p>
    <w:p w:rsidR="00125FA3" w:rsidRPr="00DC5447" w:rsidRDefault="00DA1975" w:rsidP="00DC5447">
      <w:pPr>
        <w:ind w:firstLine="0"/>
      </w:pPr>
      <w:r w:rsidRPr="00DC5447">
        <w:t>MIRR = ^ 5 the square root of 10500/12000- 1</w:t>
      </w:r>
    </w:p>
    <w:p w:rsidR="00125FA3" w:rsidRPr="00DC5447" w:rsidRDefault="00DA1975" w:rsidP="00DC5447">
      <w:pPr>
        <w:ind w:firstLine="0"/>
      </w:pPr>
      <w:r w:rsidRPr="00DC5447">
        <w:t>MIRR = 3.14 %</w:t>
      </w:r>
    </w:p>
    <w:p w:rsidR="00125FA3" w:rsidRPr="00DC5447" w:rsidRDefault="00DA1975" w:rsidP="00DC5447">
      <w:pPr>
        <w:ind w:firstLine="0"/>
      </w:pPr>
      <w:r w:rsidRPr="00DC5447">
        <w:t xml:space="preserve">The project should not be accepted based on the values of IRR and MIRR because it is less than the original capital cost of the project.  </w:t>
      </w:r>
    </w:p>
    <w:p w:rsidR="006367FD" w:rsidRPr="00DC5447" w:rsidRDefault="006367FD" w:rsidP="00DC5447">
      <w:pPr>
        <w:ind w:firstLine="0"/>
      </w:pPr>
    </w:p>
    <w:p w:rsidR="006367FD" w:rsidRPr="00DC5447" w:rsidRDefault="006367FD" w:rsidP="00DC5447">
      <w:pPr>
        <w:ind w:firstLine="0"/>
      </w:pPr>
      <w:bookmarkStart w:id="0" w:name="_GoBack"/>
      <w:bookmarkEnd w:id="0"/>
    </w:p>
    <w:sdt>
      <w:sdtPr>
        <w:rPr>
          <w:rFonts w:cs="Times New Roman"/>
          <w:b w:val="0"/>
          <w:bCs w:val="0"/>
          <w:kern w:val="0"/>
          <w:szCs w:val="24"/>
        </w:rPr>
        <w:id w:val="-40744147"/>
        <w:docPartObj>
          <w:docPartGallery w:val="Bibliographies"/>
          <w:docPartUnique/>
        </w:docPartObj>
      </w:sdtPr>
      <w:sdtEndPr/>
      <w:sdtContent>
        <w:p w:rsidR="00DC5447" w:rsidRPr="00DC5447" w:rsidRDefault="00DA1975" w:rsidP="00DC5447">
          <w:pPr>
            <w:pStyle w:val="Heading1"/>
            <w:rPr>
              <w:rFonts w:cs="Times New Roman"/>
              <w:szCs w:val="24"/>
            </w:rPr>
          </w:pPr>
          <w:r w:rsidRPr="00DC5447">
            <w:rPr>
              <w:rFonts w:cs="Times New Roman"/>
              <w:szCs w:val="24"/>
            </w:rPr>
            <w:t>References</w:t>
          </w:r>
        </w:p>
        <w:sdt>
          <w:sdtPr>
            <w:id w:val="-573587230"/>
            <w:bibliography/>
          </w:sdtPr>
          <w:sdtEndPr/>
          <w:sdtContent>
            <w:p w:rsidR="00DC5447" w:rsidRPr="00DC5447" w:rsidRDefault="00DA1975" w:rsidP="00DC5447">
              <w:pPr>
                <w:pStyle w:val="Bibliography"/>
                <w:ind w:left="1440" w:hanging="1440"/>
                <w:rPr>
                  <w:noProof/>
                </w:rPr>
              </w:pPr>
              <w:r w:rsidRPr="00DC5447">
                <w:fldChar w:fldCharType="begin"/>
              </w:r>
              <w:r w:rsidRPr="00DC5447">
                <w:instrText xml:space="preserve"> BIBLIOGRAPHY </w:instrText>
              </w:r>
              <w:r w:rsidRPr="00DC5447">
                <w:fldChar w:fldCharType="separate"/>
              </w:r>
              <w:r w:rsidRPr="00DC5447">
                <w:rPr>
                  <w:noProof/>
                </w:rPr>
                <w:t xml:space="preserve">Brealey, R. M. (1995). </w:t>
              </w:r>
              <w:r w:rsidRPr="00DC5447">
                <w:rPr>
                  <w:i/>
                  <w:iCs/>
                  <w:noProof/>
                </w:rPr>
                <w:t>Fundamentals of Corporate Finance (p. 69).</w:t>
              </w:r>
              <w:r w:rsidRPr="00DC5447">
                <w:rPr>
                  <w:noProof/>
                </w:rPr>
                <w:t xml:space="preserve"> New York.: McGraw-Hil.</w:t>
              </w:r>
            </w:p>
            <w:p w:rsidR="00DC5447" w:rsidRPr="00DC5447" w:rsidRDefault="00DA1975" w:rsidP="00DC5447">
              <w:pPr>
                <w:pStyle w:val="Bibliography"/>
                <w:ind w:left="1440" w:hanging="1440"/>
                <w:rPr>
                  <w:noProof/>
                </w:rPr>
              </w:pPr>
              <w:r w:rsidRPr="00DC5447">
                <w:rPr>
                  <w:noProof/>
                </w:rPr>
                <w:t xml:space="preserve">Kelleher, J. C. (2004). Internal rate of return: A cautionary tale. </w:t>
              </w:r>
              <w:r>
                <w:rPr>
                  <w:i/>
                  <w:iCs/>
                  <w:noProof/>
                </w:rPr>
                <w:t xml:space="preserve">The McKinsey Quarterly, 20, </w:t>
              </w:r>
              <w:r w:rsidRPr="00DC5447">
                <w:rPr>
                  <w:i/>
                  <w:iCs/>
                  <w:noProof/>
                </w:rPr>
                <w:t>2004.</w:t>
              </w:r>
              <w:r w:rsidRPr="00DC5447">
                <w:rPr>
                  <w:noProof/>
                </w:rPr>
                <w:t xml:space="preserve"> </w:t>
              </w:r>
            </w:p>
            <w:p w:rsidR="00DC5447" w:rsidRPr="00DC5447" w:rsidRDefault="00DA1975" w:rsidP="00DC5447">
              <w:pPr>
                <w:ind w:left="1440" w:hanging="1440"/>
                <w:rPr>
                  <w:color w:val="000000"/>
                  <w:shd w:val="clear" w:color="auto" w:fill="FFFFFF"/>
                </w:rPr>
              </w:pPr>
              <w:r w:rsidRPr="00DC5447">
                <w:rPr>
                  <w:b/>
                  <w:bCs/>
                  <w:noProof/>
                </w:rPr>
                <w:fldChar w:fldCharType="end"/>
              </w:r>
              <w:r w:rsidRPr="00DC5447">
                <w:rPr>
                  <w:color w:val="000000"/>
                  <w:shd w:val="clear" w:color="auto" w:fill="FFFFFF"/>
                </w:rPr>
                <w:t xml:space="preserve"> Modified Internal Rate Of Return - MIRR. (2019</w:t>
              </w:r>
              <w:r w:rsidRPr="00DC5447">
                <w:rPr>
                  <w:color w:val="000000"/>
                  <w:shd w:val="clear" w:color="auto" w:fill="FFFFFF"/>
                </w:rPr>
                <w:t xml:space="preserve">). Retrieved from </w:t>
              </w:r>
              <w:hyperlink r:id="rId7" w:history="1">
                <w:r w:rsidRPr="00DC5447">
                  <w:rPr>
                    <w:rStyle w:val="Hyperlink"/>
                    <w:shd w:val="clear" w:color="auto" w:fill="FFFFFF"/>
                  </w:rPr>
                  <w:t>https://www.investopedia.com/terms/m/mirr.asp</w:t>
                </w:r>
              </w:hyperlink>
            </w:p>
            <w:p w:rsidR="00DC5447" w:rsidRPr="00DC5447" w:rsidRDefault="00DA1975" w:rsidP="00DC5447">
              <w:pPr>
                <w:ind w:left="1440" w:hanging="1440"/>
                <w:rPr>
                  <w:color w:val="000000"/>
                  <w:shd w:val="clear" w:color="auto" w:fill="FFFFFF"/>
                </w:rPr>
              </w:pPr>
              <w:r w:rsidRPr="00DC5447">
                <w:rPr>
                  <w:color w:val="000000"/>
                  <w:shd w:val="clear" w:color="auto" w:fill="FFFFFF"/>
                </w:rPr>
                <w:t xml:space="preserve">Net Present Value - NPV. (2019). Retrieved from </w:t>
              </w:r>
              <w:hyperlink r:id="rId8" w:history="1">
                <w:r w:rsidRPr="00DC5447">
                  <w:rPr>
                    <w:rStyle w:val="Hyperlink"/>
                    <w:shd w:val="clear" w:color="auto" w:fill="FFFFFF"/>
                  </w:rPr>
                  <w:t>https://www.investope</w:t>
                </w:r>
                <w:r w:rsidRPr="00DC5447">
                  <w:rPr>
                    <w:rStyle w:val="Hyperlink"/>
                    <w:shd w:val="clear" w:color="auto" w:fill="FFFFFF"/>
                  </w:rPr>
                  <w:t>dia.com/terms/n/npv.asp</w:t>
                </w:r>
              </w:hyperlink>
            </w:p>
            <w:p w:rsidR="00DC5447" w:rsidRPr="00DC5447" w:rsidRDefault="00DA1975" w:rsidP="00DC5447"/>
          </w:sdtContent>
        </w:sdt>
      </w:sdtContent>
    </w:sdt>
    <w:p w:rsidR="00DC5447" w:rsidRPr="00DC5447" w:rsidRDefault="00DC5447" w:rsidP="00DC5447">
      <w:pPr>
        <w:ind w:firstLine="0"/>
      </w:pPr>
    </w:p>
    <w:sectPr w:rsidR="00DC5447" w:rsidRPr="00DC5447">
      <w:headerReference w:type="even" r:id="rId9"/>
      <w:head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975" w:rsidRDefault="00DA1975">
      <w:pPr>
        <w:spacing w:line="240" w:lineRule="auto"/>
      </w:pPr>
      <w:r>
        <w:separator/>
      </w:r>
    </w:p>
  </w:endnote>
  <w:endnote w:type="continuationSeparator" w:id="0">
    <w:p w:rsidR="00DA1975" w:rsidRDefault="00DA19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975" w:rsidRDefault="00DA1975">
      <w:pPr>
        <w:spacing w:line="240" w:lineRule="auto"/>
      </w:pPr>
      <w:r>
        <w:separator/>
      </w:r>
    </w:p>
  </w:footnote>
  <w:footnote w:type="continuationSeparator" w:id="0">
    <w:p w:rsidR="00DA1975" w:rsidRDefault="00DA197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DA19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DA19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71FE">
      <w:rPr>
        <w:rStyle w:val="PageNumber"/>
        <w:noProof/>
      </w:rPr>
      <w:t>5</w:t>
    </w:r>
    <w:r>
      <w:rPr>
        <w:rStyle w:val="PageNumber"/>
      </w:rPr>
      <w:fldChar w:fldCharType="end"/>
    </w:r>
  </w:p>
  <w:p w:rsidR="002A2A03" w:rsidRDefault="00DA1975" w:rsidP="005175C3">
    <w:pPr>
      <w:ind w:right="360" w:firstLine="0"/>
    </w:pPr>
    <w:r>
      <w:t>BUSINESS AND MANAGEMENT</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DA19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71FE">
      <w:rPr>
        <w:rStyle w:val="PageNumber"/>
        <w:noProof/>
      </w:rPr>
      <w:t>1</w:t>
    </w:r>
    <w:r>
      <w:rPr>
        <w:rStyle w:val="PageNumber"/>
      </w:rPr>
      <w:fldChar w:fldCharType="end"/>
    </w:r>
  </w:p>
  <w:p w:rsidR="002A2A03" w:rsidRDefault="00DA1975">
    <w:pPr>
      <w:ind w:right="360" w:firstLine="0"/>
    </w:pPr>
    <w:r>
      <w:t>BUSINESS AND MANAGEMENT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B0A32"/>
    <w:rsid w:val="00125FA3"/>
    <w:rsid w:val="001A0A79"/>
    <w:rsid w:val="001E7FEC"/>
    <w:rsid w:val="00267490"/>
    <w:rsid w:val="002A2A03"/>
    <w:rsid w:val="002A4A50"/>
    <w:rsid w:val="002C5522"/>
    <w:rsid w:val="002C5547"/>
    <w:rsid w:val="005175C3"/>
    <w:rsid w:val="005C636A"/>
    <w:rsid w:val="006367FD"/>
    <w:rsid w:val="00670B5D"/>
    <w:rsid w:val="00835985"/>
    <w:rsid w:val="008A4156"/>
    <w:rsid w:val="00900E90"/>
    <w:rsid w:val="00932CE5"/>
    <w:rsid w:val="00953633"/>
    <w:rsid w:val="00A673AC"/>
    <w:rsid w:val="00AC6976"/>
    <w:rsid w:val="00B071FE"/>
    <w:rsid w:val="00C452F7"/>
    <w:rsid w:val="00C67138"/>
    <w:rsid w:val="00CF29F0"/>
    <w:rsid w:val="00DA1975"/>
    <w:rsid w:val="00DC5447"/>
    <w:rsid w:val="00E649DC"/>
    <w:rsid w:val="00E70A3B"/>
    <w:rsid w:val="00E74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BE8C6C-3F92-4A84-9DA6-4EF94A77F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link w:val="Heading1Char"/>
    <w:uiPriority w:val="9"/>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table" w:styleId="TableGrid">
    <w:name w:val="Table Grid"/>
    <w:basedOn w:val="TableNormal"/>
    <w:uiPriority w:val="59"/>
    <w:rsid w:val="00125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C5447"/>
    <w:rPr>
      <w:rFonts w:cs="Arial"/>
      <w:b/>
      <w:bCs/>
      <w:kern w:val="32"/>
      <w:sz w:val="24"/>
      <w:szCs w:val="32"/>
    </w:rPr>
  </w:style>
  <w:style w:type="paragraph" w:styleId="Bibliography">
    <w:name w:val="Bibliography"/>
    <w:basedOn w:val="Normal"/>
    <w:next w:val="Normal"/>
    <w:uiPriority w:val="37"/>
    <w:unhideWhenUsed/>
    <w:rsid w:val="00DC5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n/npv.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vestopedia.com/terms/m/mirr.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Kel04</b:Tag>
    <b:SourceType>JournalArticle</b:SourceType>
    <b:Guid>{DDB2592A-E392-4847-A858-78119ECD2003}</b:Guid>
    <b:Title>Internal rate of return: A cautionary tale</b:Title>
    <b:Year>2004</b:Year>
    <b:Author>
      <b:Author>
        <b:NameList>
          <b:Person>
            <b:Last>Kelleher</b:Last>
            <b:First>J.</b:First>
            <b:Middle>C., &amp; MacCormack, J. J</b:Middle>
          </b:Person>
        </b:NameList>
      </b:Author>
    </b:Author>
    <b:JournalName>The McKinsey Quarterly, 20, 2004.</b:JournalName>
    <b:RefOrder>2</b:RefOrder>
  </b:Source>
  <b:Source>
    <b:Tag>Bre95</b:Tag>
    <b:SourceType>Book</b:SourceType>
    <b:Guid>{96F3AC62-E70C-4574-8FEE-F75EDB3065D5}</b:Guid>
    <b:Title>Fundamentals ofCorporate Finance (p. 69)</b:Title>
    <b:Year>1995</b:Year>
    <b:Author>
      <b:Author>
        <b:NameList>
          <b:Person>
            <b:Last>Brealey</b:Last>
            <b:First>R.,</b:First>
            <b:Middle>Myers, S. C., &amp; Marcus, A. J</b:Middle>
          </b:Person>
        </b:NameList>
      </b:Author>
    </b:Author>
    <b:City>New York.</b:City>
    <b:Publisher>McGraw-Hil</b:Publisher>
    <b:RefOrder>1</b:RefOrder>
  </b:Source>
</b:Sources>
</file>

<file path=customXml/itemProps1.xml><?xml version="1.0" encoding="utf-8"?>
<ds:datastoreItem xmlns:ds="http://schemas.openxmlformats.org/officeDocument/2006/customXml" ds:itemID="{AC817320-E67F-44D9-9B9F-27F47C332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Cv</cp:lastModifiedBy>
  <cp:revision>7</cp:revision>
  <dcterms:created xsi:type="dcterms:W3CDTF">2019-01-13T15:46:00Z</dcterms:created>
  <dcterms:modified xsi:type="dcterms:W3CDTF">2019-01-13T16:14:00Z</dcterms:modified>
</cp:coreProperties>
</file>