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A34" w:rsidRDefault="008D5A34" w:rsidP="00B823AA">
      <w:pPr>
        <w:pStyle w:val="Title2"/>
      </w:pPr>
    </w:p>
    <w:p w:rsidR="008D5A34" w:rsidRDefault="008D5A34" w:rsidP="00B823AA">
      <w:pPr>
        <w:pStyle w:val="Title2"/>
      </w:pPr>
    </w:p>
    <w:p w:rsidR="008D5A34" w:rsidRDefault="008D5A34" w:rsidP="00B823AA">
      <w:pPr>
        <w:pStyle w:val="Title2"/>
      </w:pPr>
    </w:p>
    <w:p w:rsidR="008D5A34" w:rsidRDefault="008D5A34" w:rsidP="00B823AA">
      <w:pPr>
        <w:pStyle w:val="Title2"/>
      </w:pPr>
    </w:p>
    <w:p w:rsidR="00705F4A" w:rsidRDefault="005C1126" w:rsidP="00B823AA">
      <w:pPr>
        <w:pStyle w:val="Title2"/>
      </w:pPr>
      <w:r w:rsidRPr="00705F4A">
        <w:t>Civil Rights</w:t>
      </w:r>
    </w:p>
    <w:p w:rsidR="00875598" w:rsidRDefault="005C1126" w:rsidP="00B823AA">
      <w:pPr>
        <w:pStyle w:val="Title2"/>
      </w:pPr>
      <w:r w:rsidRPr="00875598">
        <w:t>Yonis</w:t>
      </w:r>
    </w:p>
    <w:p w:rsidR="00E81978" w:rsidRDefault="005C1126" w:rsidP="00B823AA">
      <w:pPr>
        <w:pStyle w:val="Title2"/>
      </w:pPr>
      <w:sdt>
        <w:sdtPr>
          <w:alias w:val="Institutional Affiliation(s):"/>
          <w:tag w:val="Institutional Affiliation(s):"/>
          <w:id w:val="-1771543088"/>
          <w:placeholder>
            <w:docPart w:val="842F2FA5074448B09163C380E859D8FA"/>
          </w:placeholder>
          <w:temporary/>
          <w:showingPlcHdr/>
          <w:text/>
        </w:sdtPr>
        <w:sdtEndPr/>
        <w:sdtContent>
          <w:r w:rsidR="005D3A03">
            <w:t>[Institutional Affiliation(s)]</w:t>
          </w:r>
        </w:sdtContent>
      </w:sdt>
    </w:p>
    <w:sdt>
      <w:sdtPr>
        <w:alias w:val="Author Note:"/>
        <w:tag w:val="Author Note:"/>
        <w:id w:val="266668659"/>
        <w:placeholder>
          <w:docPart w:val="33033E8CB8DA4456883D18265317C109"/>
        </w:placeholder>
        <w:temporary/>
        <w:showingPlcHdr/>
      </w:sdtPr>
      <w:sdtEndPr/>
      <w:sdtContent>
        <w:p w:rsidR="00E81978" w:rsidRDefault="005C1126">
          <w:pPr>
            <w:pStyle w:val="Title"/>
          </w:pPr>
          <w:r>
            <w:t>Author Note</w:t>
          </w:r>
        </w:p>
      </w:sdtContent>
    </w:sdt>
    <w:p w:rsidR="00E81978" w:rsidRDefault="00E81978" w:rsidP="00B823AA">
      <w:pPr>
        <w:pStyle w:val="Title2"/>
      </w:pPr>
    </w:p>
    <w:p w:rsidR="00E81978" w:rsidRDefault="00E81978"/>
    <w:p w:rsidR="002B43DF" w:rsidRDefault="005C1126" w:rsidP="00875598">
      <w:pPr>
        <w:pStyle w:val="SectionTitle"/>
      </w:pPr>
      <w:r w:rsidRPr="00875598">
        <w:lastRenderedPageBreak/>
        <w:t>Civil Rights</w:t>
      </w:r>
    </w:p>
    <w:p w:rsidR="00875598" w:rsidRPr="00F62F88" w:rsidRDefault="005C1126" w:rsidP="00F62F88">
      <w:pPr>
        <w:rPr>
          <w:iCs/>
          <w:color w:val="000000" w:themeColor="text1"/>
        </w:rPr>
      </w:pPr>
      <w:r>
        <w:rPr>
          <w:iCs/>
          <w:color w:val="000000" w:themeColor="text1"/>
        </w:rPr>
        <w:t xml:space="preserve">In 1954, the U.S. Supreme Court gave a landmark decision in </w:t>
      </w:r>
      <w:r>
        <w:rPr>
          <w:i/>
          <w:iCs/>
          <w:color w:val="000000" w:themeColor="text1"/>
        </w:rPr>
        <w:t>Brown. Board</w:t>
      </w:r>
      <w:r>
        <w:rPr>
          <w:iCs/>
          <w:color w:val="000000" w:themeColor="text1"/>
        </w:rPr>
        <w:t xml:space="preserve"> wherein they unanimously held that racial segregation in all its forms at public schools is contrary to the Constitution. The decision is among the major civil rights initiative in the last century and is considered to be i</w:t>
      </w:r>
      <w:r w:rsidR="00F62F88">
        <w:rPr>
          <w:iCs/>
          <w:color w:val="000000" w:themeColor="text1"/>
        </w:rPr>
        <w:t xml:space="preserve">nstrumental in reducing race inequality in education and public life in general. In the paper, the </w:t>
      </w:r>
      <w:r w:rsidR="00F62F88">
        <w:rPr>
          <w:i/>
          <w:iCs/>
          <w:color w:val="000000" w:themeColor="text1"/>
        </w:rPr>
        <w:t xml:space="preserve">Brown v. Board </w:t>
      </w:r>
      <w:r w:rsidR="00F62F88">
        <w:rPr>
          <w:iCs/>
          <w:color w:val="000000" w:themeColor="text1"/>
        </w:rPr>
        <w:t xml:space="preserve">case would be discussed in terms of its background and its impact on U.S. public policies at the time of the decision as well as in the future ahead.  </w:t>
      </w:r>
    </w:p>
    <w:p w:rsidR="006F04AD" w:rsidRPr="00E96739" w:rsidRDefault="005C1126" w:rsidP="006B762D">
      <w:pPr>
        <w:rPr>
          <w:color w:val="000000" w:themeColor="text1"/>
        </w:rPr>
      </w:pPr>
      <w:r>
        <w:rPr>
          <w:color w:val="000000" w:themeColor="text1"/>
        </w:rPr>
        <w:t xml:space="preserve">In the 1950s prior to </w:t>
      </w:r>
      <w:r>
        <w:rPr>
          <w:color w:val="000000" w:themeColor="text1"/>
        </w:rPr>
        <w:t xml:space="preserve">the U.S. Supreme Court decision, segregation in public schools was a common practice or requirement, especially in Southern states. In spite of the claim that schools for black students were equal to their </w:t>
      </w:r>
      <w:r w:rsidRPr="006F04AD">
        <w:rPr>
          <w:color w:val="000000" w:themeColor="text1"/>
        </w:rPr>
        <w:t>white counterparts, it was a common observance tha</w:t>
      </w:r>
      <w:r w:rsidRPr="006F04AD">
        <w:rPr>
          <w:color w:val="000000" w:themeColor="text1"/>
        </w:rPr>
        <w:t>t the former significantly lacked in terms of the quality of education and basic necessities and facilities it provided to the students</w:t>
      </w:r>
      <w:sdt>
        <w:sdtPr>
          <w:rPr>
            <w:color w:val="000000" w:themeColor="text1"/>
          </w:rPr>
          <w:id w:val="1600140323"/>
          <w:citation/>
        </w:sdtPr>
        <w:sdtEndPr/>
        <w:sdtContent>
          <w:r w:rsidR="00A5185C" w:rsidRPr="006F04AD">
            <w:rPr>
              <w:color w:val="000000" w:themeColor="text1"/>
            </w:rPr>
            <w:fldChar w:fldCharType="begin"/>
          </w:r>
          <w:r w:rsidR="00A5185C" w:rsidRPr="006F04AD">
            <w:rPr>
              <w:color w:val="000000" w:themeColor="text1"/>
            </w:rPr>
            <w:instrText xml:space="preserve"> CITATION Pat01 \l 1033 </w:instrText>
          </w:r>
          <w:r w:rsidR="00A5185C" w:rsidRPr="006F04AD">
            <w:rPr>
              <w:color w:val="000000" w:themeColor="text1"/>
            </w:rPr>
            <w:fldChar w:fldCharType="separate"/>
          </w:r>
          <w:r w:rsidR="00A5185C" w:rsidRPr="006F04AD">
            <w:rPr>
              <w:noProof/>
              <w:color w:val="000000" w:themeColor="text1"/>
            </w:rPr>
            <w:t xml:space="preserve"> (Patterson, 2001)</w:t>
          </w:r>
          <w:r w:rsidR="00A5185C" w:rsidRPr="006F04AD">
            <w:rPr>
              <w:color w:val="000000" w:themeColor="text1"/>
            </w:rPr>
            <w:fldChar w:fldCharType="end"/>
          </w:r>
        </w:sdtContent>
      </w:sdt>
      <w:r w:rsidR="00DE596B" w:rsidRPr="006F04AD">
        <w:rPr>
          <w:color w:val="000000" w:themeColor="text1"/>
        </w:rPr>
        <w:t>.</w:t>
      </w:r>
      <w:r>
        <w:rPr>
          <w:color w:val="000000" w:themeColor="text1"/>
        </w:rPr>
        <w:t xml:space="preserve"> </w:t>
      </w:r>
      <w:r w:rsidR="00E96739">
        <w:rPr>
          <w:color w:val="000000" w:themeColor="text1"/>
        </w:rPr>
        <w:t xml:space="preserve">The practice was </w:t>
      </w:r>
      <w:r w:rsidR="006C1B49">
        <w:rPr>
          <w:color w:val="000000" w:themeColor="text1"/>
        </w:rPr>
        <w:t>sanctioned</w:t>
      </w:r>
      <w:r w:rsidR="00E96739">
        <w:rPr>
          <w:color w:val="000000" w:themeColor="text1"/>
        </w:rPr>
        <w:t xml:space="preserve"> by the earlier Supreme </w:t>
      </w:r>
      <w:r w:rsidR="00E96739" w:rsidRPr="00E96739">
        <w:rPr>
          <w:color w:val="000000" w:themeColor="text1"/>
        </w:rPr>
        <w:t xml:space="preserve">Court Ruling in 1896 in </w:t>
      </w:r>
      <w:r w:rsidR="00E96739" w:rsidRPr="00E96739">
        <w:rPr>
          <w:i/>
          <w:color w:val="000000" w:themeColor="text1"/>
        </w:rPr>
        <w:t xml:space="preserve">Plessy v. Ferguson </w:t>
      </w:r>
      <w:r w:rsidR="00E96739" w:rsidRPr="00E96739">
        <w:rPr>
          <w:color w:val="000000" w:themeColor="text1"/>
        </w:rPr>
        <w:t>that it was legal for public facilities to be racially segregated on condition that they provide equal facilities for whites and blacks</w:t>
      </w:r>
      <w:sdt>
        <w:sdtPr>
          <w:rPr>
            <w:color w:val="000000" w:themeColor="text1"/>
          </w:rPr>
          <w:id w:val="1840584572"/>
          <w:citation/>
        </w:sdtPr>
        <w:sdtEndPr/>
        <w:sdtContent>
          <w:r w:rsidRPr="00E96739">
            <w:rPr>
              <w:color w:val="000000" w:themeColor="text1"/>
            </w:rPr>
            <w:fldChar w:fldCharType="begin"/>
          </w:r>
          <w:r w:rsidRPr="00E96739">
            <w:rPr>
              <w:color w:val="000000" w:themeColor="text1"/>
            </w:rPr>
            <w:instrText xml:space="preserve"> CITATION Pat01 \l 1033 </w:instrText>
          </w:r>
          <w:r w:rsidRPr="00E96739">
            <w:rPr>
              <w:color w:val="000000" w:themeColor="text1"/>
            </w:rPr>
            <w:fldChar w:fldCharType="separate"/>
          </w:r>
          <w:r w:rsidRPr="00E96739">
            <w:rPr>
              <w:color w:val="000000" w:themeColor="text1"/>
            </w:rPr>
            <w:t xml:space="preserve"> (Patterson, 2001)</w:t>
          </w:r>
          <w:r w:rsidRPr="00E96739">
            <w:rPr>
              <w:color w:val="000000" w:themeColor="text1"/>
            </w:rPr>
            <w:fldChar w:fldCharType="end"/>
          </w:r>
        </w:sdtContent>
      </w:sdt>
      <w:r w:rsidRPr="00E96739">
        <w:rPr>
          <w:color w:val="000000" w:themeColor="text1"/>
        </w:rPr>
        <w:t xml:space="preserve">. </w:t>
      </w:r>
      <w:r w:rsidR="006C1B49">
        <w:rPr>
          <w:color w:val="000000" w:themeColor="text1"/>
        </w:rPr>
        <w:t xml:space="preserve">The same ruling also sanctioned the Jim Crow laws that barred African Americans from sharing the same public facilities, such as buses, with the white population, relying upon the ‘separate but equal’ doctrine. </w:t>
      </w:r>
      <w:r w:rsidR="006B762D">
        <w:rPr>
          <w:color w:val="000000" w:themeColor="text1"/>
        </w:rPr>
        <w:t>It was in 1951 when Oliver Brown filed a suit against the Topeka Board of Education for denying entrance to his daughter at a white-elementary school.</w:t>
      </w:r>
    </w:p>
    <w:p w:rsidR="001F6164" w:rsidRPr="00ED32D5" w:rsidRDefault="005C1126" w:rsidP="00C462D6">
      <w:pPr>
        <w:rPr>
          <w:color w:val="FF0000"/>
        </w:rPr>
      </w:pPr>
      <w:r>
        <w:rPr>
          <w:color w:val="000000" w:themeColor="text1"/>
        </w:rPr>
        <w:t xml:space="preserve">The U.S. Supreme Court in May 1954 unanimously decided that </w:t>
      </w:r>
      <w:r w:rsidR="00A75A31">
        <w:rPr>
          <w:color w:val="000000" w:themeColor="text1"/>
        </w:rPr>
        <w:t>segregation</w:t>
      </w:r>
      <w:r>
        <w:rPr>
          <w:color w:val="000000" w:themeColor="text1"/>
        </w:rPr>
        <w:t xml:space="preserve"> between black children and white children </w:t>
      </w:r>
      <w:r w:rsidR="00C462D6">
        <w:rPr>
          <w:color w:val="000000" w:themeColor="text1"/>
        </w:rPr>
        <w:t>violated the 14</w:t>
      </w:r>
      <w:r w:rsidR="00C462D6" w:rsidRPr="00C462D6">
        <w:rPr>
          <w:color w:val="000000" w:themeColor="text1"/>
          <w:vertAlign w:val="superscript"/>
        </w:rPr>
        <w:t>th</w:t>
      </w:r>
      <w:r w:rsidR="00C462D6">
        <w:rPr>
          <w:color w:val="000000" w:themeColor="text1"/>
        </w:rPr>
        <w:t xml:space="preserve"> amendment regardless of whether tangible factors within schools such as their physical facilities are equal. In the decision, Justice Warren held that the doctrine of ‘separate but equal’ did not have a place in the domain of public </w:t>
      </w:r>
      <w:r w:rsidR="00C462D6">
        <w:rPr>
          <w:color w:val="000000" w:themeColor="text1"/>
        </w:rPr>
        <w:lastRenderedPageBreak/>
        <w:t xml:space="preserve">education as </w:t>
      </w:r>
      <w:r w:rsidR="00C462D6" w:rsidRPr="00C462D6">
        <w:rPr>
          <w:color w:val="000000" w:themeColor="text1"/>
        </w:rPr>
        <w:t xml:space="preserve">segregation in schools </w:t>
      </w:r>
      <w:r w:rsidR="00CF4736">
        <w:rPr>
          <w:color w:val="000000" w:themeColor="text1"/>
        </w:rPr>
        <w:t>is</w:t>
      </w:r>
      <w:r w:rsidR="00C462D6" w:rsidRPr="00C462D6">
        <w:rPr>
          <w:color w:val="000000" w:themeColor="text1"/>
        </w:rPr>
        <w:t xml:space="preserve"> inherently unequal</w:t>
      </w:r>
      <w:sdt>
        <w:sdtPr>
          <w:rPr>
            <w:color w:val="000000" w:themeColor="text1"/>
          </w:rPr>
          <w:id w:val="1614947915"/>
          <w:citation/>
        </w:sdtPr>
        <w:sdtEndPr/>
        <w:sdtContent>
          <w:r w:rsidR="00D529D9" w:rsidRPr="00C462D6">
            <w:rPr>
              <w:color w:val="000000" w:themeColor="text1"/>
            </w:rPr>
            <w:fldChar w:fldCharType="begin"/>
          </w:r>
          <w:r w:rsidR="00D529D9" w:rsidRPr="00C462D6">
            <w:rPr>
              <w:color w:val="000000" w:themeColor="text1"/>
            </w:rPr>
            <w:instrText xml:space="preserve"> CITATION Bro54 \l 1033 </w:instrText>
          </w:r>
          <w:r w:rsidR="00D529D9" w:rsidRPr="00C462D6">
            <w:rPr>
              <w:color w:val="000000" w:themeColor="text1"/>
            </w:rPr>
            <w:fldChar w:fldCharType="separate"/>
          </w:r>
          <w:r w:rsidR="00D529D9" w:rsidRPr="00C462D6">
            <w:rPr>
              <w:noProof/>
              <w:color w:val="000000" w:themeColor="text1"/>
            </w:rPr>
            <w:t xml:space="preserve"> (Brown v. Board of Education of Topeka, 1954)</w:t>
          </w:r>
          <w:r w:rsidR="00D529D9" w:rsidRPr="00C462D6">
            <w:rPr>
              <w:color w:val="000000" w:themeColor="text1"/>
            </w:rPr>
            <w:fldChar w:fldCharType="end"/>
          </w:r>
        </w:sdtContent>
      </w:sdt>
      <w:r w:rsidR="00651AAA" w:rsidRPr="00C462D6">
        <w:rPr>
          <w:color w:val="000000" w:themeColor="text1"/>
        </w:rPr>
        <w:t xml:space="preserve">. </w:t>
      </w:r>
    </w:p>
    <w:p w:rsidR="00651AAA" w:rsidRDefault="005C1126" w:rsidP="00040E3C">
      <w:pPr>
        <w:rPr>
          <w:color w:val="000000" w:themeColor="text1"/>
        </w:rPr>
      </w:pPr>
      <w:r>
        <w:rPr>
          <w:color w:val="000000" w:themeColor="text1"/>
        </w:rPr>
        <w:t xml:space="preserve">Although the initiative taken by the Supreme Court did not achieve desegregation immediately by its own, however, the ruling proved instrumental in fueling the emergence of the civil rights </w:t>
      </w:r>
      <w:r>
        <w:rPr>
          <w:color w:val="000000" w:themeColor="text1"/>
        </w:rPr>
        <w:t>movement. A year after the decision, the Rosa Parks incident occurred which led sparked protests, sit-ins, and boycotts, among which Martin Luther King Jr. also participated. The protests eventually led to the removal of Jim Crow laws, and eventually led t</w:t>
      </w:r>
      <w:r>
        <w:rPr>
          <w:color w:val="000000" w:themeColor="text1"/>
        </w:rPr>
        <w:t>o the passage of the 1964 ‘Civil Rights Act.' The Act hastened the desegregation</w:t>
      </w:r>
      <w:r w:rsidR="00040E3C">
        <w:rPr>
          <w:color w:val="000000" w:themeColor="text1"/>
        </w:rPr>
        <w:t xml:space="preserve"> process throughout the nation and was soon followed by the 1968 Fair Housing Act and the 1965 Voting Rights Act. This legislation, in turn, lead to widespread </w:t>
      </w:r>
      <w:r w:rsidR="00040E3C" w:rsidRPr="00040E3C">
        <w:rPr>
          <w:color w:val="000000" w:themeColor="text1"/>
        </w:rPr>
        <w:t>desegregation in the South and by the late 1970s, significant racial integration was achieved</w:t>
      </w:r>
      <w:sdt>
        <w:sdtPr>
          <w:rPr>
            <w:color w:val="000000" w:themeColor="text1"/>
          </w:rPr>
          <w:id w:val="2080786184"/>
          <w:citation/>
        </w:sdtPr>
        <w:sdtEndPr/>
        <w:sdtContent>
          <w:r w:rsidR="00A5185C" w:rsidRPr="00040E3C">
            <w:rPr>
              <w:color w:val="000000" w:themeColor="text1"/>
            </w:rPr>
            <w:fldChar w:fldCharType="begin"/>
          </w:r>
          <w:r w:rsidR="00A5185C" w:rsidRPr="00040E3C">
            <w:rPr>
              <w:color w:val="000000" w:themeColor="text1"/>
            </w:rPr>
            <w:instrText xml:space="preserve"> CITATION Pat01 \l 1033 </w:instrText>
          </w:r>
          <w:r w:rsidR="00A5185C" w:rsidRPr="00040E3C">
            <w:rPr>
              <w:color w:val="000000" w:themeColor="text1"/>
            </w:rPr>
            <w:fldChar w:fldCharType="separate"/>
          </w:r>
          <w:r w:rsidR="00A5185C" w:rsidRPr="00040E3C">
            <w:rPr>
              <w:noProof/>
              <w:color w:val="000000" w:themeColor="text1"/>
            </w:rPr>
            <w:t xml:space="preserve"> (Patterson, 2001)</w:t>
          </w:r>
          <w:r w:rsidR="00A5185C" w:rsidRPr="00040E3C">
            <w:rPr>
              <w:color w:val="000000" w:themeColor="text1"/>
            </w:rPr>
            <w:fldChar w:fldCharType="end"/>
          </w:r>
        </w:sdtContent>
      </w:sdt>
      <w:r w:rsidRPr="00040E3C">
        <w:rPr>
          <w:color w:val="000000" w:themeColor="text1"/>
        </w:rPr>
        <w:t>.</w:t>
      </w:r>
      <w:r w:rsidR="00040E3C">
        <w:rPr>
          <w:color w:val="000000" w:themeColor="text1"/>
        </w:rPr>
        <w:t xml:space="preserve"> The most significant impact of the Brown decision was that equal protection extended to other areas of law, and while </w:t>
      </w:r>
      <w:r w:rsidR="00040E3C">
        <w:rPr>
          <w:i/>
          <w:color w:val="000000" w:themeColor="text1"/>
        </w:rPr>
        <w:t xml:space="preserve">Brown v. Board </w:t>
      </w:r>
      <w:r w:rsidR="00040E3C">
        <w:rPr>
          <w:color w:val="000000" w:themeColor="text1"/>
        </w:rPr>
        <w:t>did not begin the movement for civil rights, it served as the turning point in the movement for racial equality. Although other forces were at play, however, the Brown decision had a significant symbolic effect that supplemented other factors in the civil rights legislation.</w:t>
      </w:r>
    </w:p>
    <w:p w:rsidR="00651AAA" w:rsidRDefault="005C1126" w:rsidP="00040E3C">
      <w:pPr>
        <w:rPr>
          <w:color w:val="000000" w:themeColor="text1"/>
        </w:rPr>
      </w:pPr>
      <w:r>
        <w:rPr>
          <w:color w:val="000000" w:themeColor="text1"/>
        </w:rPr>
        <w:t>The overall effects of the Supreme Court decision on the civil rights movement and on public education as a whole can be divided in terms of indirect and direct effects. The direct effects included widespread desegregation in schools</w:t>
      </w:r>
      <w:r>
        <w:rPr>
          <w:color w:val="000000" w:themeColor="text1"/>
        </w:rPr>
        <w:t>, whereas the indirect influences included national attention towards civil rights issues, inspiring different grassroots activism movements for racial equality and a greater sense of guilt among the Northern states. Before the decision, there were no blac</w:t>
      </w:r>
      <w:r>
        <w:rPr>
          <w:color w:val="000000" w:themeColor="text1"/>
        </w:rPr>
        <w:t xml:space="preserve">k children in Kentucky studying within the same school as white children. The percentage </w:t>
      </w:r>
      <w:r w:rsidRPr="00040E3C">
        <w:rPr>
          <w:color w:val="000000" w:themeColor="text1"/>
        </w:rPr>
        <w:t xml:space="preserve">grew to 54% within a decade. Similarly, in Oklahoma, the figures grew from 0% in </w:t>
      </w:r>
      <w:r w:rsidRPr="00040E3C">
        <w:rPr>
          <w:color w:val="000000" w:themeColor="text1"/>
        </w:rPr>
        <w:lastRenderedPageBreak/>
        <w:t>1954 to 28% in 1964</w:t>
      </w:r>
      <w:sdt>
        <w:sdtPr>
          <w:rPr>
            <w:color w:val="000000" w:themeColor="text1"/>
          </w:rPr>
          <w:id w:val="2034610287"/>
          <w:citation/>
        </w:sdtPr>
        <w:sdtEndPr/>
        <w:sdtContent>
          <w:r w:rsidR="00A5185C" w:rsidRPr="00040E3C">
            <w:rPr>
              <w:color w:val="000000" w:themeColor="text1"/>
            </w:rPr>
            <w:fldChar w:fldCharType="begin"/>
          </w:r>
          <w:r w:rsidR="00A5185C" w:rsidRPr="00040E3C">
            <w:rPr>
              <w:color w:val="000000" w:themeColor="text1"/>
            </w:rPr>
            <w:instrText xml:space="preserve"> CITATION Kla94 \l 1033 </w:instrText>
          </w:r>
          <w:r w:rsidR="00A5185C" w:rsidRPr="00040E3C">
            <w:rPr>
              <w:color w:val="000000" w:themeColor="text1"/>
            </w:rPr>
            <w:fldChar w:fldCharType="separate"/>
          </w:r>
          <w:r w:rsidR="00A5185C" w:rsidRPr="00040E3C">
            <w:rPr>
              <w:noProof/>
              <w:color w:val="000000" w:themeColor="text1"/>
            </w:rPr>
            <w:t xml:space="preserve"> (Klarman, 1994)</w:t>
          </w:r>
          <w:r w:rsidR="00A5185C" w:rsidRPr="00040E3C">
            <w:rPr>
              <w:color w:val="000000" w:themeColor="text1"/>
            </w:rPr>
            <w:fldChar w:fldCharType="end"/>
          </w:r>
        </w:sdtContent>
      </w:sdt>
      <w:r>
        <w:rPr>
          <w:color w:val="000000" w:themeColor="text1"/>
        </w:rPr>
        <w:t>. These influences led</w:t>
      </w:r>
      <w:r>
        <w:rPr>
          <w:color w:val="000000" w:themeColor="text1"/>
        </w:rPr>
        <w:t xml:space="preserve"> many analysts and scholars to see the Brown decision as layi</w:t>
      </w:r>
      <w:r w:rsidR="00B53298">
        <w:rPr>
          <w:color w:val="000000" w:themeColor="text1"/>
        </w:rPr>
        <w:t>ng important groundwork for racial equality legislation in the future.</w:t>
      </w:r>
    </w:p>
    <w:p w:rsidR="00137894" w:rsidRDefault="005C1126" w:rsidP="00137894">
      <w:pPr>
        <w:rPr>
          <w:color w:val="000000" w:themeColor="text1"/>
        </w:rPr>
      </w:pPr>
      <w:r>
        <w:rPr>
          <w:color w:val="000000" w:themeColor="text1"/>
        </w:rPr>
        <w:t>The decision by the Supreme Court proved to be a transformative power. Although it did not end racial conflict, it led a sig</w:t>
      </w:r>
      <w:r>
        <w:rPr>
          <w:color w:val="000000" w:themeColor="text1"/>
        </w:rPr>
        <w:t>nificant impact on public views with regards to racial oppression. It reduced the influence of white supremacists in maintaining social segregation in various areas of public life and brought down systemic racial hierarchy that used to exist prior to the d</w:t>
      </w:r>
      <w:r>
        <w:rPr>
          <w:color w:val="000000" w:themeColor="text1"/>
        </w:rPr>
        <w:t xml:space="preserve">ecision. For African-American </w:t>
      </w:r>
      <w:r w:rsidRPr="00B53298">
        <w:rPr>
          <w:color w:val="000000" w:themeColor="text1"/>
        </w:rPr>
        <w:t>students, it was a heavy milestone in terms of gaining access to the same quality education as white citizens</w:t>
      </w:r>
      <w:sdt>
        <w:sdtPr>
          <w:rPr>
            <w:color w:val="000000" w:themeColor="text1"/>
          </w:rPr>
          <w:id w:val="1149716101"/>
          <w:citation/>
        </w:sdtPr>
        <w:sdtEndPr/>
        <w:sdtContent>
          <w:r w:rsidR="00D529D9" w:rsidRPr="00137894">
            <w:rPr>
              <w:color w:val="000000" w:themeColor="text1"/>
            </w:rPr>
            <w:fldChar w:fldCharType="begin"/>
          </w:r>
          <w:r w:rsidR="00D529D9" w:rsidRPr="00137894">
            <w:rPr>
              <w:color w:val="000000" w:themeColor="text1"/>
            </w:rPr>
            <w:instrText xml:space="preserve">CITATION Dou \l 1033 </w:instrText>
          </w:r>
          <w:r w:rsidR="00D529D9" w:rsidRPr="00137894">
            <w:rPr>
              <w:color w:val="000000" w:themeColor="text1"/>
            </w:rPr>
            <w:fldChar w:fldCharType="separate"/>
          </w:r>
          <w:r w:rsidR="00D529D9" w:rsidRPr="00137894">
            <w:rPr>
              <w:noProof/>
              <w:color w:val="000000" w:themeColor="text1"/>
            </w:rPr>
            <w:t xml:space="preserve"> (Reed, 2000)</w:t>
          </w:r>
          <w:r w:rsidR="00D529D9" w:rsidRPr="00137894">
            <w:rPr>
              <w:color w:val="000000" w:themeColor="text1"/>
            </w:rPr>
            <w:fldChar w:fldCharType="end"/>
          </w:r>
        </w:sdtContent>
      </w:sdt>
      <w:r w:rsidRPr="00137894">
        <w:rPr>
          <w:color w:val="000000" w:themeColor="text1"/>
        </w:rPr>
        <w:t xml:space="preserve">. Moreover, it moved the public debate on equal education to the center stage </w:t>
      </w:r>
      <w:r w:rsidRPr="00137894">
        <w:rPr>
          <w:color w:val="000000" w:themeColor="text1"/>
        </w:rPr>
        <w:t>and advocacy regarding fair and equal access to quality education became part of the public discourse</w:t>
      </w:r>
      <w:sdt>
        <w:sdtPr>
          <w:rPr>
            <w:color w:val="000000" w:themeColor="text1"/>
          </w:rPr>
          <w:id w:val="314771200"/>
          <w:citation/>
        </w:sdtPr>
        <w:sdtEndPr/>
        <w:sdtContent>
          <w:r w:rsidR="006C76F5" w:rsidRPr="00137894">
            <w:rPr>
              <w:color w:val="000000" w:themeColor="text1"/>
            </w:rPr>
            <w:fldChar w:fldCharType="begin"/>
          </w:r>
          <w:r w:rsidR="006C76F5" w:rsidRPr="00137894">
            <w:rPr>
              <w:color w:val="000000" w:themeColor="text1"/>
            </w:rPr>
            <w:instrText xml:space="preserve"> CITATION Ric04 \l 1033 </w:instrText>
          </w:r>
          <w:r w:rsidR="006C76F5" w:rsidRPr="00137894">
            <w:rPr>
              <w:color w:val="000000" w:themeColor="text1"/>
            </w:rPr>
            <w:fldChar w:fldCharType="separate"/>
          </w:r>
          <w:r w:rsidR="006C76F5" w:rsidRPr="00137894">
            <w:rPr>
              <w:noProof/>
              <w:color w:val="000000" w:themeColor="text1"/>
            </w:rPr>
            <w:t xml:space="preserve"> (Ricks, 2004)</w:t>
          </w:r>
          <w:r w:rsidR="006C76F5" w:rsidRPr="00137894">
            <w:rPr>
              <w:color w:val="000000" w:themeColor="text1"/>
            </w:rPr>
            <w:fldChar w:fldCharType="end"/>
          </w:r>
        </w:sdtContent>
      </w:sdt>
      <w:r w:rsidR="006C76F5" w:rsidRPr="00137894">
        <w:rPr>
          <w:color w:val="000000" w:themeColor="text1"/>
        </w:rPr>
        <w:t>.</w:t>
      </w:r>
    </w:p>
    <w:p w:rsidR="0015309A" w:rsidRDefault="005C1126" w:rsidP="00ED4143">
      <w:pPr>
        <w:rPr>
          <w:color w:val="000000" w:themeColor="text1"/>
        </w:rPr>
      </w:pPr>
      <w:r>
        <w:rPr>
          <w:color w:val="000000" w:themeColor="text1"/>
        </w:rPr>
        <w:t>Another contribution of the decision was creating precedents for future legislation and initiatives. Nearly four decades after the decision, the U.S. Supreme Court green-lighted affirmative action in enrolment of minority students in higher education insti</w:t>
      </w:r>
      <w:r>
        <w:rPr>
          <w:color w:val="000000" w:themeColor="text1"/>
        </w:rPr>
        <w:t xml:space="preserve">tutions, in the Michigan decision. The court held that diversity in campuses prepares students to work in a </w:t>
      </w:r>
      <w:r w:rsidRPr="00137894">
        <w:rPr>
          <w:color w:val="000000" w:themeColor="text1"/>
        </w:rPr>
        <w:t>better way in the workplace and society at large. The effects of the Brown decision could also be noticed in terms of reduced disparities in mathema</w:t>
      </w:r>
      <w:r w:rsidRPr="00137894">
        <w:rPr>
          <w:color w:val="000000" w:themeColor="text1"/>
        </w:rPr>
        <w:t xml:space="preserve">tics and reading skills between white and black students, along with reduced income gaps between adults </w:t>
      </w:r>
      <w:sdt>
        <w:sdtPr>
          <w:rPr>
            <w:color w:val="000000" w:themeColor="text1"/>
          </w:rPr>
          <w:id w:val="-1767923548"/>
          <w:citation/>
        </w:sdtPr>
        <w:sdtEndPr/>
        <w:sdtContent>
          <w:r w:rsidRPr="00137894">
            <w:rPr>
              <w:color w:val="000000" w:themeColor="text1"/>
            </w:rPr>
            <w:fldChar w:fldCharType="begin"/>
          </w:r>
          <w:r w:rsidRPr="00137894">
            <w:rPr>
              <w:color w:val="000000" w:themeColor="text1"/>
            </w:rPr>
            <w:instrText xml:space="preserve"> CITATION Ron02 \l 1033 </w:instrText>
          </w:r>
          <w:r w:rsidRPr="00137894">
            <w:rPr>
              <w:color w:val="000000" w:themeColor="text1"/>
            </w:rPr>
            <w:fldChar w:fldCharType="separate"/>
          </w:r>
          <w:r w:rsidRPr="00137894">
            <w:rPr>
              <w:noProof/>
              <w:color w:val="000000" w:themeColor="text1"/>
            </w:rPr>
            <w:t xml:space="preserve"> (Ferguson &amp; Mehta, 2002)</w:t>
          </w:r>
          <w:r w:rsidRPr="00137894">
            <w:rPr>
              <w:color w:val="000000" w:themeColor="text1"/>
            </w:rPr>
            <w:fldChar w:fldCharType="end"/>
          </w:r>
        </w:sdtContent>
      </w:sdt>
      <w:r w:rsidRPr="00137894">
        <w:rPr>
          <w:color w:val="000000" w:themeColor="text1"/>
        </w:rPr>
        <w:t xml:space="preserve">. </w:t>
      </w:r>
      <w:r w:rsidR="00ED4143">
        <w:rPr>
          <w:color w:val="000000" w:themeColor="text1"/>
        </w:rPr>
        <w:t xml:space="preserve">Although </w:t>
      </w:r>
      <w:r w:rsidR="00DA3C13">
        <w:rPr>
          <w:color w:val="000000" w:themeColor="text1"/>
        </w:rPr>
        <w:t>disparities in jobs still exist</w:t>
      </w:r>
      <w:r w:rsidR="00ED4143">
        <w:rPr>
          <w:color w:val="000000" w:themeColor="text1"/>
        </w:rPr>
        <w:t xml:space="preserve"> on the basis of ethnicity or race, however</w:t>
      </w:r>
      <w:r w:rsidR="00DA3C13">
        <w:rPr>
          <w:color w:val="000000" w:themeColor="text1"/>
        </w:rPr>
        <w:t>,</w:t>
      </w:r>
      <w:r w:rsidR="00ED4143">
        <w:rPr>
          <w:color w:val="000000" w:themeColor="text1"/>
        </w:rPr>
        <w:t xml:space="preserve"> improved skills among students led to significantly improved employment prospects compared to earlier times</w:t>
      </w:r>
      <w:sdt>
        <w:sdtPr>
          <w:rPr>
            <w:color w:val="000000" w:themeColor="text1"/>
          </w:rPr>
          <w:id w:val="-1947298006"/>
          <w:citation/>
        </w:sdtPr>
        <w:sdtEndPr/>
        <w:sdtContent>
          <w:r w:rsidR="00ED4143">
            <w:rPr>
              <w:color w:val="000000" w:themeColor="text1"/>
            </w:rPr>
            <w:fldChar w:fldCharType="begin"/>
          </w:r>
          <w:r w:rsidR="00ED4143">
            <w:rPr>
              <w:color w:val="000000" w:themeColor="text1"/>
            </w:rPr>
            <w:instrText xml:space="preserve"> CITATION Ron02 \l 1033 </w:instrText>
          </w:r>
          <w:r w:rsidR="00ED4143">
            <w:rPr>
              <w:color w:val="000000" w:themeColor="text1"/>
            </w:rPr>
            <w:fldChar w:fldCharType="separate"/>
          </w:r>
          <w:r w:rsidR="00ED4143">
            <w:rPr>
              <w:noProof/>
              <w:color w:val="000000" w:themeColor="text1"/>
            </w:rPr>
            <w:t xml:space="preserve"> </w:t>
          </w:r>
          <w:r w:rsidR="00ED4143" w:rsidRPr="00ED4143">
            <w:rPr>
              <w:noProof/>
              <w:color w:val="000000" w:themeColor="text1"/>
            </w:rPr>
            <w:t>(Ferguson &amp; Mehta, 2002)</w:t>
          </w:r>
          <w:r w:rsidR="00ED4143">
            <w:rPr>
              <w:color w:val="000000" w:themeColor="text1"/>
            </w:rPr>
            <w:fldChar w:fldCharType="end"/>
          </w:r>
        </w:sdtContent>
      </w:sdt>
      <w:r w:rsidR="00ED4143">
        <w:rPr>
          <w:color w:val="000000" w:themeColor="text1"/>
        </w:rPr>
        <w:t xml:space="preserve">. </w:t>
      </w:r>
    </w:p>
    <w:p w:rsidR="00855565" w:rsidRDefault="005C1126" w:rsidP="00DA3C13">
      <w:pPr>
        <w:rPr>
          <w:color w:val="000000" w:themeColor="text1"/>
        </w:rPr>
      </w:pPr>
      <w:r>
        <w:rPr>
          <w:color w:val="000000" w:themeColor="text1"/>
        </w:rPr>
        <w:t>To conclude, those born in the 21</w:t>
      </w:r>
      <w:r w:rsidRPr="00ED4143">
        <w:rPr>
          <w:color w:val="000000" w:themeColor="text1"/>
          <w:vertAlign w:val="superscript"/>
        </w:rPr>
        <w:t>st</w:t>
      </w:r>
      <w:r>
        <w:rPr>
          <w:color w:val="000000" w:themeColor="text1"/>
        </w:rPr>
        <w:t xml:space="preserve"> century have seen significantly improved conditions as a result of </w:t>
      </w:r>
      <w:r>
        <w:rPr>
          <w:color w:val="000000" w:themeColor="text1"/>
        </w:rPr>
        <w:t xml:space="preserve">the policies and legislation that were influenced by early civil rights-based initiatives such as the </w:t>
      </w:r>
      <w:r w:rsidRPr="00ED4143">
        <w:rPr>
          <w:i/>
          <w:color w:val="000000" w:themeColor="text1"/>
        </w:rPr>
        <w:t xml:space="preserve">Brown v. Board </w:t>
      </w:r>
      <w:r w:rsidRPr="00ED4143">
        <w:rPr>
          <w:color w:val="000000" w:themeColor="text1"/>
        </w:rPr>
        <w:t>decision</w:t>
      </w:r>
      <w:r w:rsidR="00DA3C13">
        <w:rPr>
          <w:i/>
          <w:color w:val="000000" w:themeColor="text1"/>
        </w:rPr>
        <w:t xml:space="preserve">. </w:t>
      </w:r>
      <w:r w:rsidR="00DA3C13">
        <w:rPr>
          <w:color w:val="000000" w:themeColor="text1"/>
        </w:rPr>
        <w:t xml:space="preserve">Racial barriers to employment and education </w:t>
      </w:r>
      <w:r w:rsidR="00DA3C13">
        <w:rPr>
          <w:color w:val="000000" w:themeColor="text1"/>
        </w:rPr>
        <w:lastRenderedPageBreak/>
        <w:t>have significantly weakened over the years, and progress is evident. However, despite achieving important milestones in terms of civil rights, there is still room for enhanced policy measures to improve access to resources for students in order to further narrow achievement gaps.</w:t>
      </w:r>
    </w:p>
    <w:p w:rsidR="00055AC7" w:rsidRDefault="005C1126">
      <w:pPr>
        <w:rPr>
          <w:color w:val="000000" w:themeColor="text1"/>
        </w:rPr>
      </w:pPr>
      <w:r>
        <w:rPr>
          <w:color w:val="000000" w:themeColor="text1"/>
        </w:rPr>
        <w:br w:type="page"/>
      </w:r>
      <w:bookmarkStart w:id="0" w:name="_GoBack"/>
      <w:bookmarkEnd w:id="0"/>
    </w:p>
    <w:sdt>
      <w:sdtPr>
        <w:rPr>
          <w:rFonts w:asciiTheme="minorHAnsi" w:eastAsiaTheme="minorEastAsia" w:hAnsiTheme="minorHAnsi" w:cstheme="minorBidi"/>
          <w:b w:val="0"/>
          <w:bCs w:val="0"/>
        </w:rPr>
        <w:id w:val="-1789033696"/>
        <w:docPartObj>
          <w:docPartGallery w:val="Bibliographies"/>
          <w:docPartUnique/>
        </w:docPartObj>
      </w:sdtPr>
      <w:sdtEndPr/>
      <w:sdtContent>
        <w:p w:rsidR="00055AC7" w:rsidRDefault="005C1126">
          <w:pPr>
            <w:pStyle w:val="Heading1"/>
          </w:pPr>
          <w:r>
            <w:t>References</w:t>
          </w:r>
        </w:p>
        <w:sdt>
          <w:sdtPr>
            <w:id w:val="111145805"/>
            <w:bibliography/>
          </w:sdtPr>
          <w:sdtEndPr/>
          <w:sdtContent>
            <w:p w:rsidR="00055AC7" w:rsidRDefault="005C1126" w:rsidP="00055AC7">
              <w:pPr>
                <w:pStyle w:val="Bibliography"/>
                <w:rPr>
                  <w:noProof/>
                </w:rPr>
              </w:pPr>
              <w:r>
                <w:fldChar w:fldCharType="begin"/>
              </w:r>
              <w:r>
                <w:instrText xml:space="preserve"> BIBLIOGRAPHY </w:instrText>
              </w:r>
              <w:r>
                <w:fldChar w:fldCharType="separate"/>
              </w:r>
              <w:r>
                <w:rPr>
                  <w:noProof/>
                </w:rPr>
                <w:t>Brown v. Board of Education of To</w:t>
              </w:r>
              <w:r>
                <w:rPr>
                  <w:noProof/>
                </w:rPr>
                <w:t>peka, 347 U.S. 483 (U.S. Supreme Court May 17, 1954).</w:t>
              </w:r>
            </w:p>
            <w:p w:rsidR="00055AC7" w:rsidRDefault="005C1126" w:rsidP="00055AC7">
              <w:pPr>
                <w:pStyle w:val="Bibliography"/>
                <w:rPr>
                  <w:noProof/>
                </w:rPr>
              </w:pPr>
              <w:r>
                <w:rPr>
                  <w:noProof/>
                </w:rPr>
                <w:t>Ferguson, R. F., &amp; Mehta, J. (2002). Why Racial Integration and Other Policies Since Brown v. Board of Education Have Only Partially Succeeded at Narrowing the Achievement Gap. In T. Ready, J. Christoph</w:t>
              </w:r>
              <w:r>
                <w:rPr>
                  <w:noProof/>
                </w:rPr>
                <w:t xml:space="preserve">er Edley, &amp; C. E. Snow (Eds.), </w:t>
              </w:r>
              <w:r>
                <w:rPr>
                  <w:i/>
                  <w:iCs/>
                  <w:noProof/>
                </w:rPr>
                <w:t>Achieving High Educational Standards for All</w:t>
              </w:r>
              <w:r>
                <w:rPr>
                  <w:noProof/>
                </w:rPr>
                <w:t xml:space="preserve"> (pp. 183-217). Washington, D.C.: National Academies Press.</w:t>
              </w:r>
            </w:p>
            <w:p w:rsidR="00055AC7" w:rsidRDefault="005C1126" w:rsidP="00055AC7">
              <w:pPr>
                <w:pStyle w:val="Bibliography"/>
                <w:rPr>
                  <w:noProof/>
                </w:rPr>
              </w:pPr>
              <w:r>
                <w:rPr>
                  <w:noProof/>
                </w:rPr>
                <w:t xml:space="preserve">Klarman, M. J. (1994). How Brown Changed Race Relations: The Backlash Thesis. </w:t>
              </w:r>
              <w:r>
                <w:rPr>
                  <w:i/>
                  <w:iCs/>
                  <w:noProof/>
                </w:rPr>
                <w:t>The Journal of American History, 81</w:t>
              </w:r>
              <w:r>
                <w:rPr>
                  <w:noProof/>
                </w:rPr>
                <w:t xml:space="preserve">(1), </w:t>
              </w:r>
              <w:r>
                <w:rPr>
                  <w:noProof/>
                </w:rPr>
                <w:t>81-118.</w:t>
              </w:r>
            </w:p>
            <w:p w:rsidR="00055AC7" w:rsidRDefault="005C1126" w:rsidP="00055AC7">
              <w:pPr>
                <w:pStyle w:val="Bibliography"/>
                <w:rPr>
                  <w:noProof/>
                </w:rPr>
              </w:pPr>
              <w:r>
                <w:rPr>
                  <w:noProof/>
                </w:rPr>
                <w:t xml:space="preserve">Patterson, J. T. (2001). </w:t>
              </w:r>
              <w:r>
                <w:rPr>
                  <w:i/>
                  <w:iCs/>
                  <w:noProof/>
                </w:rPr>
                <w:t>Brown v. Board of Education: a civil rights milestone and its troubled legacy.</w:t>
              </w:r>
              <w:r>
                <w:rPr>
                  <w:noProof/>
                </w:rPr>
                <w:t xml:space="preserve"> New York, NY: Oxford University Press.</w:t>
              </w:r>
            </w:p>
            <w:p w:rsidR="00055AC7" w:rsidRDefault="005C1126" w:rsidP="00055AC7">
              <w:pPr>
                <w:pStyle w:val="Bibliography"/>
                <w:rPr>
                  <w:noProof/>
                </w:rPr>
              </w:pPr>
              <w:r>
                <w:rPr>
                  <w:noProof/>
                </w:rPr>
                <w:t xml:space="preserve">Reed, D. S. (2000). </w:t>
              </w:r>
              <w:r>
                <w:rPr>
                  <w:i/>
                  <w:iCs/>
                  <w:noProof/>
                </w:rPr>
                <w:t>Measuring the Impact of Brown v. Board.</w:t>
              </w:r>
              <w:r>
                <w:rPr>
                  <w:noProof/>
                </w:rPr>
                <w:t xml:space="preserve"> Washington, D.C: African-American Studies At </w:t>
              </w:r>
              <w:r>
                <w:rPr>
                  <w:noProof/>
                </w:rPr>
                <w:t>The Woodrow Wilson Center.</w:t>
              </w:r>
            </w:p>
            <w:p w:rsidR="00055AC7" w:rsidRDefault="005C1126" w:rsidP="00055AC7">
              <w:pPr>
                <w:pStyle w:val="Bibliography"/>
                <w:rPr>
                  <w:noProof/>
                </w:rPr>
              </w:pPr>
              <w:r>
                <w:rPr>
                  <w:noProof/>
                </w:rPr>
                <w:t xml:space="preserve">Ricks, I. (2004). The 50th Anniversary of Brown v. Board of Education: Continued Impacts on Minority Life Science Education. </w:t>
              </w:r>
              <w:r>
                <w:rPr>
                  <w:i/>
                  <w:iCs/>
                  <w:noProof/>
                </w:rPr>
                <w:t>Cell Biology Education, 3</w:t>
              </w:r>
              <w:r>
                <w:rPr>
                  <w:noProof/>
                </w:rPr>
                <w:t>(3), 146-149.</w:t>
              </w:r>
            </w:p>
            <w:p w:rsidR="00055AC7" w:rsidRDefault="005C1126" w:rsidP="00055AC7">
              <w:r>
                <w:rPr>
                  <w:b/>
                  <w:bCs/>
                  <w:noProof/>
                </w:rPr>
                <w:fldChar w:fldCharType="end"/>
              </w:r>
            </w:p>
          </w:sdtContent>
        </w:sdt>
      </w:sdtContent>
    </w:sdt>
    <w:p w:rsidR="00055AC7" w:rsidRPr="00ED32D5" w:rsidRDefault="00055AC7" w:rsidP="00DA3C13">
      <w:pPr>
        <w:rPr>
          <w:color w:val="FF0000"/>
        </w:rPr>
      </w:pPr>
    </w:p>
    <w:sectPr w:rsidR="00055AC7" w:rsidRPr="00ED32D5">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126" w:rsidRDefault="005C1126">
      <w:pPr>
        <w:spacing w:line="240" w:lineRule="auto"/>
      </w:pPr>
      <w:r>
        <w:separator/>
      </w:r>
    </w:p>
  </w:endnote>
  <w:endnote w:type="continuationSeparator" w:id="0">
    <w:p w:rsidR="005C1126" w:rsidRDefault="005C11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126" w:rsidRDefault="005C1126">
      <w:pPr>
        <w:spacing w:line="240" w:lineRule="auto"/>
      </w:pPr>
      <w:r>
        <w:separator/>
      </w:r>
    </w:p>
  </w:footnote>
  <w:footnote w:type="continuationSeparator" w:id="0">
    <w:p w:rsidR="005C1126" w:rsidRDefault="005C11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78" w:rsidRDefault="005C1126">
    <w:pPr>
      <w:pStyle w:val="Header"/>
    </w:pPr>
    <w:sdt>
      <w:sdtPr>
        <w:rPr>
          <w:rStyle w:val="Strong"/>
        </w:rPr>
        <w:alias w:val="Running head"/>
        <w:id w:val="12739865"/>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875598">
          <w:rPr>
            <w:rStyle w:val="Strong"/>
          </w:rPr>
          <w:t>CIVIL RIGHTS</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A425A">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78" w:rsidRDefault="005C1126">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text/>
      </w:sdtPr>
      <w:sdtEndPr>
        <w:rPr>
          <w:rStyle w:val="Strong"/>
        </w:rPr>
      </w:sdtEndPr>
      <w:sdtContent>
        <w:r w:rsidR="00875598">
          <w:rPr>
            <w:rStyle w:val="Strong"/>
          </w:rPr>
          <w:t>CIVIL RIGHTS</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A425A">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6A"/>
    <w:rsid w:val="000152E2"/>
    <w:rsid w:val="00023DC2"/>
    <w:rsid w:val="00040E3C"/>
    <w:rsid w:val="00055AC7"/>
    <w:rsid w:val="000570B9"/>
    <w:rsid w:val="0006156E"/>
    <w:rsid w:val="00087759"/>
    <w:rsid w:val="000A1052"/>
    <w:rsid w:val="000A425A"/>
    <w:rsid w:val="000B24B4"/>
    <w:rsid w:val="000D3F41"/>
    <w:rsid w:val="00103218"/>
    <w:rsid w:val="00137894"/>
    <w:rsid w:val="0015309A"/>
    <w:rsid w:val="001664A8"/>
    <w:rsid w:val="001E22AF"/>
    <w:rsid w:val="001F6164"/>
    <w:rsid w:val="002243DC"/>
    <w:rsid w:val="00282F3D"/>
    <w:rsid w:val="002B43DF"/>
    <w:rsid w:val="00345524"/>
    <w:rsid w:val="00355DCA"/>
    <w:rsid w:val="003F0B77"/>
    <w:rsid w:val="00443F18"/>
    <w:rsid w:val="004A2D79"/>
    <w:rsid w:val="00512B6A"/>
    <w:rsid w:val="00551A02"/>
    <w:rsid w:val="005534FA"/>
    <w:rsid w:val="0059174E"/>
    <w:rsid w:val="005C1126"/>
    <w:rsid w:val="005D3A03"/>
    <w:rsid w:val="0064642F"/>
    <w:rsid w:val="00651AAA"/>
    <w:rsid w:val="006700E7"/>
    <w:rsid w:val="006B762D"/>
    <w:rsid w:val="006C1B49"/>
    <w:rsid w:val="006C76F5"/>
    <w:rsid w:val="006D5AEA"/>
    <w:rsid w:val="006F032A"/>
    <w:rsid w:val="006F04AD"/>
    <w:rsid w:val="00705F4A"/>
    <w:rsid w:val="00755F3D"/>
    <w:rsid w:val="007834A8"/>
    <w:rsid w:val="008002C0"/>
    <w:rsid w:val="00846A9B"/>
    <w:rsid w:val="00855565"/>
    <w:rsid w:val="0086727A"/>
    <w:rsid w:val="008721DA"/>
    <w:rsid w:val="00875598"/>
    <w:rsid w:val="008875C1"/>
    <w:rsid w:val="008A73CE"/>
    <w:rsid w:val="008C438C"/>
    <w:rsid w:val="008C5323"/>
    <w:rsid w:val="008D5A34"/>
    <w:rsid w:val="0092725E"/>
    <w:rsid w:val="00932C09"/>
    <w:rsid w:val="00967D89"/>
    <w:rsid w:val="009A6A3B"/>
    <w:rsid w:val="009D5D6E"/>
    <w:rsid w:val="009F563E"/>
    <w:rsid w:val="00A5185C"/>
    <w:rsid w:val="00A73298"/>
    <w:rsid w:val="00A75A31"/>
    <w:rsid w:val="00A864EF"/>
    <w:rsid w:val="00AA5D1F"/>
    <w:rsid w:val="00B51D7D"/>
    <w:rsid w:val="00B53298"/>
    <w:rsid w:val="00B63920"/>
    <w:rsid w:val="00B823AA"/>
    <w:rsid w:val="00BA45DB"/>
    <w:rsid w:val="00BF4184"/>
    <w:rsid w:val="00C0601E"/>
    <w:rsid w:val="00C31D30"/>
    <w:rsid w:val="00C462D6"/>
    <w:rsid w:val="00CD6E39"/>
    <w:rsid w:val="00CD76C9"/>
    <w:rsid w:val="00CF4736"/>
    <w:rsid w:val="00CF6E91"/>
    <w:rsid w:val="00D137D2"/>
    <w:rsid w:val="00D529D9"/>
    <w:rsid w:val="00D61A17"/>
    <w:rsid w:val="00D85B68"/>
    <w:rsid w:val="00DA3C13"/>
    <w:rsid w:val="00DE596B"/>
    <w:rsid w:val="00E377F6"/>
    <w:rsid w:val="00E6004D"/>
    <w:rsid w:val="00E707AB"/>
    <w:rsid w:val="00E80374"/>
    <w:rsid w:val="00E81978"/>
    <w:rsid w:val="00E96739"/>
    <w:rsid w:val="00ED04B2"/>
    <w:rsid w:val="00ED32D5"/>
    <w:rsid w:val="00ED4143"/>
    <w:rsid w:val="00F14C74"/>
    <w:rsid w:val="00F23B70"/>
    <w:rsid w:val="00F31A87"/>
    <w:rsid w:val="00F379B7"/>
    <w:rsid w:val="00F417EC"/>
    <w:rsid w:val="00F525FA"/>
    <w:rsid w:val="00F62F88"/>
    <w:rsid w:val="00F70201"/>
    <w:rsid w:val="00F70519"/>
    <w:rsid w:val="00FD05E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1F6164"/>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1F616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2F2FA5074448B09163C380E859D8FA"/>
        <w:category>
          <w:name w:val="General"/>
          <w:gallery w:val="placeholder"/>
        </w:category>
        <w:types>
          <w:type w:val="bbPlcHdr"/>
        </w:types>
        <w:behaviors>
          <w:behavior w:val="content"/>
        </w:behaviors>
        <w:guid w:val="{E9CEAD72-9E0F-46E5-A54B-D8760EC43D3E}"/>
      </w:docPartPr>
      <w:docPartBody>
        <w:p w:rsidR="001664A8" w:rsidRDefault="00D54579">
          <w:pPr>
            <w:pStyle w:val="842F2FA5074448B09163C380E859D8FA"/>
          </w:pPr>
          <w:r>
            <w:t>[Institutional Affiliation(s)]</w:t>
          </w:r>
        </w:p>
      </w:docPartBody>
    </w:docPart>
    <w:docPart>
      <w:docPartPr>
        <w:name w:val="33033E8CB8DA4456883D18265317C109"/>
        <w:category>
          <w:name w:val="General"/>
          <w:gallery w:val="placeholder"/>
        </w:category>
        <w:types>
          <w:type w:val="bbPlcHdr"/>
        </w:types>
        <w:behaviors>
          <w:behavior w:val="content"/>
        </w:behaviors>
        <w:guid w:val="{F36FCA72-5372-44F6-9636-C2B50C7DB667}"/>
      </w:docPartPr>
      <w:docPartBody>
        <w:p w:rsidR="001664A8" w:rsidRDefault="00D54579">
          <w:pPr>
            <w:pStyle w:val="33033E8CB8DA4456883D18265317C109"/>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3A"/>
    <w:rsid w:val="000324E9"/>
    <w:rsid w:val="00105E3A"/>
    <w:rsid w:val="00147F26"/>
    <w:rsid w:val="001664A8"/>
    <w:rsid w:val="0020709A"/>
    <w:rsid w:val="007F34CA"/>
    <w:rsid w:val="008712DC"/>
    <w:rsid w:val="009D7802"/>
    <w:rsid w:val="00AD20B6"/>
    <w:rsid w:val="00C9543B"/>
    <w:rsid w:val="00D5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1C88A4AAE4CD08F68E0235A7F1C37">
    <w:name w:val="C471C88A4AAE4CD08F68E0235A7F1C37"/>
  </w:style>
  <w:style w:type="paragraph" w:customStyle="1" w:styleId="05FDD07CDEEE49EAB1F7DC16748BDA74">
    <w:name w:val="05FDD07CDEEE49EAB1F7DC16748BDA74"/>
  </w:style>
  <w:style w:type="paragraph" w:customStyle="1" w:styleId="842F2FA5074448B09163C380E859D8FA">
    <w:name w:val="842F2FA5074448B09163C380E859D8FA"/>
  </w:style>
  <w:style w:type="paragraph" w:customStyle="1" w:styleId="33033E8CB8DA4456883D18265317C109">
    <w:name w:val="33033E8CB8DA4456883D18265317C109"/>
  </w:style>
  <w:style w:type="paragraph" w:customStyle="1" w:styleId="F14E22F7B582475085D8CF52CC7BBA0C">
    <w:name w:val="F14E22F7B582475085D8CF52CC7BBA0C"/>
  </w:style>
  <w:style w:type="paragraph" w:customStyle="1" w:styleId="A96721456C0A4B73AF1C685024A0985C">
    <w:name w:val="A96721456C0A4B73AF1C685024A0985C"/>
  </w:style>
  <w:style w:type="character" w:styleId="Emphasis">
    <w:name w:val="Emphasis"/>
    <w:basedOn w:val="DefaultParagraphFont"/>
    <w:uiPriority w:val="4"/>
    <w:unhideWhenUsed/>
    <w:qFormat/>
    <w:rPr>
      <w:i/>
      <w:iCs/>
    </w:rPr>
  </w:style>
  <w:style w:type="paragraph" w:customStyle="1" w:styleId="5C999CE686A24174B673B72A10E8EDFB">
    <w:name w:val="5C999CE686A24174B673B72A10E8EDFB"/>
  </w:style>
  <w:style w:type="paragraph" w:customStyle="1" w:styleId="B8196DEFED474233AC6C21959C06D9B5">
    <w:name w:val="B8196DEFED474233AC6C21959C06D9B5"/>
  </w:style>
  <w:style w:type="paragraph" w:customStyle="1" w:styleId="C0A48333940B4EDE86A4CE73A5B2BA99">
    <w:name w:val="C0A48333940B4EDE86A4CE73A5B2BA99"/>
  </w:style>
  <w:style w:type="paragraph" w:customStyle="1" w:styleId="F3A80C40328349ABBC703CDF9EFDA7C9">
    <w:name w:val="F3A80C40328349ABBC703CDF9EFDA7C9"/>
  </w:style>
  <w:style w:type="paragraph" w:customStyle="1" w:styleId="F40C46B980EC41BC959E87572EFBB8EF">
    <w:name w:val="F40C46B980EC41BC959E87572EFBB8EF"/>
  </w:style>
  <w:style w:type="paragraph" w:customStyle="1" w:styleId="5538720D1AE7424F8B17738245AACD0A">
    <w:name w:val="5538720D1AE7424F8B17738245AACD0A"/>
  </w:style>
  <w:style w:type="paragraph" w:customStyle="1" w:styleId="E921C36B2A83485B8178D3C39D457DD5">
    <w:name w:val="E921C36B2A83485B8178D3C39D457DD5"/>
  </w:style>
  <w:style w:type="paragraph" w:customStyle="1" w:styleId="963031E54F674EA7A7F8C4DF823521C1">
    <w:name w:val="963031E54F674EA7A7F8C4DF823521C1"/>
  </w:style>
  <w:style w:type="paragraph" w:customStyle="1" w:styleId="4ACD8FF439B344D092A454D34F765AA1">
    <w:name w:val="4ACD8FF439B344D092A454D34F765AA1"/>
  </w:style>
  <w:style w:type="paragraph" w:customStyle="1" w:styleId="EC32D18EAF5D4AB28384CCBFD4CACBA5">
    <w:name w:val="EC32D18EAF5D4AB28384CCBFD4CACBA5"/>
  </w:style>
  <w:style w:type="paragraph" w:customStyle="1" w:styleId="A3BCE5B8E62441ADA79F8A52B6C2C62B">
    <w:name w:val="A3BCE5B8E62441ADA79F8A52B6C2C62B"/>
  </w:style>
  <w:style w:type="paragraph" w:customStyle="1" w:styleId="946A83A6CF4F43958BE39B22E2295B7C">
    <w:name w:val="946A83A6CF4F43958BE39B22E2295B7C"/>
  </w:style>
  <w:style w:type="paragraph" w:customStyle="1" w:styleId="FA746F34CEEB4A09AD118BFFEE26E670">
    <w:name w:val="FA746F34CEEB4A09AD118BFFEE26E670"/>
  </w:style>
  <w:style w:type="paragraph" w:customStyle="1" w:styleId="C0696FA4404F4440A470E13080EA879C">
    <w:name w:val="C0696FA4404F4440A470E13080EA879C"/>
  </w:style>
  <w:style w:type="paragraph" w:customStyle="1" w:styleId="39081A3C3C7140E1BAAA44FE7189CFDD">
    <w:name w:val="39081A3C3C7140E1BAAA44FE7189CFDD"/>
  </w:style>
  <w:style w:type="paragraph" w:customStyle="1" w:styleId="F0C8D7EADF554407AEA95466222CB67A">
    <w:name w:val="F0C8D7EADF554407AEA95466222CB67A"/>
  </w:style>
  <w:style w:type="paragraph" w:customStyle="1" w:styleId="FB5A82DDCA3046A898295F78ABFA2755">
    <w:name w:val="FB5A82DDCA3046A898295F78ABFA2755"/>
  </w:style>
  <w:style w:type="paragraph" w:customStyle="1" w:styleId="40E8C3A363E54DFC8DDBC981435C580E">
    <w:name w:val="40E8C3A363E54DFC8DDBC981435C580E"/>
  </w:style>
  <w:style w:type="paragraph" w:customStyle="1" w:styleId="F70262C0268B4BB1994EB3583C028C8D">
    <w:name w:val="F70262C0268B4BB1994EB3583C028C8D"/>
  </w:style>
  <w:style w:type="paragraph" w:customStyle="1" w:styleId="E7D5EF6F1DA640BDB9395ED004020103">
    <w:name w:val="E7D5EF6F1DA640BDB9395ED004020103"/>
  </w:style>
  <w:style w:type="paragraph" w:customStyle="1" w:styleId="48F80CCEAFEB442983ED91B970689DB3">
    <w:name w:val="48F80CCEAFEB442983ED91B970689DB3"/>
  </w:style>
  <w:style w:type="paragraph" w:customStyle="1" w:styleId="1042A83AD5A747D39B4C06783A745B7C">
    <w:name w:val="1042A83AD5A747D39B4C06783A745B7C"/>
  </w:style>
  <w:style w:type="paragraph" w:customStyle="1" w:styleId="CECA66ADCBE8442980FBDC83E1A861E7">
    <w:name w:val="CECA66ADCBE8442980FBDC83E1A861E7"/>
  </w:style>
  <w:style w:type="paragraph" w:customStyle="1" w:styleId="4A0B5E93C92745008328C367699F0265">
    <w:name w:val="4A0B5E93C92745008328C367699F0265"/>
  </w:style>
  <w:style w:type="paragraph" w:customStyle="1" w:styleId="224E1F70D5DA479B8F7F35A1B83A3F8E">
    <w:name w:val="224E1F70D5DA479B8F7F35A1B83A3F8E"/>
  </w:style>
  <w:style w:type="paragraph" w:customStyle="1" w:styleId="618A33673C1648BAB66471FE9A2A9631">
    <w:name w:val="618A33673C1648BAB66471FE9A2A9631"/>
  </w:style>
  <w:style w:type="paragraph" w:customStyle="1" w:styleId="078805E8F4AC424EBE80B213944582A5">
    <w:name w:val="078805E8F4AC424EBE80B213944582A5"/>
  </w:style>
  <w:style w:type="paragraph" w:customStyle="1" w:styleId="BB165923001648FE94A435B059AC3773">
    <w:name w:val="BB165923001648FE94A435B059AC3773"/>
  </w:style>
  <w:style w:type="paragraph" w:customStyle="1" w:styleId="58A78B66EF5B4CCAB4EEDEC0A8FB0C00">
    <w:name w:val="58A78B66EF5B4CCAB4EEDEC0A8FB0C00"/>
  </w:style>
  <w:style w:type="paragraph" w:customStyle="1" w:styleId="4C0FFC4C58DF4EADBDC6ABB2E5007150">
    <w:name w:val="4C0FFC4C58DF4EADBDC6ABB2E5007150"/>
  </w:style>
  <w:style w:type="paragraph" w:customStyle="1" w:styleId="A6A00033EDC742B2B2EB435812CB2741">
    <w:name w:val="A6A00033EDC742B2B2EB435812CB2741"/>
  </w:style>
  <w:style w:type="paragraph" w:customStyle="1" w:styleId="9C8FB807FE23462B9BDD631490F92CFE">
    <w:name w:val="9C8FB807FE23462B9BDD631490F92CFE"/>
  </w:style>
  <w:style w:type="paragraph" w:customStyle="1" w:styleId="39A361D3BB2246CDA4192608966077EE">
    <w:name w:val="39A361D3BB2246CDA4192608966077EE"/>
  </w:style>
  <w:style w:type="paragraph" w:customStyle="1" w:styleId="A10EC105926544FDA804A22A18CCF620">
    <w:name w:val="A10EC105926544FDA804A22A18CCF620"/>
  </w:style>
  <w:style w:type="paragraph" w:customStyle="1" w:styleId="173DB309716E4545BB182C31F7ED65A8">
    <w:name w:val="173DB309716E4545BB182C31F7ED65A8"/>
  </w:style>
  <w:style w:type="paragraph" w:customStyle="1" w:styleId="EF3B6E0E116E4B09851B7604F087B26B">
    <w:name w:val="EF3B6E0E116E4B09851B7604F087B26B"/>
  </w:style>
  <w:style w:type="paragraph" w:customStyle="1" w:styleId="B98787B323A44E0D87D88A5A02B87C52">
    <w:name w:val="B98787B323A44E0D87D88A5A02B87C52"/>
  </w:style>
  <w:style w:type="paragraph" w:customStyle="1" w:styleId="85E866828EF1446BA27D61B627248536">
    <w:name w:val="85E866828EF1446BA27D61B627248536"/>
  </w:style>
  <w:style w:type="paragraph" w:customStyle="1" w:styleId="CA5F35E11F894CBFB4D78CADF21438F8">
    <w:name w:val="CA5F35E11F894CBFB4D78CADF21438F8"/>
  </w:style>
  <w:style w:type="paragraph" w:customStyle="1" w:styleId="D0CD794ADB2C4AB892F039A254BDCF47">
    <w:name w:val="D0CD794ADB2C4AB892F039A254BDCF47"/>
  </w:style>
  <w:style w:type="paragraph" w:customStyle="1" w:styleId="4190682BF35B4C819F15582E60822E6F">
    <w:name w:val="4190682BF35B4C819F15582E60822E6F"/>
  </w:style>
  <w:style w:type="paragraph" w:customStyle="1" w:styleId="8C5937537E374C0699031866E3B65E6C">
    <w:name w:val="8C5937537E374C0699031866E3B65E6C"/>
  </w:style>
  <w:style w:type="paragraph" w:customStyle="1" w:styleId="B4FC9102D3E2412EAABB2DB439CBA02D">
    <w:name w:val="B4FC9102D3E2412EAABB2DB439CBA02D"/>
  </w:style>
  <w:style w:type="paragraph" w:customStyle="1" w:styleId="44FC1339DCE14E4BB17BAC115575F0F6">
    <w:name w:val="44FC1339DCE14E4BB17BAC115575F0F6"/>
  </w:style>
  <w:style w:type="paragraph" w:customStyle="1" w:styleId="EC47D3AE158D4D1E9C9F192AE3DF8019">
    <w:name w:val="EC47D3AE158D4D1E9C9F192AE3DF8019"/>
  </w:style>
  <w:style w:type="paragraph" w:customStyle="1" w:styleId="0350C5DFEE4342BC85657175F2584062">
    <w:name w:val="0350C5DFEE4342BC85657175F2584062"/>
  </w:style>
  <w:style w:type="paragraph" w:customStyle="1" w:styleId="DAF947BA663A4968B934EB4589ADEA10">
    <w:name w:val="DAF947BA663A4968B934EB4589ADEA10"/>
  </w:style>
  <w:style w:type="paragraph" w:customStyle="1" w:styleId="AC0D3A18B0E442BDB7C9127E71765803">
    <w:name w:val="AC0D3A18B0E442BDB7C9127E71765803"/>
  </w:style>
  <w:style w:type="paragraph" w:customStyle="1" w:styleId="5A930D97A77849FAB142DE2E8EE7BD6D">
    <w:name w:val="5A930D97A77849FAB142DE2E8EE7BD6D"/>
  </w:style>
  <w:style w:type="paragraph" w:customStyle="1" w:styleId="5069C050B3994976A7A55534D47F6575">
    <w:name w:val="5069C050B3994976A7A55534D47F6575"/>
  </w:style>
  <w:style w:type="paragraph" w:customStyle="1" w:styleId="9715D9699A0547A597B96090B314305B">
    <w:name w:val="9715D9699A0547A597B96090B314305B"/>
  </w:style>
  <w:style w:type="paragraph" w:customStyle="1" w:styleId="E38BFBB019DB48DD86A893FBAB3FFF36">
    <w:name w:val="E38BFBB019DB48DD86A893FBAB3FFF36"/>
  </w:style>
  <w:style w:type="paragraph" w:customStyle="1" w:styleId="A2776A228EBE4D989E0AE7CB3C52C8B8">
    <w:name w:val="A2776A228EBE4D989E0AE7CB3C52C8B8"/>
  </w:style>
  <w:style w:type="paragraph" w:customStyle="1" w:styleId="32542CC8B8E34B86A51E15E815E8D2DD">
    <w:name w:val="32542CC8B8E34B86A51E15E815E8D2DD"/>
  </w:style>
  <w:style w:type="paragraph" w:customStyle="1" w:styleId="B5DDCD67136B45568DD3488B60BC9757">
    <w:name w:val="B5DDCD67136B45568DD3488B60BC9757"/>
  </w:style>
  <w:style w:type="paragraph" w:customStyle="1" w:styleId="E3BA55E59BF749B381BE190FD54883F5">
    <w:name w:val="E3BA55E59BF749B381BE190FD54883F5"/>
  </w:style>
  <w:style w:type="paragraph" w:customStyle="1" w:styleId="56D31AEF754A421F8CDAB423631FCD7C">
    <w:name w:val="56D31AEF754A421F8CDAB423631FCD7C"/>
  </w:style>
  <w:style w:type="character" w:customStyle="1" w:styleId="PlaceholderText1">
    <w:name w:val="Placeholder Text1"/>
    <w:basedOn w:val="DefaultParagraphFont"/>
    <w:uiPriority w:val="99"/>
    <w:semiHidden/>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1C88A4AAE4CD08F68E0235A7F1C37">
    <w:name w:val="C471C88A4AAE4CD08F68E0235A7F1C37"/>
  </w:style>
  <w:style w:type="paragraph" w:customStyle="1" w:styleId="05FDD07CDEEE49EAB1F7DC16748BDA74">
    <w:name w:val="05FDD07CDEEE49EAB1F7DC16748BDA74"/>
  </w:style>
  <w:style w:type="paragraph" w:customStyle="1" w:styleId="842F2FA5074448B09163C380E859D8FA">
    <w:name w:val="842F2FA5074448B09163C380E859D8FA"/>
  </w:style>
  <w:style w:type="paragraph" w:customStyle="1" w:styleId="33033E8CB8DA4456883D18265317C109">
    <w:name w:val="33033E8CB8DA4456883D18265317C109"/>
  </w:style>
  <w:style w:type="paragraph" w:customStyle="1" w:styleId="F14E22F7B582475085D8CF52CC7BBA0C">
    <w:name w:val="F14E22F7B582475085D8CF52CC7BBA0C"/>
  </w:style>
  <w:style w:type="paragraph" w:customStyle="1" w:styleId="A96721456C0A4B73AF1C685024A0985C">
    <w:name w:val="A96721456C0A4B73AF1C685024A0985C"/>
  </w:style>
  <w:style w:type="character" w:styleId="Emphasis">
    <w:name w:val="Emphasis"/>
    <w:basedOn w:val="DefaultParagraphFont"/>
    <w:uiPriority w:val="4"/>
    <w:unhideWhenUsed/>
    <w:qFormat/>
    <w:rPr>
      <w:i/>
      <w:iCs/>
    </w:rPr>
  </w:style>
  <w:style w:type="paragraph" w:customStyle="1" w:styleId="5C999CE686A24174B673B72A10E8EDFB">
    <w:name w:val="5C999CE686A24174B673B72A10E8EDFB"/>
  </w:style>
  <w:style w:type="paragraph" w:customStyle="1" w:styleId="B8196DEFED474233AC6C21959C06D9B5">
    <w:name w:val="B8196DEFED474233AC6C21959C06D9B5"/>
  </w:style>
  <w:style w:type="paragraph" w:customStyle="1" w:styleId="C0A48333940B4EDE86A4CE73A5B2BA99">
    <w:name w:val="C0A48333940B4EDE86A4CE73A5B2BA99"/>
  </w:style>
  <w:style w:type="paragraph" w:customStyle="1" w:styleId="F3A80C40328349ABBC703CDF9EFDA7C9">
    <w:name w:val="F3A80C40328349ABBC703CDF9EFDA7C9"/>
  </w:style>
  <w:style w:type="paragraph" w:customStyle="1" w:styleId="F40C46B980EC41BC959E87572EFBB8EF">
    <w:name w:val="F40C46B980EC41BC959E87572EFBB8EF"/>
  </w:style>
  <w:style w:type="paragraph" w:customStyle="1" w:styleId="5538720D1AE7424F8B17738245AACD0A">
    <w:name w:val="5538720D1AE7424F8B17738245AACD0A"/>
  </w:style>
  <w:style w:type="paragraph" w:customStyle="1" w:styleId="E921C36B2A83485B8178D3C39D457DD5">
    <w:name w:val="E921C36B2A83485B8178D3C39D457DD5"/>
  </w:style>
  <w:style w:type="paragraph" w:customStyle="1" w:styleId="963031E54F674EA7A7F8C4DF823521C1">
    <w:name w:val="963031E54F674EA7A7F8C4DF823521C1"/>
  </w:style>
  <w:style w:type="paragraph" w:customStyle="1" w:styleId="4ACD8FF439B344D092A454D34F765AA1">
    <w:name w:val="4ACD8FF439B344D092A454D34F765AA1"/>
  </w:style>
  <w:style w:type="paragraph" w:customStyle="1" w:styleId="EC32D18EAF5D4AB28384CCBFD4CACBA5">
    <w:name w:val="EC32D18EAF5D4AB28384CCBFD4CACBA5"/>
  </w:style>
  <w:style w:type="paragraph" w:customStyle="1" w:styleId="A3BCE5B8E62441ADA79F8A52B6C2C62B">
    <w:name w:val="A3BCE5B8E62441ADA79F8A52B6C2C62B"/>
  </w:style>
  <w:style w:type="paragraph" w:customStyle="1" w:styleId="946A83A6CF4F43958BE39B22E2295B7C">
    <w:name w:val="946A83A6CF4F43958BE39B22E2295B7C"/>
  </w:style>
  <w:style w:type="paragraph" w:customStyle="1" w:styleId="FA746F34CEEB4A09AD118BFFEE26E670">
    <w:name w:val="FA746F34CEEB4A09AD118BFFEE26E670"/>
  </w:style>
  <w:style w:type="paragraph" w:customStyle="1" w:styleId="C0696FA4404F4440A470E13080EA879C">
    <w:name w:val="C0696FA4404F4440A470E13080EA879C"/>
  </w:style>
  <w:style w:type="paragraph" w:customStyle="1" w:styleId="39081A3C3C7140E1BAAA44FE7189CFDD">
    <w:name w:val="39081A3C3C7140E1BAAA44FE7189CFDD"/>
  </w:style>
  <w:style w:type="paragraph" w:customStyle="1" w:styleId="F0C8D7EADF554407AEA95466222CB67A">
    <w:name w:val="F0C8D7EADF554407AEA95466222CB67A"/>
  </w:style>
  <w:style w:type="paragraph" w:customStyle="1" w:styleId="FB5A82DDCA3046A898295F78ABFA2755">
    <w:name w:val="FB5A82DDCA3046A898295F78ABFA2755"/>
  </w:style>
  <w:style w:type="paragraph" w:customStyle="1" w:styleId="40E8C3A363E54DFC8DDBC981435C580E">
    <w:name w:val="40E8C3A363E54DFC8DDBC981435C580E"/>
  </w:style>
  <w:style w:type="paragraph" w:customStyle="1" w:styleId="F70262C0268B4BB1994EB3583C028C8D">
    <w:name w:val="F70262C0268B4BB1994EB3583C028C8D"/>
  </w:style>
  <w:style w:type="paragraph" w:customStyle="1" w:styleId="E7D5EF6F1DA640BDB9395ED004020103">
    <w:name w:val="E7D5EF6F1DA640BDB9395ED004020103"/>
  </w:style>
  <w:style w:type="paragraph" w:customStyle="1" w:styleId="48F80CCEAFEB442983ED91B970689DB3">
    <w:name w:val="48F80CCEAFEB442983ED91B970689DB3"/>
  </w:style>
  <w:style w:type="paragraph" w:customStyle="1" w:styleId="1042A83AD5A747D39B4C06783A745B7C">
    <w:name w:val="1042A83AD5A747D39B4C06783A745B7C"/>
  </w:style>
  <w:style w:type="paragraph" w:customStyle="1" w:styleId="CECA66ADCBE8442980FBDC83E1A861E7">
    <w:name w:val="CECA66ADCBE8442980FBDC83E1A861E7"/>
  </w:style>
  <w:style w:type="paragraph" w:customStyle="1" w:styleId="4A0B5E93C92745008328C367699F0265">
    <w:name w:val="4A0B5E93C92745008328C367699F0265"/>
  </w:style>
  <w:style w:type="paragraph" w:customStyle="1" w:styleId="224E1F70D5DA479B8F7F35A1B83A3F8E">
    <w:name w:val="224E1F70D5DA479B8F7F35A1B83A3F8E"/>
  </w:style>
  <w:style w:type="paragraph" w:customStyle="1" w:styleId="618A33673C1648BAB66471FE9A2A9631">
    <w:name w:val="618A33673C1648BAB66471FE9A2A9631"/>
  </w:style>
  <w:style w:type="paragraph" w:customStyle="1" w:styleId="078805E8F4AC424EBE80B213944582A5">
    <w:name w:val="078805E8F4AC424EBE80B213944582A5"/>
  </w:style>
  <w:style w:type="paragraph" w:customStyle="1" w:styleId="BB165923001648FE94A435B059AC3773">
    <w:name w:val="BB165923001648FE94A435B059AC3773"/>
  </w:style>
  <w:style w:type="paragraph" w:customStyle="1" w:styleId="58A78B66EF5B4CCAB4EEDEC0A8FB0C00">
    <w:name w:val="58A78B66EF5B4CCAB4EEDEC0A8FB0C00"/>
  </w:style>
  <w:style w:type="paragraph" w:customStyle="1" w:styleId="4C0FFC4C58DF4EADBDC6ABB2E5007150">
    <w:name w:val="4C0FFC4C58DF4EADBDC6ABB2E5007150"/>
  </w:style>
  <w:style w:type="paragraph" w:customStyle="1" w:styleId="A6A00033EDC742B2B2EB435812CB2741">
    <w:name w:val="A6A00033EDC742B2B2EB435812CB2741"/>
  </w:style>
  <w:style w:type="paragraph" w:customStyle="1" w:styleId="9C8FB807FE23462B9BDD631490F92CFE">
    <w:name w:val="9C8FB807FE23462B9BDD631490F92CFE"/>
  </w:style>
  <w:style w:type="paragraph" w:customStyle="1" w:styleId="39A361D3BB2246CDA4192608966077EE">
    <w:name w:val="39A361D3BB2246CDA4192608966077EE"/>
  </w:style>
  <w:style w:type="paragraph" w:customStyle="1" w:styleId="A10EC105926544FDA804A22A18CCF620">
    <w:name w:val="A10EC105926544FDA804A22A18CCF620"/>
  </w:style>
  <w:style w:type="paragraph" w:customStyle="1" w:styleId="173DB309716E4545BB182C31F7ED65A8">
    <w:name w:val="173DB309716E4545BB182C31F7ED65A8"/>
  </w:style>
  <w:style w:type="paragraph" w:customStyle="1" w:styleId="EF3B6E0E116E4B09851B7604F087B26B">
    <w:name w:val="EF3B6E0E116E4B09851B7604F087B26B"/>
  </w:style>
  <w:style w:type="paragraph" w:customStyle="1" w:styleId="B98787B323A44E0D87D88A5A02B87C52">
    <w:name w:val="B98787B323A44E0D87D88A5A02B87C52"/>
  </w:style>
  <w:style w:type="paragraph" w:customStyle="1" w:styleId="85E866828EF1446BA27D61B627248536">
    <w:name w:val="85E866828EF1446BA27D61B627248536"/>
  </w:style>
  <w:style w:type="paragraph" w:customStyle="1" w:styleId="CA5F35E11F894CBFB4D78CADF21438F8">
    <w:name w:val="CA5F35E11F894CBFB4D78CADF21438F8"/>
  </w:style>
  <w:style w:type="paragraph" w:customStyle="1" w:styleId="D0CD794ADB2C4AB892F039A254BDCF47">
    <w:name w:val="D0CD794ADB2C4AB892F039A254BDCF47"/>
  </w:style>
  <w:style w:type="paragraph" w:customStyle="1" w:styleId="4190682BF35B4C819F15582E60822E6F">
    <w:name w:val="4190682BF35B4C819F15582E60822E6F"/>
  </w:style>
  <w:style w:type="paragraph" w:customStyle="1" w:styleId="8C5937537E374C0699031866E3B65E6C">
    <w:name w:val="8C5937537E374C0699031866E3B65E6C"/>
  </w:style>
  <w:style w:type="paragraph" w:customStyle="1" w:styleId="B4FC9102D3E2412EAABB2DB439CBA02D">
    <w:name w:val="B4FC9102D3E2412EAABB2DB439CBA02D"/>
  </w:style>
  <w:style w:type="paragraph" w:customStyle="1" w:styleId="44FC1339DCE14E4BB17BAC115575F0F6">
    <w:name w:val="44FC1339DCE14E4BB17BAC115575F0F6"/>
  </w:style>
  <w:style w:type="paragraph" w:customStyle="1" w:styleId="EC47D3AE158D4D1E9C9F192AE3DF8019">
    <w:name w:val="EC47D3AE158D4D1E9C9F192AE3DF8019"/>
  </w:style>
  <w:style w:type="paragraph" w:customStyle="1" w:styleId="0350C5DFEE4342BC85657175F2584062">
    <w:name w:val="0350C5DFEE4342BC85657175F2584062"/>
  </w:style>
  <w:style w:type="paragraph" w:customStyle="1" w:styleId="DAF947BA663A4968B934EB4589ADEA10">
    <w:name w:val="DAF947BA663A4968B934EB4589ADEA10"/>
  </w:style>
  <w:style w:type="paragraph" w:customStyle="1" w:styleId="AC0D3A18B0E442BDB7C9127E71765803">
    <w:name w:val="AC0D3A18B0E442BDB7C9127E71765803"/>
  </w:style>
  <w:style w:type="paragraph" w:customStyle="1" w:styleId="5A930D97A77849FAB142DE2E8EE7BD6D">
    <w:name w:val="5A930D97A77849FAB142DE2E8EE7BD6D"/>
  </w:style>
  <w:style w:type="paragraph" w:customStyle="1" w:styleId="5069C050B3994976A7A55534D47F6575">
    <w:name w:val="5069C050B3994976A7A55534D47F6575"/>
  </w:style>
  <w:style w:type="paragraph" w:customStyle="1" w:styleId="9715D9699A0547A597B96090B314305B">
    <w:name w:val="9715D9699A0547A597B96090B314305B"/>
  </w:style>
  <w:style w:type="paragraph" w:customStyle="1" w:styleId="E38BFBB019DB48DD86A893FBAB3FFF36">
    <w:name w:val="E38BFBB019DB48DD86A893FBAB3FFF36"/>
  </w:style>
  <w:style w:type="paragraph" w:customStyle="1" w:styleId="A2776A228EBE4D989E0AE7CB3C52C8B8">
    <w:name w:val="A2776A228EBE4D989E0AE7CB3C52C8B8"/>
  </w:style>
  <w:style w:type="paragraph" w:customStyle="1" w:styleId="32542CC8B8E34B86A51E15E815E8D2DD">
    <w:name w:val="32542CC8B8E34B86A51E15E815E8D2DD"/>
  </w:style>
  <w:style w:type="paragraph" w:customStyle="1" w:styleId="B5DDCD67136B45568DD3488B60BC9757">
    <w:name w:val="B5DDCD67136B45568DD3488B60BC9757"/>
  </w:style>
  <w:style w:type="paragraph" w:customStyle="1" w:styleId="E3BA55E59BF749B381BE190FD54883F5">
    <w:name w:val="E3BA55E59BF749B381BE190FD54883F5"/>
  </w:style>
  <w:style w:type="paragraph" w:customStyle="1" w:styleId="56D31AEF754A421F8CDAB423631FCD7C">
    <w:name w:val="56D31AEF754A421F8CDAB423631FCD7C"/>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CIVIL RIGHTS</Abstract>
  <CompanyAddress/>
  <CompanyPhone/>
  <CompanyFax/>
  <CompanyEmail/>
</CoverPageProperties>
</file>

<file path=customXml/item2.xml><?xml version="1.0" encoding="utf-8"?>
<b:Sources xmlns:b="http://schemas.openxmlformats.org/officeDocument/2006/bibliography" SelectedStyle="\APA.XSL" StyleName="APA" Version="6">
  <b:Source>
    <b:Tag>Ric04</b:Tag>
    <b:SourceType>JournalArticle</b:SourceType>
    <b:Guid>{99B8D1DA-0F78-4283-B2F8-E2D492F179C1}</b:Guid>
    <b:Title>The 50th Anniversary of Brown v. Board of Education: Continued Impacts on Minority Life Science Education</b:Title>
    <b:Year>2004</b:Year>
    <b:Pages>146-149</b:Pages>
    <b:Author>
      <b:Author>
        <b:NameList>
          <b:Person>
            <b:Last>Ricks</b:Last>
            <b:First>Irelene</b:First>
          </b:Person>
        </b:NameList>
      </b:Author>
    </b:Author>
    <b:JournalName>Cell Biology Education</b:JournalName>
    <b:Volume>3</b:Volume>
    <b:Issue>3</b:Issue>
    <b:Comments>https://dx.doi.org/10.1187%2Fcbe.04-05-0044</b:Comments>
    <b:RefOrder>5</b:RefOrder>
  </b:Source>
  <b:Source>
    <b:Tag>Ron02</b:Tag>
    <b:SourceType>BookSection</b:SourceType>
    <b:Guid>{6585AD8B-6C1A-458E-8EA8-36A8696D9678}</b:Guid>
    <b:Title>Why Racial Integration and Other Policies Since Brown v. Board of Education Have Only Partially Succeeded at Narrowing the Achievement Gap</b:Title>
    <b:Year>2002</b:Year>
    <b:Pages>183-217</b:Pages>
    <b:BookTitle>Achieving High Educational Standards for All</b:BookTitle>
    <b:City>Washington, D.C.</b:City>
    <b:Publisher>National Academies Press</b:Publisher>
    <b:Author>
      <b:Author>
        <b:NameList>
          <b:Person>
            <b:Last>Ferguson</b:Last>
            <b:First>Ronald</b:First>
            <b:Middle>F.</b:Middle>
          </b:Person>
          <b:Person>
            <b:Last>Mehta</b:Last>
            <b:First>Jal</b:First>
          </b:Person>
        </b:NameList>
      </b:Author>
      <b:Editor>
        <b:NameList>
          <b:Person>
            <b:Last>Ready</b:Last>
            <b:First>Timothy</b:First>
          </b:Person>
          <b:Person>
            <b:Last>Christopher Edley</b:Last>
            <b:First>Jr.</b:First>
          </b:Person>
          <b:Person>
            <b:Last>Snow</b:Last>
            <b:First>Catherine</b:First>
            <b:Middle>E.</b:Middle>
          </b:Person>
        </b:NameList>
      </b:Editor>
    </b:Author>
    <b:Comments>https://www.nap.edu/read/10256/chapter/12#217</b:Comments>
    <b:RefOrder>6</b:RefOrder>
  </b:Source>
  <b:Source>
    <b:Tag>Pat01</b:Tag>
    <b:SourceType>Book</b:SourceType>
    <b:Guid>{50C0B616-6982-4919-9023-39A309690C1A}</b:Guid>
    <b:Title>Brown v. Board of Education : a civil rights milestone and its troubled legacy</b:Title>
    <b:Year>2001</b:Year>
    <b:City>New York, NY</b:City>
    <b:Publisher>Oxford University Press</b:Publisher>
    <b:Author>
      <b:Author>
        <b:NameList>
          <b:Person>
            <b:Last>Patterson</b:Last>
            <b:First>James</b:First>
            <b:Middle>T</b:Middle>
          </b:Person>
        </b:NameList>
      </b:Author>
    </b:Author>
    <b:RefOrder>1</b:RefOrder>
  </b:Source>
  <b:Source>
    <b:Tag>Kla94</b:Tag>
    <b:SourceType>JournalArticle</b:SourceType>
    <b:Guid>{F119D59B-337A-4793-A7FC-E2C5AED216F3}</b:Guid>
    <b:Title>How Brown Changed Race Relations: The Backlash Thesis</b:Title>
    <b:Year>1994</b:Year>
    <b:Author>
      <b:Author>
        <b:NameList>
          <b:Person>
            <b:Last>Klarman</b:Last>
            <b:First>Michael</b:First>
            <b:Middle>J.</b:Middle>
          </b:Person>
        </b:NameList>
      </b:Author>
    </b:Author>
    <b:JournalName>The Journal of American History</b:JournalName>
    <b:Pages>81-118</b:Pages>
    <b:Volume>81</b:Volume>
    <b:Issue>1</b:Issue>
    <b:RefOrder>3</b:RefOrder>
  </b:Source>
  <b:Source>
    <b:Tag>Dou</b:Tag>
    <b:SourceType>Report</b:SourceType>
    <b:Guid>{6ED8BC62-B83B-4127-9A3A-EB3436B5A50C}</b:Guid>
    <b:Title>Measuring the Impact of Brown v. Board</b:Title>
    <b:Author>
      <b:Author>
        <b:NameList>
          <b:Person>
            <b:Last>Reed</b:Last>
            <b:First>Douglas</b:First>
            <b:Middle>S.</b:Middle>
          </b:Person>
        </b:NameList>
      </b:Author>
    </b:Author>
    <b:Year>2000</b:Year>
    <b:Publisher>African-American Studies At The Woodrow Wilson Center</b:Publisher>
    <b:City>Washington, D.C</b:City>
    <b:Comments>https://www.wilsoncenter.org/sites/default/files/brown_reed.pdf</b:Comments>
    <b:RefOrder>4</b:RefOrder>
  </b:Source>
  <b:Source>
    <b:Tag>Bro54</b:Tag>
    <b:SourceType>Case</b:SourceType>
    <b:Guid>{E3E44CBC-C17E-428C-B9C9-D502AF55CF39}</b:Guid>
    <b:Title>Brown v. Board of Education of Topeka</b:Title>
    <b:Year>1954</b:Year>
    <b:CaseNumber> 347 U.S. 483</b:CaseNumber>
    <b:Court>U.S. Supreme Court</b:Court>
    <b:Month>May</b:Month>
    <b:Day>17</b:Day>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6ECBDF-CD3E-472A-B903-FB97B2C1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edition)(3)</Template>
  <TotalTime>277</TotalTime>
  <Pages>6</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Zarrar</cp:lastModifiedBy>
  <cp:revision>54</cp:revision>
  <dcterms:created xsi:type="dcterms:W3CDTF">2019-03-04T07:35:00Z</dcterms:created>
  <dcterms:modified xsi:type="dcterms:W3CDTF">2019-03-04T12:33:00Z</dcterms:modified>
</cp:coreProperties>
</file>