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6F0260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F0260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F0260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F0260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F0260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F0260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F0260" w:rsidRDefault="009B5F4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260">
        <w:rPr>
          <w:rFonts w:ascii="Times New Roman" w:hAnsi="Times New Roman" w:cs="Times New Roman"/>
          <w:sz w:val="24"/>
          <w:szCs w:val="24"/>
        </w:rPr>
        <w:t xml:space="preserve">Empirical Research Identification </w:t>
      </w:r>
    </w:p>
    <w:p w:rsidR="0008177B" w:rsidRPr="006F0260" w:rsidRDefault="009B5F4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260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6F0260">
        <w:rPr>
          <w:rFonts w:ascii="Times New Roman" w:hAnsi="Times New Roman" w:cs="Times New Roman"/>
          <w:sz w:val="24"/>
          <w:szCs w:val="24"/>
        </w:rPr>
        <w:t>Writer</w:t>
      </w:r>
      <w:r w:rsidRPr="006F0260">
        <w:rPr>
          <w:rFonts w:ascii="Times New Roman" w:hAnsi="Times New Roman" w:cs="Times New Roman"/>
          <w:sz w:val="24"/>
          <w:szCs w:val="24"/>
        </w:rPr>
        <w:t>]</w:t>
      </w:r>
    </w:p>
    <w:p w:rsidR="0008177B" w:rsidRPr="006F0260" w:rsidRDefault="009B5F4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260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6F0260">
        <w:rPr>
          <w:rFonts w:ascii="Times New Roman" w:hAnsi="Times New Roman" w:cs="Times New Roman"/>
          <w:sz w:val="24"/>
          <w:szCs w:val="24"/>
        </w:rPr>
        <w:t>Institution</w:t>
      </w:r>
      <w:r w:rsidRPr="006F0260">
        <w:rPr>
          <w:rFonts w:ascii="Times New Roman" w:hAnsi="Times New Roman" w:cs="Times New Roman"/>
          <w:sz w:val="24"/>
          <w:szCs w:val="24"/>
        </w:rPr>
        <w:t>]</w:t>
      </w:r>
    </w:p>
    <w:p w:rsidR="00A106AF" w:rsidRPr="006F0260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6F0260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6F0260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6F0260" w:rsidRDefault="009B5F40" w:rsidP="00502A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260">
        <w:rPr>
          <w:rFonts w:ascii="Times New Roman" w:hAnsi="Times New Roman" w:cs="Times New Roman"/>
          <w:sz w:val="24"/>
          <w:szCs w:val="24"/>
        </w:rPr>
        <w:lastRenderedPageBreak/>
        <w:t xml:space="preserve">Empirical Research </w:t>
      </w:r>
      <w:r w:rsidRPr="006F0260">
        <w:rPr>
          <w:rFonts w:ascii="Times New Roman" w:hAnsi="Times New Roman" w:cs="Times New Roman"/>
          <w:sz w:val="24"/>
          <w:szCs w:val="24"/>
        </w:rPr>
        <w:t>Identification</w:t>
      </w:r>
    </w:p>
    <w:p w:rsidR="0008177B" w:rsidRPr="006F0260" w:rsidRDefault="009B5F4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260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4C6AF7" w:rsidRPr="006F0260" w:rsidRDefault="009B5F40" w:rsidP="004442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0260">
        <w:rPr>
          <w:rFonts w:ascii="Times New Roman" w:hAnsi="Times New Roman" w:cs="Times New Roman"/>
          <w:b/>
          <w:sz w:val="24"/>
          <w:szCs w:val="24"/>
        </w:rPr>
        <w:t>Part I</w:t>
      </w:r>
      <w:r w:rsidR="00B820A4" w:rsidRPr="006F0260">
        <w:rPr>
          <w:rFonts w:ascii="Times New Roman" w:hAnsi="Times New Roman" w:cs="Times New Roman"/>
          <w:b/>
          <w:sz w:val="24"/>
          <w:szCs w:val="24"/>
        </w:rPr>
        <w:t>: Empirical Articles</w:t>
      </w:r>
    </w:p>
    <w:p w:rsidR="00F00BB2" w:rsidRPr="006F0260" w:rsidRDefault="009B5F40" w:rsidP="00205BFF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0260">
        <w:rPr>
          <w:rFonts w:ascii="Times New Roman" w:hAnsi="Times New Roman" w:cs="Times New Roman"/>
          <w:sz w:val="24"/>
          <w:szCs w:val="24"/>
        </w:rPr>
        <w:t>Changes in HbA</w:t>
      </w:r>
      <w:r w:rsidRPr="006F0260">
        <w:rPr>
          <w:rFonts w:ascii="Times New Roman" w:hAnsi="Times New Roman" w:cs="Times New Roman"/>
          <w:sz w:val="24"/>
          <w:szCs w:val="24"/>
          <w:vertAlign w:val="subscript"/>
        </w:rPr>
        <w:t>1c</w:t>
      </w:r>
      <w:r w:rsidRPr="006F0260">
        <w:rPr>
          <w:rFonts w:ascii="Times New Roman" w:hAnsi="Times New Roman" w:cs="Times New Roman"/>
          <w:sz w:val="24"/>
          <w:szCs w:val="24"/>
        </w:rPr>
        <w:t> levels and body mass index after successful decompression surgery in patients with type 2 diabetes mellitus and lumbar spinal stenosis: results of a 2-year follow-up study</w:t>
      </w:r>
      <w:r w:rsidR="004F4ABE" w:rsidRPr="006F0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78F" w:rsidRPr="006F0260" w:rsidRDefault="009B5F40" w:rsidP="00205BFF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0260">
        <w:rPr>
          <w:rFonts w:ascii="Times New Roman" w:hAnsi="Times New Roman" w:cs="Times New Roman"/>
          <w:sz w:val="24"/>
          <w:szCs w:val="24"/>
        </w:rPr>
        <w:t xml:space="preserve">Yoga as a </w:t>
      </w:r>
      <w:r w:rsidRPr="006F0260">
        <w:rPr>
          <w:rFonts w:ascii="Times New Roman" w:hAnsi="Times New Roman" w:cs="Times New Roman"/>
          <w:sz w:val="24"/>
          <w:szCs w:val="24"/>
        </w:rPr>
        <w:t>Complementary Therapy for Adults with Type 2 Diabetes: Design and Rationale of the Healthy, Active, and Control (HA1C) Study</w:t>
      </w:r>
      <w:r w:rsidR="002A36EE" w:rsidRPr="006F0260">
        <w:rPr>
          <w:rFonts w:ascii="Times New Roman" w:hAnsi="Times New Roman" w:cs="Times New Roman"/>
          <w:sz w:val="24"/>
          <w:szCs w:val="24"/>
        </w:rPr>
        <w:t xml:space="preserve">. </w:t>
      </w:r>
      <w:r w:rsidR="00193166" w:rsidRPr="006F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CF9" w:rsidRPr="006F0260" w:rsidRDefault="009B5F40" w:rsidP="00205BFF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0260">
        <w:rPr>
          <w:rFonts w:ascii="Times New Roman" w:hAnsi="Times New Roman" w:cs="Times New Roman"/>
          <w:sz w:val="24"/>
          <w:szCs w:val="24"/>
        </w:rPr>
        <w:t xml:space="preserve">The consensus statement by the </w:t>
      </w:r>
      <w:r w:rsidR="00AA6A8A" w:rsidRPr="006F0260">
        <w:rPr>
          <w:rFonts w:ascii="Times New Roman" w:hAnsi="Times New Roman" w:cs="Times New Roman"/>
          <w:sz w:val="24"/>
          <w:szCs w:val="24"/>
        </w:rPr>
        <w:t>American</w:t>
      </w:r>
      <w:r w:rsidRPr="006F0260">
        <w:rPr>
          <w:rFonts w:ascii="Times New Roman" w:hAnsi="Times New Roman" w:cs="Times New Roman"/>
          <w:sz w:val="24"/>
          <w:szCs w:val="24"/>
        </w:rPr>
        <w:t xml:space="preserve"> Association of clinical endocrinologists and </w:t>
      </w:r>
      <w:r w:rsidR="00AA6A8A" w:rsidRPr="006F0260">
        <w:rPr>
          <w:rFonts w:ascii="Times New Roman" w:hAnsi="Times New Roman" w:cs="Times New Roman"/>
          <w:sz w:val="24"/>
          <w:szCs w:val="24"/>
        </w:rPr>
        <w:t>American</w:t>
      </w:r>
      <w:r w:rsidRPr="006F0260">
        <w:rPr>
          <w:rFonts w:ascii="Times New Roman" w:hAnsi="Times New Roman" w:cs="Times New Roman"/>
          <w:sz w:val="24"/>
          <w:szCs w:val="24"/>
        </w:rPr>
        <w:t xml:space="preserve"> college of endocrinology on the comprehensive type </w:t>
      </w:r>
      <w:r w:rsidR="0051683D" w:rsidRPr="006F0260">
        <w:rPr>
          <w:rFonts w:ascii="Times New Roman" w:hAnsi="Times New Roman" w:cs="Times New Roman"/>
          <w:sz w:val="24"/>
          <w:szCs w:val="24"/>
        </w:rPr>
        <w:t xml:space="preserve">2 diabetes management algorithm. </w:t>
      </w:r>
      <w:r w:rsidR="00963071" w:rsidRPr="006F0260">
        <w:rPr>
          <w:rFonts w:ascii="Times New Roman" w:hAnsi="Times New Roman" w:cs="Times New Roman"/>
          <w:sz w:val="24"/>
          <w:szCs w:val="24"/>
        </w:rPr>
        <w:t xml:space="preserve"> </w:t>
      </w:r>
      <w:r w:rsidR="00D008D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364E87">
        <w:rPr>
          <w:rFonts w:ascii="Times New Roman" w:hAnsi="Times New Roman" w:cs="Times New Roman"/>
          <w:sz w:val="24"/>
          <w:szCs w:val="24"/>
        </w:rPr>
        <w:t xml:space="preserve">   </w:t>
      </w:r>
      <w:r w:rsidR="00A02096">
        <w:rPr>
          <w:rFonts w:ascii="Times New Roman" w:hAnsi="Times New Roman" w:cs="Times New Roman"/>
          <w:sz w:val="24"/>
          <w:szCs w:val="24"/>
        </w:rPr>
        <w:t xml:space="preserve">      </w:t>
      </w:r>
      <w:r w:rsidR="006A16D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3CC4" w:rsidRPr="006F0260" w:rsidRDefault="009B5F40" w:rsidP="0095419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0260">
        <w:rPr>
          <w:rFonts w:ascii="Times New Roman" w:hAnsi="Times New Roman" w:cs="Times New Roman"/>
          <w:b/>
          <w:sz w:val="24"/>
          <w:szCs w:val="24"/>
        </w:rPr>
        <w:t>Part II Research Article Chart</w:t>
      </w:r>
    </w:p>
    <w:p w:rsidR="006C7C44" w:rsidRPr="006F0260" w:rsidRDefault="009B5F40" w:rsidP="006C7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260">
        <w:rPr>
          <w:rFonts w:ascii="Times New Roman" w:hAnsi="Times New Roman" w:cs="Times New Roman"/>
          <w:b/>
          <w:sz w:val="24"/>
          <w:szCs w:val="24"/>
        </w:rPr>
        <w:t>Research Article Chart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263"/>
        <w:gridCol w:w="2442"/>
        <w:gridCol w:w="2382"/>
      </w:tblGrid>
      <w:tr w:rsidR="00694ECD" w:rsidTr="006C7C44">
        <w:trPr>
          <w:trHeight w:val="1088"/>
        </w:trPr>
        <w:tc>
          <w:tcPr>
            <w:tcW w:w="1210" w:type="pct"/>
            <w:vAlign w:val="center"/>
          </w:tcPr>
          <w:p w:rsidR="006C7C44" w:rsidRPr="006F0260" w:rsidRDefault="009B5F40" w:rsidP="00C5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b/>
                <w:sz w:val="24"/>
                <w:szCs w:val="24"/>
              </w:rPr>
              <w:t>Criteria and Defining Characteristics</w:t>
            </w:r>
          </w:p>
        </w:tc>
        <w:tc>
          <w:tcPr>
            <w:tcW w:w="1210" w:type="pct"/>
          </w:tcPr>
          <w:p w:rsidR="006C7C44" w:rsidRPr="006F0260" w:rsidRDefault="009B5F40" w:rsidP="00C5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b/>
                <w:sz w:val="24"/>
                <w:szCs w:val="24"/>
              </w:rPr>
              <w:t>Article 1:</w:t>
            </w:r>
          </w:p>
        </w:tc>
        <w:tc>
          <w:tcPr>
            <w:tcW w:w="1306" w:type="pct"/>
          </w:tcPr>
          <w:p w:rsidR="006C7C44" w:rsidRPr="006F0260" w:rsidRDefault="009B5F40" w:rsidP="00C5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b/>
                <w:sz w:val="24"/>
                <w:szCs w:val="24"/>
              </w:rPr>
              <w:t>Article 2:</w:t>
            </w:r>
          </w:p>
        </w:tc>
        <w:tc>
          <w:tcPr>
            <w:tcW w:w="1274" w:type="pct"/>
          </w:tcPr>
          <w:p w:rsidR="006C7C44" w:rsidRPr="006F0260" w:rsidRDefault="009B5F40" w:rsidP="00C56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b/>
                <w:sz w:val="24"/>
                <w:szCs w:val="24"/>
              </w:rPr>
              <w:t>Article 3:</w:t>
            </w:r>
          </w:p>
        </w:tc>
      </w:tr>
      <w:tr w:rsidR="00694ECD" w:rsidTr="006C7C44">
        <w:trPr>
          <w:trHeight w:val="432"/>
        </w:trPr>
        <w:tc>
          <w:tcPr>
            <w:tcW w:w="1210" w:type="pct"/>
            <w:vAlign w:val="center"/>
          </w:tcPr>
          <w:p w:rsidR="006C7C44" w:rsidRPr="006F0260" w:rsidRDefault="009B5F40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b/>
                <w:sz w:val="24"/>
                <w:szCs w:val="24"/>
              </w:rPr>
              <w:t>Abstrac</w:t>
            </w: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</w:p>
          <w:p w:rsidR="006C7C44" w:rsidRPr="006F0260" w:rsidRDefault="009B5F40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After reading the </w:t>
            </w: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>abstract what do you expect to learn from the article?</w:t>
            </w:r>
          </w:p>
          <w:p w:rsidR="006C7C44" w:rsidRPr="006F0260" w:rsidRDefault="006C7C44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44" w:rsidRPr="006F0260" w:rsidRDefault="006C7C44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</w:tcPr>
          <w:p w:rsidR="006C7C44" w:rsidRPr="006F0260" w:rsidRDefault="009B5F40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After reading the abstract, I learned that </w:t>
            </w:r>
            <w:r w:rsidR="001A10FE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successful surgery or the operation could contribute to regulation of body weight through the controlled </w:t>
            </w:r>
            <w:r w:rsidR="00756B87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amount of </w:t>
            </w:r>
            <w:r w:rsidR="00CD68E6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glucose in </w:t>
            </w:r>
            <w:r w:rsidR="00EF35DA" w:rsidRPr="006F0260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r w:rsidR="00CD68E6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of diabetes. </w:t>
            </w:r>
            <w:r w:rsidR="00EF35DA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0FE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6" w:type="pct"/>
          </w:tcPr>
          <w:p w:rsidR="006C7C44" w:rsidRPr="006F0260" w:rsidRDefault="009B5F40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>I th</w:t>
            </w: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is article Yoga is simplified as </w:t>
            </w:r>
            <w:r w:rsidR="00355408" w:rsidRPr="006F0260">
              <w:rPr>
                <w:rFonts w:ascii="Times New Roman" w:hAnsi="Times New Roman" w:cs="Times New Roman"/>
                <w:sz w:val="24"/>
                <w:szCs w:val="24"/>
              </w:rPr>
              <w:t>the complementary therapy through which adults or the patients of diabetes can control HAIC. They can change their behavior to the side effects of diabetes</w:t>
            </w:r>
            <w:r w:rsidR="002E2B8B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66C3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408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pct"/>
          </w:tcPr>
          <w:p w:rsidR="006C7C44" w:rsidRPr="006F0260" w:rsidRDefault="009B5F40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The scholarly paper contains </w:t>
            </w:r>
            <w:r w:rsidR="00527B68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an algorithm for the </w:t>
            </w:r>
            <w:r w:rsidR="00775B7A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comprehensive management of a person with diabetes like therapies or </w:t>
            </w:r>
            <w:r w:rsidR="00346960" w:rsidRPr="006F0260">
              <w:rPr>
                <w:rFonts w:ascii="Times New Roman" w:hAnsi="Times New Roman" w:cs="Times New Roman"/>
                <w:sz w:val="24"/>
                <w:szCs w:val="24"/>
              </w:rPr>
              <w:t>through the same type of exercise</w:t>
            </w:r>
            <w:r w:rsidR="00775B7A" w:rsidRPr="006F0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12C1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BD2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It also highlights the </w:t>
            </w:r>
            <w:r w:rsidR="00FA0BD8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prediabetes and obesity where algorithm provides specific </w:t>
            </w:r>
            <w:r w:rsidR="00FA0BD8" w:rsidRPr="006F0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recommendations to control lipid and BP. </w:t>
            </w:r>
            <w:r w:rsidR="00A07BD2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7A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68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ECD" w:rsidTr="006C7C44">
        <w:trPr>
          <w:trHeight w:val="4013"/>
        </w:trPr>
        <w:tc>
          <w:tcPr>
            <w:tcW w:w="1210" w:type="pct"/>
            <w:vAlign w:val="center"/>
          </w:tcPr>
          <w:p w:rsidR="006C7C44" w:rsidRPr="006F0260" w:rsidRDefault="009B5F40" w:rsidP="00C566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Introduction: Summarize the following </w:t>
            </w:r>
            <w:r w:rsidRPr="006F0260">
              <w:rPr>
                <w:rFonts w:ascii="Times New Roman" w:hAnsi="Times New Roman" w:cs="Times New Roman"/>
                <w:b/>
                <w:sz w:val="24"/>
                <w:szCs w:val="24"/>
              </w:rPr>
              <w:t>in paragraph form.</w:t>
            </w:r>
          </w:p>
          <w:p w:rsidR="006C7C44" w:rsidRPr="006F0260" w:rsidRDefault="009B5F40" w:rsidP="006C7C44">
            <w:pPr>
              <w:pStyle w:val="ListParagraph"/>
              <w:numPr>
                <w:ilvl w:val="0"/>
                <w:numId w:val="3"/>
              </w:numPr>
              <w:spacing w:after="0"/>
              <w:rPr>
                <w:szCs w:val="24"/>
              </w:rPr>
            </w:pPr>
            <w:r w:rsidRPr="006F0260">
              <w:rPr>
                <w:szCs w:val="24"/>
              </w:rPr>
              <w:t>What is the purpose of the study?</w:t>
            </w:r>
          </w:p>
          <w:p w:rsidR="006C7C44" w:rsidRPr="006F0260" w:rsidRDefault="009B5F40" w:rsidP="006C7C44">
            <w:pPr>
              <w:pStyle w:val="ListParagraph"/>
              <w:numPr>
                <w:ilvl w:val="0"/>
                <w:numId w:val="3"/>
              </w:numPr>
              <w:spacing w:after="0"/>
              <w:rPr>
                <w:szCs w:val="24"/>
              </w:rPr>
            </w:pPr>
            <w:r w:rsidRPr="006F0260">
              <w:rPr>
                <w:szCs w:val="24"/>
              </w:rPr>
              <w:t>What is the scope of the study?</w:t>
            </w:r>
          </w:p>
          <w:p w:rsidR="006C7C44" w:rsidRPr="006F0260" w:rsidRDefault="009B5F40" w:rsidP="006C7C44">
            <w:pPr>
              <w:pStyle w:val="ListParagraph"/>
              <w:numPr>
                <w:ilvl w:val="0"/>
                <w:numId w:val="3"/>
              </w:numPr>
              <w:spacing w:after="0"/>
              <w:rPr>
                <w:szCs w:val="24"/>
              </w:rPr>
            </w:pPr>
            <w:r w:rsidRPr="006F0260">
              <w:rPr>
                <w:szCs w:val="24"/>
              </w:rPr>
              <w:t>What is the rationale for the study?</w:t>
            </w:r>
          </w:p>
          <w:p w:rsidR="006C7C44" w:rsidRPr="006F0260" w:rsidRDefault="009B5F40" w:rsidP="006C7C44">
            <w:pPr>
              <w:pStyle w:val="ListParagraph"/>
              <w:numPr>
                <w:ilvl w:val="0"/>
                <w:numId w:val="3"/>
              </w:numPr>
              <w:spacing w:after="0"/>
              <w:rPr>
                <w:szCs w:val="24"/>
              </w:rPr>
            </w:pPr>
            <w:r w:rsidRPr="006F0260">
              <w:rPr>
                <w:szCs w:val="24"/>
              </w:rPr>
              <w:t>What is the hypothesis or research question?</w:t>
            </w:r>
          </w:p>
          <w:p w:rsidR="006C7C44" w:rsidRPr="006F0260" w:rsidRDefault="009B5F40" w:rsidP="006C7C44">
            <w:pPr>
              <w:pStyle w:val="ListParagraph"/>
              <w:numPr>
                <w:ilvl w:val="0"/>
                <w:numId w:val="3"/>
              </w:numPr>
              <w:spacing w:after="0"/>
              <w:rPr>
                <w:szCs w:val="24"/>
              </w:rPr>
            </w:pPr>
            <w:r w:rsidRPr="006F0260">
              <w:rPr>
                <w:szCs w:val="24"/>
              </w:rPr>
              <w:t>What key concepts and terms are noted?</w:t>
            </w:r>
          </w:p>
          <w:p w:rsidR="006C7C44" w:rsidRPr="006F0260" w:rsidRDefault="009B5F40" w:rsidP="006C7C44">
            <w:pPr>
              <w:pStyle w:val="ListParagraph"/>
              <w:numPr>
                <w:ilvl w:val="0"/>
                <w:numId w:val="3"/>
              </w:numPr>
              <w:spacing w:after="0"/>
              <w:rPr>
                <w:szCs w:val="24"/>
              </w:rPr>
            </w:pPr>
            <w:r w:rsidRPr="006F0260">
              <w:rPr>
                <w:szCs w:val="24"/>
              </w:rPr>
              <w:t>Is a review of the literature provided?</w:t>
            </w:r>
          </w:p>
          <w:p w:rsidR="006C7C44" w:rsidRPr="006F0260" w:rsidRDefault="006C7C44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44" w:rsidRPr="006F0260" w:rsidRDefault="006C7C44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44" w:rsidRPr="006F0260" w:rsidRDefault="006C7C44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</w:tcPr>
          <w:p w:rsidR="006C7C44" w:rsidRPr="006F0260" w:rsidRDefault="009B5F40" w:rsidP="00EF6B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The purpose of the study is to examine the </w:t>
            </w:r>
            <w:r w:rsidR="00D27F1F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effects of postoperative improvement in physical activity on body weight. </w:t>
            </w:r>
            <w:r w:rsidR="00145D9A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Further, the scope of study incorporates the improvement in body pains along with the regularization of </w:t>
            </w:r>
            <w:r w:rsidR="00424DD1" w:rsidRPr="006F0260"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  <w:r w:rsidR="00145D9A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level in patients of diabetes. </w:t>
            </w:r>
            <w:r w:rsidR="00EF6B18" w:rsidRPr="006F0260">
              <w:rPr>
                <w:rFonts w:ascii="Times New Roman" w:hAnsi="Times New Roman" w:cs="Times New Roman"/>
                <w:sz w:val="24"/>
                <w:szCs w:val="24"/>
              </w:rPr>
              <w:t>The hypothesis contains that physically active lifestyle and participation in organized movements are endorsed as effective and safe aid to medical therapy. The forms of education and training</w:t>
            </w:r>
            <w:r w:rsidR="00087AB6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along with literature review</w:t>
            </w:r>
            <w:r w:rsidR="00EF6B18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incorporate the vigorous intensity and dynamic resistance training which benefited the health of the patient.</w:t>
            </w:r>
            <w:r w:rsidR="00145D9A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F1F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6" w:type="pct"/>
          </w:tcPr>
          <w:p w:rsidR="006C7C44" w:rsidRPr="006F0260" w:rsidRDefault="009B5F40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prevalence of diabetes in well-known fact in the United States and the scholars provide that medication is not enough to achieve glycemic con</w:t>
            </w:r>
            <w:r w:rsidRPr="006F02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trol. They paid significant attention to the issues of stress management, regular exercise, and a sustainable diet. Yoga in this regard is a mindful practice </w:t>
            </w:r>
            <w:r w:rsidR="00BE23E6" w:rsidRPr="006F02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 it is discussed in the literature review and it</w:t>
            </w:r>
            <w:r w:rsidRPr="006F02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is examined under the healthy, active and in co</w:t>
            </w:r>
            <w:r w:rsidRPr="006F02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ntrol study design. The 12-week yoga exercise incorporates stationery cycling and walking. With 3 to 6-months post-intervention, the activity was conducted at the end of 12 weeks of treatment. </w:t>
            </w:r>
            <w:r w:rsidR="00DF7C4E" w:rsidRPr="006F02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A153B0" w:rsidRPr="006F02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274" w:type="pct"/>
          </w:tcPr>
          <w:p w:rsidR="006C7C44" w:rsidRPr="006F0260" w:rsidRDefault="009B5F40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The focus and purpose of this study are to </w:t>
            </w:r>
            <w:r w:rsidR="00476050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unfold the </w:t>
            </w:r>
            <w:r w:rsidR="000824EA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algorithm </w:t>
            </w:r>
            <w:r w:rsidR="00F54C5F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A60A05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new therapy and management of diabetes to reduce the effects of diabetes. </w:t>
            </w:r>
            <w:r w:rsidR="005F3BEB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Medication is no more the permanent solution for countering </w:t>
            </w:r>
            <w:r w:rsidR="00407BFB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diabetes. </w:t>
            </w:r>
            <w:r w:rsidR="004A3B50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Various sections are organized to address increase glucose, </w:t>
            </w:r>
            <w:r w:rsidR="000B2E70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prediabetes, </w:t>
            </w:r>
            <w:r w:rsidR="00335042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lifestyle therapy, and hypertension. </w:t>
            </w:r>
            <w:r w:rsidR="008721DA" w:rsidRPr="006F0260">
              <w:rPr>
                <w:rFonts w:ascii="Times New Roman" w:hAnsi="Times New Roman" w:cs="Times New Roman"/>
                <w:sz w:val="24"/>
                <w:szCs w:val="24"/>
              </w:rPr>
              <w:t>The rationale for this study is that all the classes of antihypertensive medications</w:t>
            </w:r>
            <w:r w:rsidR="004A51A7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and obesity are included in this new research. </w:t>
            </w:r>
            <w:r w:rsidR="005E2183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The literature was provided from </w:t>
            </w:r>
            <w:r w:rsidR="000B08B0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2016 edition of American Association of Endocrinologist and their affiliated college.  </w:t>
            </w:r>
            <w:r w:rsidR="00335042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05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ECD" w:rsidTr="006C7C44">
        <w:trPr>
          <w:trHeight w:val="2222"/>
        </w:trPr>
        <w:tc>
          <w:tcPr>
            <w:tcW w:w="1210" w:type="pct"/>
            <w:vAlign w:val="center"/>
          </w:tcPr>
          <w:p w:rsidR="006C7C44" w:rsidRPr="006F0260" w:rsidRDefault="009B5F40" w:rsidP="00C566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Methods: Summarize the following in paragraph form.</w:t>
            </w:r>
          </w:p>
          <w:p w:rsidR="006C7C44" w:rsidRPr="006F0260" w:rsidRDefault="009B5F40" w:rsidP="006C7C44">
            <w:pPr>
              <w:pStyle w:val="ListParagraph"/>
              <w:numPr>
                <w:ilvl w:val="0"/>
                <w:numId w:val="4"/>
              </w:numPr>
              <w:spacing w:after="0"/>
              <w:rPr>
                <w:szCs w:val="24"/>
              </w:rPr>
            </w:pPr>
            <w:r w:rsidRPr="006F0260">
              <w:rPr>
                <w:szCs w:val="24"/>
              </w:rPr>
              <w:t>What is the population being sampled?</w:t>
            </w:r>
          </w:p>
          <w:p w:rsidR="006C7C44" w:rsidRPr="006F0260" w:rsidRDefault="009B5F40" w:rsidP="006C7C44">
            <w:pPr>
              <w:pStyle w:val="ListParagraph"/>
              <w:numPr>
                <w:ilvl w:val="0"/>
                <w:numId w:val="4"/>
              </w:numPr>
              <w:spacing w:after="0"/>
              <w:rPr>
                <w:szCs w:val="24"/>
              </w:rPr>
            </w:pPr>
            <w:r w:rsidRPr="006F0260">
              <w:rPr>
                <w:szCs w:val="24"/>
              </w:rPr>
              <w:t>What is the data collection procedure presented?</w:t>
            </w:r>
          </w:p>
          <w:p w:rsidR="006C7C44" w:rsidRPr="006F0260" w:rsidRDefault="009B5F40" w:rsidP="006C7C44">
            <w:pPr>
              <w:pStyle w:val="ListParagraph"/>
              <w:numPr>
                <w:ilvl w:val="0"/>
                <w:numId w:val="4"/>
              </w:numPr>
              <w:spacing w:after="0"/>
              <w:rPr>
                <w:szCs w:val="24"/>
              </w:rPr>
            </w:pPr>
            <w:r w:rsidRPr="006F0260">
              <w:rPr>
                <w:szCs w:val="24"/>
              </w:rPr>
              <w:t>What other procedures are described?</w:t>
            </w:r>
          </w:p>
          <w:p w:rsidR="006C7C44" w:rsidRPr="006F0260" w:rsidRDefault="006C7C44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44" w:rsidRPr="006F0260" w:rsidRDefault="006C7C44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</w:tcPr>
          <w:p w:rsidR="006C7C44" w:rsidRPr="006F0260" w:rsidRDefault="009B5F40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The methodology for this article </w:t>
            </w:r>
            <w:r w:rsidR="00B309EA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incorporates 119 patients </w:t>
            </w:r>
            <w:r w:rsidR="00645AB1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with clinical study </w:t>
            </w:r>
            <w:r w:rsidR="00B309EA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for the analysis of decompression surgery. </w:t>
            </w:r>
            <w:r w:rsidR="00645AB1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The procedure was </w:t>
            </w:r>
            <w:r w:rsidR="008023DD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continued for six months </w:t>
            </w:r>
            <w:r w:rsidR="00DD4858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where the VAS score, ODI score, JOA score, JOABPEQ, BMI, </w:t>
            </w:r>
            <w:r w:rsidR="0065344F" w:rsidRPr="006F0260">
              <w:rPr>
                <w:rFonts w:ascii="Times New Roman" w:hAnsi="Times New Roman" w:cs="Times New Roman"/>
                <w:sz w:val="24"/>
                <w:szCs w:val="24"/>
              </w:rPr>
              <w:t>and HbA1c</w:t>
            </w:r>
            <w:r w:rsidR="00DD4858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3E8" w:rsidRPr="006F0260">
              <w:rPr>
                <w:rFonts w:ascii="Times New Roman" w:hAnsi="Times New Roman" w:cs="Times New Roman"/>
                <w:sz w:val="24"/>
                <w:szCs w:val="24"/>
              </w:rPr>
              <w:t>were re-examined at 6 months,</w:t>
            </w:r>
            <w:r w:rsidR="00075BA2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1year and 2 years after the surgery. </w:t>
            </w:r>
            <w:r w:rsidR="00A23E3F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Correlations between the changes in HbA and ODI JOA were also examined.  </w:t>
            </w:r>
            <w:r w:rsidR="00B309EA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6" w:type="pct"/>
          </w:tcPr>
          <w:p w:rsidR="006C7C44" w:rsidRPr="006F0260" w:rsidRDefault="009B5F40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>Heal</w:t>
            </w:r>
            <w:r w:rsidR="001E24B7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thy, Active and in Control </w:t>
            </w:r>
            <w:r w:rsidR="00DE3406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is designed to analyze the feasibility and acceptability of Yoga exercise among patients. </w:t>
            </w:r>
            <w:r w:rsidR="00412A2E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The pilot randomized controlled </w:t>
            </w:r>
            <w:r w:rsidR="007402AD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trial </w:t>
            </w:r>
            <w:r w:rsidR="0020248C" w:rsidRPr="006F0260">
              <w:rPr>
                <w:rFonts w:ascii="Times New Roman" w:hAnsi="Times New Roman" w:cs="Times New Roman"/>
                <w:sz w:val="24"/>
                <w:szCs w:val="24"/>
              </w:rPr>
              <w:t>and qualitative data are collected in focus group</w:t>
            </w:r>
            <w:r w:rsidR="00252625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discussion of program actions. The </w:t>
            </w:r>
            <w:r w:rsidR="00252625" w:rsidRPr="006F02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12-week yoga exercise incorporates stationery cycling and walking. With 3 to 6-months post-intervention, the activity was conducted at the end of 12 weeks of </w:t>
            </w:r>
            <w:r w:rsidR="008E3FF8" w:rsidRPr="006F02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management</w:t>
            </w:r>
            <w:r w:rsidR="00252625" w:rsidRPr="006F02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8E3FF8" w:rsidRPr="006F02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4" w:type="pct"/>
          </w:tcPr>
          <w:p w:rsidR="006C7C44" w:rsidRPr="006F0260" w:rsidRDefault="009B5F40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With the secondary data and qualitative approach, the authors have chosen principle guidelines of clinical practices for developing a diabetes mellitus </w:t>
            </w:r>
            <w:r w:rsidR="001F0E39" w:rsidRPr="006F0260">
              <w:rPr>
                <w:rFonts w:ascii="Times New Roman" w:hAnsi="Times New Roman" w:cs="Times New Roman"/>
                <w:sz w:val="24"/>
                <w:szCs w:val="24"/>
              </w:rPr>
              <w:t>comprehensive</w:t>
            </w: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plan.</w:t>
            </w:r>
            <w:r w:rsidR="001F0E39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C92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These guidelines were organized into discrete sections </w:t>
            </w:r>
            <w:r w:rsidR="008B38F2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and a chart summarizing the attributes of </w:t>
            </w:r>
            <w:r w:rsidR="007455E2" w:rsidRPr="006F0260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  <w:r w:rsidR="00484DB9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="007455E2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hyperglycemic</w:t>
            </w:r>
            <w:r w:rsidR="00D40418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class along with the principle of algorithms. </w:t>
            </w:r>
            <w:r w:rsidR="008B38F2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ECD" w:rsidTr="006C7C44">
        <w:trPr>
          <w:trHeight w:val="432"/>
        </w:trPr>
        <w:tc>
          <w:tcPr>
            <w:tcW w:w="1210" w:type="pct"/>
            <w:vAlign w:val="center"/>
          </w:tcPr>
          <w:p w:rsidR="006C7C44" w:rsidRPr="006F0260" w:rsidRDefault="009B5F40" w:rsidP="00C566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b/>
                <w:sz w:val="24"/>
                <w:szCs w:val="24"/>
              </w:rPr>
              <w:t>Results: Summarize the following in paragraph form.</w:t>
            </w:r>
          </w:p>
          <w:p w:rsidR="006C7C44" w:rsidRPr="006F0260" w:rsidRDefault="009B5F40" w:rsidP="006C7C44">
            <w:pPr>
              <w:pStyle w:val="ListParagraph"/>
              <w:numPr>
                <w:ilvl w:val="0"/>
                <w:numId w:val="5"/>
              </w:numPr>
              <w:spacing w:after="0"/>
              <w:rPr>
                <w:szCs w:val="24"/>
              </w:rPr>
            </w:pPr>
            <w:r w:rsidRPr="006F0260">
              <w:rPr>
                <w:szCs w:val="24"/>
              </w:rPr>
              <w:t>What are the given findings?</w:t>
            </w:r>
          </w:p>
          <w:p w:rsidR="006C7C44" w:rsidRPr="006F0260" w:rsidRDefault="009B5F40" w:rsidP="006C7C44">
            <w:pPr>
              <w:pStyle w:val="ListParagraph"/>
              <w:numPr>
                <w:ilvl w:val="0"/>
                <w:numId w:val="5"/>
              </w:numPr>
              <w:spacing w:after="0"/>
              <w:rPr>
                <w:szCs w:val="24"/>
              </w:rPr>
            </w:pPr>
            <w:r w:rsidRPr="006F0260">
              <w:rPr>
                <w:szCs w:val="24"/>
              </w:rPr>
              <w:t>How was data collected?</w:t>
            </w:r>
          </w:p>
          <w:p w:rsidR="006C7C44" w:rsidRPr="006F0260" w:rsidRDefault="009B5F40" w:rsidP="006C7C44">
            <w:pPr>
              <w:pStyle w:val="ListParagraph"/>
              <w:numPr>
                <w:ilvl w:val="0"/>
                <w:numId w:val="5"/>
              </w:numPr>
              <w:spacing w:after="0"/>
              <w:rPr>
                <w:szCs w:val="24"/>
              </w:rPr>
            </w:pPr>
            <w:r w:rsidRPr="006F0260">
              <w:rPr>
                <w:szCs w:val="24"/>
              </w:rPr>
              <w:t>Do graphs and charts support the findings?</w:t>
            </w:r>
          </w:p>
          <w:p w:rsidR="006C7C44" w:rsidRPr="006F0260" w:rsidRDefault="009B5F40" w:rsidP="006C7C44">
            <w:pPr>
              <w:pStyle w:val="ListParagraph"/>
              <w:numPr>
                <w:ilvl w:val="0"/>
                <w:numId w:val="5"/>
              </w:numPr>
              <w:spacing w:after="0"/>
              <w:rPr>
                <w:b/>
                <w:szCs w:val="24"/>
              </w:rPr>
            </w:pPr>
            <w:r w:rsidRPr="006F0260">
              <w:rPr>
                <w:szCs w:val="24"/>
              </w:rPr>
              <w:t xml:space="preserve">What does the analysis of </w:t>
            </w:r>
            <w:r w:rsidRPr="006F0260">
              <w:rPr>
                <w:szCs w:val="24"/>
              </w:rPr>
              <w:t>data state?</w:t>
            </w:r>
          </w:p>
        </w:tc>
        <w:tc>
          <w:tcPr>
            <w:tcW w:w="1210" w:type="pct"/>
          </w:tcPr>
          <w:p w:rsidR="006C7C44" w:rsidRPr="006F0260" w:rsidRDefault="009B5F40" w:rsidP="009E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The entire values of the </w:t>
            </w:r>
            <w:r w:rsidR="001F601F" w:rsidRPr="006F0260">
              <w:rPr>
                <w:rFonts w:ascii="Times New Roman" w:hAnsi="Times New Roman" w:cs="Times New Roman"/>
                <w:sz w:val="24"/>
                <w:szCs w:val="24"/>
              </w:rPr>
              <w:t>HbA1c before and after the 6 month, 1 year and 2 years of surgery were estimated as 7.08±0.94%, 6.58±0.87%, 6.59±0.79%, and 6.59±0.79%, respectively (p-values; 6 months: .024; 1 year: .021; 2 years: .038)</w:t>
            </w:r>
            <w:r w:rsidR="00B2170B" w:rsidRPr="006F0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F18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The group with overweight reflect the significant BMI reduction in the </w:t>
            </w:r>
            <w:r w:rsidR="009E2F18" w:rsidRPr="006F0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second year after the surgery. </w:t>
            </w:r>
            <w:r w:rsidR="000326DA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An analysis shows </w:t>
            </w:r>
            <w:r w:rsidR="00E33F0B" w:rsidRPr="006F0260">
              <w:rPr>
                <w:rFonts w:ascii="Times New Roman" w:hAnsi="Times New Roman" w:cs="Times New Roman"/>
                <w:sz w:val="24"/>
                <w:szCs w:val="24"/>
              </w:rPr>
              <w:t>significant</w:t>
            </w:r>
            <w:r w:rsidR="000326DA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F0B" w:rsidRPr="006F0260">
              <w:rPr>
                <w:rFonts w:ascii="Times New Roman" w:hAnsi="Times New Roman" w:cs="Times New Roman"/>
                <w:sz w:val="24"/>
                <w:szCs w:val="24"/>
              </w:rPr>
              <w:t>improvement</w:t>
            </w:r>
            <w:r w:rsidR="000326DA" w:rsidRPr="006F0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6DA" w:rsidRPr="006F0260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 xml:space="preserve"> </w:t>
            </w:r>
            <w:r w:rsidR="00284025" w:rsidRPr="006F0260">
              <w:rPr>
                <w:rFonts w:ascii="Times New Roman" w:hAnsi="Times New Roman" w:cs="Times New Roman"/>
                <w:color w:val="505050"/>
                <w:sz w:val="24"/>
                <w:szCs w:val="24"/>
              </w:rPr>
              <w:t xml:space="preserve"> </w:t>
            </w:r>
          </w:p>
        </w:tc>
        <w:tc>
          <w:tcPr>
            <w:tcW w:w="1306" w:type="pct"/>
          </w:tcPr>
          <w:p w:rsidR="006C7C44" w:rsidRPr="006F0260" w:rsidRDefault="009B5F40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finding of this article </w:t>
            </w:r>
            <w:r w:rsidR="003B1916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provides that </w:t>
            </w:r>
            <w:r w:rsidR="00C210A8" w:rsidRPr="006F02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the satisfaction, retention, and attendance of glycemic outcomes like the blood glucose, fasting blood glucose and HbA1c are related with an </w:t>
            </w:r>
            <w:r w:rsidR="0036148C" w:rsidRPr="006F02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exercise</w:t>
            </w:r>
            <w:r w:rsidR="00C210A8" w:rsidRPr="006F02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of yoga. The changes in the physiological and behavioral factors are </w:t>
            </w:r>
            <w:r w:rsidR="00711D51" w:rsidRPr="006F02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connected</w:t>
            </w:r>
            <w:r w:rsidR="00C210A8" w:rsidRPr="006F02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to the intervention of type 2 diabetes. At the end of the response, the study showed for the </w:t>
            </w:r>
            <w:r w:rsidR="00C210A8" w:rsidRPr="006F02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exploration of participants’ views for the program and their potential for the utility of yoga in managing diabetes</w:t>
            </w:r>
            <w:r w:rsidR="00711D51" w:rsidRPr="006F02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274" w:type="pct"/>
          </w:tcPr>
          <w:p w:rsidR="006C7C44" w:rsidRPr="006F0260" w:rsidRDefault="009B5F40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outcome of this research reflected that </w:t>
            </w:r>
            <w:r w:rsidR="00626504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lifestyle optimization </w:t>
            </w:r>
            <w:r w:rsidR="007303DE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is essential for all aspects of diabetes. </w:t>
            </w:r>
            <w:r w:rsidR="00FB28B8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A target of hemoglobin should be </w:t>
            </w:r>
            <w:r w:rsidR="00D32A99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individualized based on factors of a duration of diabetes, </w:t>
            </w:r>
            <w:r w:rsidR="00916E77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comorbid conditions and the life expectancy. </w:t>
            </w:r>
            <w:r w:rsidR="00EC43B5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Minimum risk of weight gain and the cost of medications can be controlled through </w:t>
            </w:r>
            <w:r w:rsidR="00F77D27" w:rsidRPr="006F0260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  <w:r w:rsidR="00EC43B5" w:rsidRPr="006F0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D27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3B5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6E77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A99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8B8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ECD" w:rsidTr="006C7C44">
        <w:trPr>
          <w:trHeight w:val="432"/>
        </w:trPr>
        <w:tc>
          <w:tcPr>
            <w:tcW w:w="1210" w:type="pct"/>
            <w:vAlign w:val="center"/>
          </w:tcPr>
          <w:p w:rsidR="006C7C44" w:rsidRPr="006F0260" w:rsidRDefault="009B5F40" w:rsidP="00C566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Conclusion: Summarize in paragraph form.</w:t>
            </w:r>
          </w:p>
          <w:p w:rsidR="006C7C44" w:rsidRPr="006F0260" w:rsidRDefault="009B5F40" w:rsidP="006C7C44">
            <w:pPr>
              <w:pStyle w:val="ListParagraph"/>
              <w:numPr>
                <w:ilvl w:val="0"/>
                <w:numId w:val="6"/>
              </w:numPr>
              <w:spacing w:after="0"/>
              <w:rPr>
                <w:szCs w:val="24"/>
              </w:rPr>
            </w:pPr>
            <w:r w:rsidRPr="006F0260">
              <w:rPr>
                <w:szCs w:val="24"/>
              </w:rPr>
              <w:t xml:space="preserve">What is the summary </w:t>
            </w:r>
            <w:r w:rsidRPr="006F0260">
              <w:rPr>
                <w:szCs w:val="24"/>
              </w:rPr>
              <w:t>of the study?</w:t>
            </w:r>
          </w:p>
          <w:p w:rsidR="006C7C44" w:rsidRPr="006F0260" w:rsidRDefault="009B5F40" w:rsidP="006C7C44">
            <w:pPr>
              <w:pStyle w:val="ListParagraph"/>
              <w:numPr>
                <w:ilvl w:val="0"/>
                <w:numId w:val="6"/>
              </w:numPr>
              <w:spacing w:after="0"/>
              <w:rPr>
                <w:szCs w:val="24"/>
              </w:rPr>
            </w:pPr>
            <w:r w:rsidRPr="006F0260">
              <w:rPr>
                <w:szCs w:val="24"/>
              </w:rPr>
              <w:t>What is the conclusion of the hypothesis?</w:t>
            </w:r>
          </w:p>
          <w:p w:rsidR="006C7C44" w:rsidRPr="006F0260" w:rsidRDefault="009B5F40" w:rsidP="006C7C44">
            <w:pPr>
              <w:pStyle w:val="ListParagraph"/>
              <w:numPr>
                <w:ilvl w:val="0"/>
                <w:numId w:val="6"/>
              </w:numPr>
              <w:spacing w:after="0"/>
              <w:rPr>
                <w:szCs w:val="24"/>
              </w:rPr>
            </w:pPr>
            <w:r w:rsidRPr="006F0260">
              <w:rPr>
                <w:szCs w:val="24"/>
              </w:rPr>
              <w:t>What are the questions for future research?</w:t>
            </w:r>
          </w:p>
        </w:tc>
        <w:tc>
          <w:tcPr>
            <w:tcW w:w="1210" w:type="pct"/>
          </w:tcPr>
          <w:p w:rsidR="006C7C44" w:rsidRPr="006F0260" w:rsidRDefault="009B5F40" w:rsidP="002F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The research article provides that patient with diabetes can control their weight and pains in back and legs through the structured exercises and surgery. </w:t>
            </w:r>
            <w:r w:rsidR="009D45D8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Body weight can also be reduced through LSS and physical movement. </w:t>
            </w: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6" w:type="pct"/>
          </w:tcPr>
          <w:p w:rsidR="006C7C44" w:rsidRPr="006F0260" w:rsidRDefault="009B5F40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>The authors discuss behavioral and social factors associated with diabetes</w:t>
            </w:r>
            <w:r w:rsidR="00ED72FF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0C3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Perception of the participants was changed after potential utility of </w:t>
            </w:r>
            <w:r w:rsidR="00052714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yoga </w:t>
            </w:r>
            <w:r w:rsidR="00787B30" w:rsidRPr="006F0260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r w:rsidR="00052714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7B30" w:rsidRPr="006F0260">
              <w:rPr>
                <w:rFonts w:ascii="Times New Roman" w:hAnsi="Times New Roman" w:cs="Times New Roman"/>
                <w:sz w:val="24"/>
                <w:szCs w:val="24"/>
              </w:rPr>
              <w:t>It regulated the body's glucose and overall management of diabetes.</w:t>
            </w:r>
          </w:p>
        </w:tc>
        <w:tc>
          <w:tcPr>
            <w:tcW w:w="1274" w:type="pct"/>
          </w:tcPr>
          <w:p w:rsidR="006C7C44" w:rsidRPr="006F0260" w:rsidRDefault="009B5F40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DD5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873A9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development of an algorithm for the management of </w:t>
            </w:r>
            <w:r w:rsidR="0057777F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diabetes patients </w:t>
            </w:r>
            <w:r w:rsidR="00D43734" w:rsidRPr="006F0260">
              <w:rPr>
                <w:rFonts w:ascii="Times New Roman" w:hAnsi="Times New Roman" w:cs="Times New Roman"/>
                <w:sz w:val="24"/>
                <w:szCs w:val="24"/>
              </w:rPr>
              <w:t>will be significan</w:t>
            </w:r>
            <w:r w:rsidR="00A30E71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t. It will be a practical guide for risks of spectrum and complications </w:t>
            </w:r>
            <w:r w:rsidR="00F03F75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associated with diabetes. </w:t>
            </w:r>
            <w:r w:rsidR="00396FE2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Evidence-based approaches are essential </w:t>
            </w:r>
            <w:r w:rsidR="006323EE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for countering the type 2 diabetes. </w:t>
            </w:r>
            <w:r w:rsidR="00847DD5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ECD" w:rsidTr="006C7C44">
        <w:trPr>
          <w:trHeight w:val="432"/>
        </w:trPr>
        <w:tc>
          <w:tcPr>
            <w:tcW w:w="1210" w:type="pct"/>
            <w:vAlign w:val="center"/>
          </w:tcPr>
          <w:p w:rsidR="006C7C44" w:rsidRPr="006F0260" w:rsidRDefault="009B5F40" w:rsidP="00C566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  <w:p w:rsidR="006C7C44" w:rsidRPr="006F0260" w:rsidRDefault="009B5F40" w:rsidP="006C7C44">
            <w:pPr>
              <w:pStyle w:val="ListParagraph"/>
              <w:numPr>
                <w:ilvl w:val="0"/>
                <w:numId w:val="7"/>
              </w:numPr>
              <w:spacing w:after="0"/>
              <w:rPr>
                <w:szCs w:val="24"/>
              </w:rPr>
            </w:pPr>
            <w:r w:rsidRPr="006F0260">
              <w:rPr>
                <w:szCs w:val="24"/>
              </w:rPr>
              <w:t>What is the total number of references used in the study?</w:t>
            </w:r>
          </w:p>
          <w:p w:rsidR="006C7C44" w:rsidRPr="006F0260" w:rsidRDefault="009B5F40" w:rsidP="006C7C44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  <w:szCs w:val="24"/>
              </w:rPr>
            </w:pPr>
            <w:r w:rsidRPr="006F0260">
              <w:rPr>
                <w:szCs w:val="24"/>
              </w:rPr>
              <w:t>List two of the references used</w:t>
            </w:r>
            <w:r w:rsidRPr="006F0260">
              <w:rPr>
                <w:b/>
                <w:szCs w:val="24"/>
              </w:rPr>
              <w:t>.</w:t>
            </w:r>
          </w:p>
        </w:tc>
        <w:tc>
          <w:tcPr>
            <w:tcW w:w="1210" w:type="pct"/>
          </w:tcPr>
          <w:p w:rsidR="006C7C44" w:rsidRPr="006F0260" w:rsidRDefault="009B5F40" w:rsidP="00A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Department of Neurosurgery, Seoul National University Hospital, 101, Daehak-Ro, Jongno-gu, Seoul </w:t>
            </w: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>03080, Republic of Korea</w:t>
            </w:r>
          </w:p>
          <w:p w:rsidR="0075283C" w:rsidRPr="006F0260" w:rsidRDefault="009B5F40" w:rsidP="00A1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>Department of Rehabilitation Medicine, Dongsan Medical Center, School of Medicine, Keimyung University, 56, Dalseong-ro, Jung-gu, Daegu 41931, Republic of Korea</w:t>
            </w:r>
            <w:r w:rsidR="00957495" w:rsidRPr="006F0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6" w:type="pct"/>
          </w:tcPr>
          <w:p w:rsidR="006C7C44" w:rsidRPr="006F0260" w:rsidRDefault="009B5F40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>National Center for Complementary and Integrative Health of the Natio</w:t>
            </w: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>nal Institutes of Health under award number R21AT008830 to principal investigator Dr. Beth Bock</w:t>
            </w:r>
          </w:p>
          <w:p w:rsidR="001A1FE0" w:rsidRPr="006F0260" w:rsidRDefault="009B5F40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U.S. Department of Health &amp; Human Services, Centers for Disease Control and Prevention. (2016). At a glance 2016. Diabetes: Working to reverse the US epidemic. </w:t>
            </w: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National Center for Chronic </w:t>
            </w:r>
            <w:r w:rsidRPr="006F0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Disease Prevention and Health Promotion. </w:t>
            </w:r>
          </w:p>
        </w:tc>
        <w:tc>
          <w:tcPr>
            <w:tcW w:w="1274" w:type="pct"/>
          </w:tcPr>
          <w:p w:rsidR="006C7C44" w:rsidRPr="006F0260" w:rsidRDefault="009B5F40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American Association of Clinical Endocrinologists and American College of Endocrinology: clinical practice guidelines for developing a diabetes me</w:t>
            </w:r>
            <w:r w:rsidR="004F2A2E"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llitus comprehensive care plan </w:t>
            </w: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  <w:p w:rsidR="004C3B62" w:rsidRPr="006F0260" w:rsidRDefault="009B5F40" w:rsidP="00C5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60">
              <w:rPr>
                <w:rFonts w:ascii="Times New Roman" w:hAnsi="Times New Roman" w:cs="Times New Roman"/>
                <w:sz w:val="24"/>
                <w:szCs w:val="24"/>
              </w:rPr>
              <w:t xml:space="preserve">Impact of intensive lifestyle and metformin therapy on cardiovascular disease risk factors in the diabetes prevention program. Diabetes Care </w:t>
            </w:r>
            <w:r w:rsidR="004056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7D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C67B5" w:rsidRDefault="002C67B5" w:rsidP="002D4CE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7B5" w:rsidRDefault="002C6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77B" w:rsidRDefault="009B5F40" w:rsidP="002D4CE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260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8C15D4" w:rsidRPr="00A879AF" w:rsidRDefault="009B5F40" w:rsidP="00D64C3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79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Busetto, L., Luijkx, K. G., Elissen, A. M. J., &amp; Vrijhoef, H. J. M. (2016). Intervention types and</w:t>
      </w:r>
      <w:r w:rsidRPr="00A879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outcomes of integrated care for diabetes mellitus type 2: a systematic review. </w:t>
      </w:r>
      <w:r w:rsidRPr="00A879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evaluation in clinical practice</w:t>
      </w:r>
      <w:r w:rsidRPr="00A879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879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22</w:t>
      </w:r>
      <w:r w:rsidRPr="00A879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299-310.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C15D4" w:rsidRPr="00A879AF" w:rsidRDefault="009B5F40" w:rsidP="00D64C3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79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Garber, A. J., Abrahamson, M. J., Barzilay, J. I., Blonde, L., Bloomgarden, Z. T., Bush, M. A., ... &amp;</w:t>
      </w:r>
      <w:r w:rsidRPr="00A879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Garber, J. R. (2016). A consensus statement by the American Association of Clinical Endocrinologists and American College of Endocrinology on the comprehensive type 2 diabetes management algorithm–2016 executive summary. </w:t>
      </w:r>
      <w:r w:rsidRPr="00A879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Endocrine Practice</w:t>
      </w:r>
      <w:r w:rsidRPr="00A879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879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22</w:t>
      </w:r>
      <w:r w:rsidRPr="00A879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84-113.</w:t>
      </w:r>
    </w:p>
    <w:p w:rsidR="008C15D4" w:rsidRPr="00A879AF" w:rsidRDefault="009B5F40" w:rsidP="003569A9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79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Kim, K. T., Cho, D. C., Sung, J. K., Kim, C. H., Kang, H., &amp; Kim, D. H. (2017). Changes in HbA1c levels and body mass index after successful decompression surgery in patients with type 2 diabetes mellitus and lumbar spinal stenosis: results of a 2-year fo</w:t>
      </w:r>
      <w:r w:rsidRPr="00A879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llow-up study. </w:t>
      </w:r>
      <w:r w:rsidRPr="00A879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Spine Journal</w:t>
      </w:r>
      <w:r w:rsidRPr="00A879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879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</w:t>
      </w:r>
      <w:r w:rsidRPr="00A879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203-210.</w:t>
      </w:r>
    </w:p>
    <w:p w:rsidR="008C15D4" w:rsidRPr="00A879AF" w:rsidRDefault="009B5F40" w:rsidP="00D64C3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79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Thind, H., Fava, J. L., Guthrie, K. M., Stroud, L., Gopalakrishnan, G., Sillice, M., &amp;</w:t>
      </w:r>
      <w:r w:rsidRPr="00A879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Bock, B. C. (2018). Yoga as a Complementary Therapy for Adults with Type 2 Diabetes: Design and Rationale of the Healthy, Active, and Control (HA1C) Study. </w:t>
      </w:r>
      <w:r w:rsidRPr="00A879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yoga therapy</w:t>
      </w:r>
      <w:r w:rsidRPr="00A879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A879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28</w:t>
      </w:r>
      <w:r w:rsidRPr="00A879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(1), 123-132.   </w:t>
      </w:r>
      <w:r w:rsidR="004B35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D30E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F459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Pr="00A879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</w:t>
      </w:r>
      <w:r w:rsidR="009645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5153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4707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F215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E046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</w:t>
      </w:r>
      <w:r w:rsidR="00274C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Pr="00A879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</w:p>
    <w:p w:rsidR="00C70E39" w:rsidRPr="0035280B" w:rsidRDefault="00C70E39" w:rsidP="0035280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F0260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177B" w:rsidRPr="006F0260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40" w:rsidRDefault="009B5F40">
      <w:pPr>
        <w:spacing w:after="0" w:line="240" w:lineRule="auto"/>
      </w:pPr>
      <w:r>
        <w:separator/>
      </w:r>
    </w:p>
  </w:endnote>
  <w:endnote w:type="continuationSeparator" w:id="0">
    <w:p w:rsidR="009B5F40" w:rsidRDefault="009B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40" w:rsidRDefault="009B5F40">
      <w:pPr>
        <w:spacing w:after="0" w:line="240" w:lineRule="auto"/>
      </w:pPr>
      <w:r>
        <w:separator/>
      </w:r>
    </w:p>
  </w:footnote>
  <w:footnote w:type="continuationSeparator" w:id="0">
    <w:p w:rsidR="009B5F40" w:rsidRDefault="009B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9B5F40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Health Care &amp; Nursing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08D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9B5F40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Health Care &amp; Nursing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D008D0">
      <w:rPr>
        <w:rFonts w:ascii="Times New Roman" w:hAnsi="Times New Roman" w:cs="Times New Roman"/>
        <w:noProof/>
        <w:sz w:val="24"/>
        <w:szCs w:val="24"/>
      </w:rPr>
      <w:t>7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11DF"/>
    <w:multiLevelType w:val="hybridMultilevel"/>
    <w:tmpl w:val="A1187E0E"/>
    <w:lvl w:ilvl="0" w:tplc="80827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4B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A06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2D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89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FA3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6B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CE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8E2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1F90"/>
    <w:multiLevelType w:val="hybridMultilevel"/>
    <w:tmpl w:val="AD7887E6"/>
    <w:lvl w:ilvl="0" w:tplc="116A724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C1382D9C" w:tentative="1">
      <w:start w:val="1"/>
      <w:numFmt w:val="lowerLetter"/>
      <w:lvlText w:val="%2."/>
      <w:lvlJc w:val="left"/>
      <w:pPr>
        <w:ind w:left="1440" w:hanging="360"/>
      </w:pPr>
    </w:lvl>
    <w:lvl w:ilvl="2" w:tplc="480EB64C" w:tentative="1">
      <w:start w:val="1"/>
      <w:numFmt w:val="lowerRoman"/>
      <w:lvlText w:val="%3."/>
      <w:lvlJc w:val="right"/>
      <w:pPr>
        <w:ind w:left="2160" w:hanging="180"/>
      </w:pPr>
    </w:lvl>
    <w:lvl w:ilvl="3" w:tplc="26A6F012" w:tentative="1">
      <w:start w:val="1"/>
      <w:numFmt w:val="decimal"/>
      <w:lvlText w:val="%4."/>
      <w:lvlJc w:val="left"/>
      <w:pPr>
        <w:ind w:left="2880" w:hanging="360"/>
      </w:pPr>
    </w:lvl>
    <w:lvl w:ilvl="4" w:tplc="62D267B2" w:tentative="1">
      <w:start w:val="1"/>
      <w:numFmt w:val="lowerLetter"/>
      <w:lvlText w:val="%5."/>
      <w:lvlJc w:val="left"/>
      <w:pPr>
        <w:ind w:left="3600" w:hanging="360"/>
      </w:pPr>
    </w:lvl>
    <w:lvl w:ilvl="5" w:tplc="A0E01BA4" w:tentative="1">
      <w:start w:val="1"/>
      <w:numFmt w:val="lowerRoman"/>
      <w:lvlText w:val="%6."/>
      <w:lvlJc w:val="right"/>
      <w:pPr>
        <w:ind w:left="4320" w:hanging="180"/>
      </w:pPr>
    </w:lvl>
    <w:lvl w:ilvl="6" w:tplc="DFBA7BEE" w:tentative="1">
      <w:start w:val="1"/>
      <w:numFmt w:val="decimal"/>
      <w:lvlText w:val="%7."/>
      <w:lvlJc w:val="left"/>
      <w:pPr>
        <w:ind w:left="5040" w:hanging="360"/>
      </w:pPr>
    </w:lvl>
    <w:lvl w:ilvl="7" w:tplc="BA0618B8" w:tentative="1">
      <w:start w:val="1"/>
      <w:numFmt w:val="lowerLetter"/>
      <w:lvlText w:val="%8."/>
      <w:lvlJc w:val="left"/>
      <w:pPr>
        <w:ind w:left="5760" w:hanging="360"/>
      </w:pPr>
    </w:lvl>
    <w:lvl w:ilvl="8" w:tplc="A23A3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533D6"/>
    <w:multiLevelType w:val="hybridMultilevel"/>
    <w:tmpl w:val="A6905922"/>
    <w:lvl w:ilvl="0" w:tplc="3FAAD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8A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498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AA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2C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92E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893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4A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940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2386A"/>
    <w:multiLevelType w:val="hybridMultilevel"/>
    <w:tmpl w:val="00DAEFA6"/>
    <w:lvl w:ilvl="0" w:tplc="6B4EF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66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A65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8C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AA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923A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E5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6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0AA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51C1D"/>
    <w:multiLevelType w:val="hybridMultilevel"/>
    <w:tmpl w:val="97D430D0"/>
    <w:lvl w:ilvl="0" w:tplc="12466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0AA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3A8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21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CD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F60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AD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A8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981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4586"/>
    <w:multiLevelType w:val="hybridMultilevel"/>
    <w:tmpl w:val="E968E092"/>
    <w:lvl w:ilvl="0" w:tplc="D4461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08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DA6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0C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840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069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89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2E0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0D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401AF"/>
    <w:multiLevelType w:val="hybridMultilevel"/>
    <w:tmpl w:val="945E4556"/>
    <w:lvl w:ilvl="0" w:tplc="04987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994F3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C4B5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1843E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066E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76F3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6FE35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125D6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E8879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xMTU2MDGzMDdV0lEKTi0uzszPAykwqQUAopxoqiwAAAA="/>
  </w:docVars>
  <w:rsids>
    <w:rsidRoot w:val="0008177B"/>
    <w:rsid w:val="00024ABE"/>
    <w:rsid w:val="000326DA"/>
    <w:rsid w:val="00052714"/>
    <w:rsid w:val="00075BA2"/>
    <w:rsid w:val="0008177B"/>
    <w:rsid w:val="000824EA"/>
    <w:rsid w:val="00087992"/>
    <w:rsid w:val="00087AB6"/>
    <w:rsid w:val="000B08B0"/>
    <w:rsid w:val="000B2E70"/>
    <w:rsid w:val="000B5D3C"/>
    <w:rsid w:val="000E0FF9"/>
    <w:rsid w:val="00102B98"/>
    <w:rsid w:val="0010778F"/>
    <w:rsid w:val="00130A33"/>
    <w:rsid w:val="001318B1"/>
    <w:rsid w:val="00141074"/>
    <w:rsid w:val="00141FF7"/>
    <w:rsid w:val="00145D9A"/>
    <w:rsid w:val="00187C02"/>
    <w:rsid w:val="00193166"/>
    <w:rsid w:val="001A02CC"/>
    <w:rsid w:val="001A10FE"/>
    <w:rsid w:val="001A1FE0"/>
    <w:rsid w:val="001D324A"/>
    <w:rsid w:val="001D72A8"/>
    <w:rsid w:val="001E24B7"/>
    <w:rsid w:val="001F0E39"/>
    <w:rsid w:val="001F601F"/>
    <w:rsid w:val="001F761B"/>
    <w:rsid w:val="0020248C"/>
    <w:rsid w:val="00205BFF"/>
    <w:rsid w:val="00216C92"/>
    <w:rsid w:val="002500C3"/>
    <w:rsid w:val="00252625"/>
    <w:rsid w:val="002632C3"/>
    <w:rsid w:val="00264C0A"/>
    <w:rsid w:val="00267851"/>
    <w:rsid w:val="00274C28"/>
    <w:rsid w:val="00274F25"/>
    <w:rsid w:val="002777E7"/>
    <w:rsid w:val="00284025"/>
    <w:rsid w:val="002A36EE"/>
    <w:rsid w:val="002C18D3"/>
    <w:rsid w:val="002C2E26"/>
    <w:rsid w:val="002C67B5"/>
    <w:rsid w:val="002D3CC4"/>
    <w:rsid w:val="002D4CEF"/>
    <w:rsid w:val="002E2B8B"/>
    <w:rsid w:val="002F4D63"/>
    <w:rsid w:val="002F6347"/>
    <w:rsid w:val="00335042"/>
    <w:rsid w:val="0034125C"/>
    <w:rsid w:val="00346960"/>
    <w:rsid w:val="0035280B"/>
    <w:rsid w:val="00355408"/>
    <w:rsid w:val="003569A9"/>
    <w:rsid w:val="0036148C"/>
    <w:rsid w:val="00364E87"/>
    <w:rsid w:val="00396FE2"/>
    <w:rsid w:val="003B1916"/>
    <w:rsid w:val="003D27C7"/>
    <w:rsid w:val="003E10F2"/>
    <w:rsid w:val="004056EA"/>
    <w:rsid w:val="00405A76"/>
    <w:rsid w:val="004078D0"/>
    <w:rsid w:val="00407BFB"/>
    <w:rsid w:val="00412A2E"/>
    <w:rsid w:val="00413AF3"/>
    <w:rsid w:val="00415B34"/>
    <w:rsid w:val="00417207"/>
    <w:rsid w:val="00417A03"/>
    <w:rsid w:val="00424DD1"/>
    <w:rsid w:val="00444215"/>
    <w:rsid w:val="0045649D"/>
    <w:rsid w:val="004707E9"/>
    <w:rsid w:val="00471063"/>
    <w:rsid w:val="00476050"/>
    <w:rsid w:val="00484DB9"/>
    <w:rsid w:val="004A07E8"/>
    <w:rsid w:val="004A3B50"/>
    <w:rsid w:val="004A51A7"/>
    <w:rsid w:val="004B28BE"/>
    <w:rsid w:val="004B3563"/>
    <w:rsid w:val="004C252B"/>
    <w:rsid w:val="004C3B62"/>
    <w:rsid w:val="004C4DB2"/>
    <w:rsid w:val="004C6AF7"/>
    <w:rsid w:val="004F2A2E"/>
    <w:rsid w:val="004F34DB"/>
    <w:rsid w:val="004F4ABE"/>
    <w:rsid w:val="00502A82"/>
    <w:rsid w:val="005153CF"/>
    <w:rsid w:val="0051683D"/>
    <w:rsid w:val="00527B68"/>
    <w:rsid w:val="0053630B"/>
    <w:rsid w:val="00550EFD"/>
    <w:rsid w:val="0056031B"/>
    <w:rsid w:val="0057777F"/>
    <w:rsid w:val="005C20F1"/>
    <w:rsid w:val="005D1AFF"/>
    <w:rsid w:val="005D65F2"/>
    <w:rsid w:val="005E2183"/>
    <w:rsid w:val="005F3BEB"/>
    <w:rsid w:val="00626504"/>
    <w:rsid w:val="006323EE"/>
    <w:rsid w:val="006412C1"/>
    <w:rsid w:val="0064535F"/>
    <w:rsid w:val="00645AB1"/>
    <w:rsid w:val="00647FCC"/>
    <w:rsid w:val="0065344F"/>
    <w:rsid w:val="00657470"/>
    <w:rsid w:val="00694ECD"/>
    <w:rsid w:val="006A16D7"/>
    <w:rsid w:val="006C7C44"/>
    <w:rsid w:val="006D1815"/>
    <w:rsid w:val="006D265C"/>
    <w:rsid w:val="006F0260"/>
    <w:rsid w:val="006F2633"/>
    <w:rsid w:val="00703C09"/>
    <w:rsid w:val="00711D51"/>
    <w:rsid w:val="007303DE"/>
    <w:rsid w:val="007402AD"/>
    <w:rsid w:val="007455E2"/>
    <w:rsid w:val="0075283C"/>
    <w:rsid w:val="00756B87"/>
    <w:rsid w:val="00775B7A"/>
    <w:rsid w:val="0078434F"/>
    <w:rsid w:val="00787B30"/>
    <w:rsid w:val="007D5CF9"/>
    <w:rsid w:val="008023DD"/>
    <w:rsid w:val="00807E6C"/>
    <w:rsid w:val="008453E8"/>
    <w:rsid w:val="00847DD5"/>
    <w:rsid w:val="008721DA"/>
    <w:rsid w:val="00877CA7"/>
    <w:rsid w:val="008B38F2"/>
    <w:rsid w:val="008C15D4"/>
    <w:rsid w:val="008E3FF8"/>
    <w:rsid w:val="008E7BE0"/>
    <w:rsid w:val="008E7D95"/>
    <w:rsid w:val="008F2AB5"/>
    <w:rsid w:val="009031C3"/>
    <w:rsid w:val="00906509"/>
    <w:rsid w:val="00916E77"/>
    <w:rsid w:val="009268BF"/>
    <w:rsid w:val="00926A88"/>
    <w:rsid w:val="0095419E"/>
    <w:rsid w:val="00957495"/>
    <w:rsid w:val="00963071"/>
    <w:rsid w:val="00964534"/>
    <w:rsid w:val="009709F9"/>
    <w:rsid w:val="00972EB5"/>
    <w:rsid w:val="00994DE6"/>
    <w:rsid w:val="009B5F40"/>
    <w:rsid w:val="009D10A3"/>
    <w:rsid w:val="009D45D8"/>
    <w:rsid w:val="009E2F18"/>
    <w:rsid w:val="009E7C00"/>
    <w:rsid w:val="00A02096"/>
    <w:rsid w:val="00A07BD2"/>
    <w:rsid w:val="00A106AF"/>
    <w:rsid w:val="00A12D66"/>
    <w:rsid w:val="00A153B0"/>
    <w:rsid w:val="00A23E3F"/>
    <w:rsid w:val="00A30E71"/>
    <w:rsid w:val="00A4374D"/>
    <w:rsid w:val="00A57567"/>
    <w:rsid w:val="00A60A05"/>
    <w:rsid w:val="00A86FC1"/>
    <w:rsid w:val="00A879AF"/>
    <w:rsid w:val="00AA6A8A"/>
    <w:rsid w:val="00AC76D5"/>
    <w:rsid w:val="00AD64BD"/>
    <w:rsid w:val="00AE7A64"/>
    <w:rsid w:val="00B2170B"/>
    <w:rsid w:val="00B309EA"/>
    <w:rsid w:val="00B32D17"/>
    <w:rsid w:val="00B33858"/>
    <w:rsid w:val="00B405F9"/>
    <w:rsid w:val="00B46C75"/>
    <w:rsid w:val="00B5697E"/>
    <w:rsid w:val="00B73412"/>
    <w:rsid w:val="00B820A4"/>
    <w:rsid w:val="00B93FC2"/>
    <w:rsid w:val="00BD314E"/>
    <w:rsid w:val="00BE23E6"/>
    <w:rsid w:val="00BF25A1"/>
    <w:rsid w:val="00BF48B4"/>
    <w:rsid w:val="00C210A8"/>
    <w:rsid w:val="00C36CC6"/>
    <w:rsid w:val="00C5356B"/>
    <w:rsid w:val="00C56633"/>
    <w:rsid w:val="00C612E0"/>
    <w:rsid w:val="00C70E39"/>
    <w:rsid w:val="00C74D28"/>
    <w:rsid w:val="00C75C92"/>
    <w:rsid w:val="00CA2688"/>
    <w:rsid w:val="00CD68E6"/>
    <w:rsid w:val="00CD6E99"/>
    <w:rsid w:val="00CF0A51"/>
    <w:rsid w:val="00CF3B06"/>
    <w:rsid w:val="00D008D0"/>
    <w:rsid w:val="00D14221"/>
    <w:rsid w:val="00D27F1F"/>
    <w:rsid w:val="00D30E35"/>
    <w:rsid w:val="00D32A99"/>
    <w:rsid w:val="00D34E43"/>
    <w:rsid w:val="00D40418"/>
    <w:rsid w:val="00D43734"/>
    <w:rsid w:val="00D5076D"/>
    <w:rsid w:val="00D634AE"/>
    <w:rsid w:val="00D64C32"/>
    <w:rsid w:val="00D873A9"/>
    <w:rsid w:val="00D91427"/>
    <w:rsid w:val="00D91D79"/>
    <w:rsid w:val="00D95087"/>
    <w:rsid w:val="00DD4858"/>
    <w:rsid w:val="00DE3406"/>
    <w:rsid w:val="00DF7C4E"/>
    <w:rsid w:val="00E04664"/>
    <w:rsid w:val="00E26082"/>
    <w:rsid w:val="00E33F0B"/>
    <w:rsid w:val="00E366C3"/>
    <w:rsid w:val="00E37D76"/>
    <w:rsid w:val="00E72938"/>
    <w:rsid w:val="00E80557"/>
    <w:rsid w:val="00EC3605"/>
    <w:rsid w:val="00EC43B5"/>
    <w:rsid w:val="00EC49C7"/>
    <w:rsid w:val="00EC7CFA"/>
    <w:rsid w:val="00ED72FF"/>
    <w:rsid w:val="00EE713D"/>
    <w:rsid w:val="00EF1641"/>
    <w:rsid w:val="00EF35DA"/>
    <w:rsid w:val="00EF6B18"/>
    <w:rsid w:val="00F00BB2"/>
    <w:rsid w:val="00F03F75"/>
    <w:rsid w:val="00F14CCC"/>
    <w:rsid w:val="00F215BB"/>
    <w:rsid w:val="00F31EEE"/>
    <w:rsid w:val="00F45943"/>
    <w:rsid w:val="00F54C5F"/>
    <w:rsid w:val="00F76BA8"/>
    <w:rsid w:val="00F77D27"/>
    <w:rsid w:val="00F910E2"/>
    <w:rsid w:val="00F94B9F"/>
    <w:rsid w:val="00FA0BD8"/>
    <w:rsid w:val="00FB230E"/>
    <w:rsid w:val="00FB28B8"/>
    <w:rsid w:val="00FC3170"/>
    <w:rsid w:val="00FD3B0B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link w:val="Heading1Char"/>
    <w:uiPriority w:val="9"/>
    <w:qFormat/>
    <w:rsid w:val="00F00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1Char">
    <w:name w:val="Heading 1 Char"/>
    <w:basedOn w:val="DefaultParagraphFont"/>
    <w:link w:val="Heading1"/>
    <w:uiPriority w:val="9"/>
    <w:rsid w:val="00F00B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F00BB2"/>
  </w:style>
  <w:style w:type="paragraph" w:styleId="NoSpacing">
    <w:name w:val="No Spacing"/>
    <w:uiPriority w:val="1"/>
    <w:qFormat/>
    <w:rsid w:val="002C2E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C4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214</cp:revision>
  <dcterms:created xsi:type="dcterms:W3CDTF">2018-03-16T10:57:00Z</dcterms:created>
  <dcterms:modified xsi:type="dcterms:W3CDTF">2019-01-29T09:26:00Z</dcterms:modified>
</cp:coreProperties>
</file>