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653F6" w14:textId="77777777" w:rsidR="00EE6F7B" w:rsidRPr="00BB1DC9" w:rsidRDefault="00EE6F7B" w:rsidP="00EE6F7B">
      <w:pPr>
        <w:spacing w:line="480" w:lineRule="auto"/>
        <w:rPr>
          <w:rFonts w:ascii="Times New Roman" w:hAnsi="Times New Roman" w:cs="Times New Roman"/>
          <w:sz w:val="24"/>
          <w:szCs w:val="24"/>
        </w:rPr>
      </w:pPr>
    </w:p>
    <w:p w14:paraId="60FFAF00" w14:textId="77777777" w:rsidR="00632388" w:rsidRPr="00BB1DC9" w:rsidRDefault="00632388" w:rsidP="00B332FF">
      <w:pPr>
        <w:spacing w:line="480" w:lineRule="auto"/>
        <w:jc w:val="center"/>
        <w:rPr>
          <w:rFonts w:ascii="Times New Roman" w:hAnsi="Times New Roman" w:cs="Times New Roman"/>
          <w:sz w:val="24"/>
          <w:szCs w:val="24"/>
        </w:rPr>
      </w:pPr>
    </w:p>
    <w:p w14:paraId="4BE97A67" w14:textId="77777777" w:rsidR="00632388" w:rsidRPr="00BB1DC9" w:rsidRDefault="00632388" w:rsidP="00B332FF">
      <w:pPr>
        <w:spacing w:line="480" w:lineRule="auto"/>
        <w:jc w:val="center"/>
        <w:rPr>
          <w:rFonts w:ascii="Times New Roman" w:hAnsi="Times New Roman" w:cs="Times New Roman"/>
          <w:sz w:val="24"/>
          <w:szCs w:val="24"/>
        </w:rPr>
      </w:pPr>
    </w:p>
    <w:p w14:paraId="57098E5E" w14:textId="77777777" w:rsidR="00632388" w:rsidRPr="00BB1DC9" w:rsidRDefault="00632388" w:rsidP="00B332FF">
      <w:pPr>
        <w:spacing w:line="480" w:lineRule="auto"/>
        <w:jc w:val="center"/>
        <w:rPr>
          <w:rFonts w:ascii="Times New Roman" w:hAnsi="Times New Roman" w:cs="Times New Roman"/>
          <w:sz w:val="24"/>
          <w:szCs w:val="24"/>
        </w:rPr>
      </w:pPr>
    </w:p>
    <w:p w14:paraId="24A79AE5" w14:textId="77777777" w:rsidR="00632388" w:rsidRPr="00BB1DC9" w:rsidRDefault="00632388" w:rsidP="00B332FF">
      <w:pPr>
        <w:spacing w:line="480" w:lineRule="auto"/>
        <w:jc w:val="center"/>
        <w:rPr>
          <w:rFonts w:ascii="Times New Roman" w:hAnsi="Times New Roman" w:cs="Times New Roman"/>
          <w:sz w:val="24"/>
          <w:szCs w:val="24"/>
        </w:rPr>
      </w:pPr>
    </w:p>
    <w:p w14:paraId="4CEE0880" w14:textId="77777777" w:rsidR="00632388" w:rsidRPr="00BB1DC9" w:rsidRDefault="00632388" w:rsidP="00B332FF">
      <w:pPr>
        <w:spacing w:line="480" w:lineRule="auto"/>
        <w:jc w:val="center"/>
        <w:rPr>
          <w:rFonts w:ascii="Times New Roman" w:hAnsi="Times New Roman" w:cs="Times New Roman"/>
          <w:sz w:val="24"/>
          <w:szCs w:val="24"/>
        </w:rPr>
      </w:pPr>
    </w:p>
    <w:p w14:paraId="62C8F103" w14:textId="77777777" w:rsidR="00632388" w:rsidRPr="00BB1DC9" w:rsidRDefault="00632388" w:rsidP="00B332FF">
      <w:pPr>
        <w:spacing w:line="480" w:lineRule="auto"/>
        <w:jc w:val="center"/>
        <w:rPr>
          <w:rFonts w:ascii="Times New Roman" w:hAnsi="Times New Roman" w:cs="Times New Roman"/>
          <w:sz w:val="24"/>
          <w:szCs w:val="24"/>
        </w:rPr>
      </w:pPr>
    </w:p>
    <w:p w14:paraId="51D2EA1D" w14:textId="77777777" w:rsidR="00632388" w:rsidRPr="00BB1DC9" w:rsidRDefault="00632388" w:rsidP="00B332FF">
      <w:pPr>
        <w:spacing w:line="480" w:lineRule="auto"/>
        <w:jc w:val="center"/>
        <w:rPr>
          <w:rFonts w:ascii="Times New Roman" w:hAnsi="Times New Roman" w:cs="Times New Roman"/>
          <w:sz w:val="24"/>
          <w:szCs w:val="24"/>
        </w:rPr>
      </w:pPr>
    </w:p>
    <w:p w14:paraId="236C3533" w14:textId="77777777" w:rsidR="00632388" w:rsidRPr="00BB1DC9" w:rsidRDefault="0058648A" w:rsidP="00632388">
      <w:pPr>
        <w:tabs>
          <w:tab w:val="left" w:pos="3690"/>
        </w:tabs>
        <w:spacing w:line="480" w:lineRule="auto"/>
        <w:rPr>
          <w:rFonts w:ascii="Times New Roman" w:hAnsi="Times New Roman" w:cs="Times New Roman"/>
          <w:sz w:val="24"/>
          <w:szCs w:val="24"/>
        </w:rPr>
      </w:pPr>
      <w:r w:rsidRPr="00BB1DC9">
        <w:rPr>
          <w:rFonts w:ascii="Times New Roman" w:hAnsi="Times New Roman" w:cs="Times New Roman"/>
          <w:sz w:val="24"/>
          <w:szCs w:val="24"/>
        </w:rPr>
        <w:tab/>
        <w:t>Reviewing AASB 16</w:t>
      </w:r>
    </w:p>
    <w:p w14:paraId="0941B721" w14:textId="77777777" w:rsidR="00632388" w:rsidRPr="00BB1DC9" w:rsidRDefault="0058648A" w:rsidP="00632388">
      <w:pPr>
        <w:tabs>
          <w:tab w:val="left" w:pos="3690"/>
        </w:tabs>
        <w:spacing w:line="480" w:lineRule="auto"/>
        <w:jc w:val="center"/>
        <w:rPr>
          <w:rFonts w:ascii="Times New Roman" w:hAnsi="Times New Roman" w:cs="Times New Roman"/>
          <w:sz w:val="24"/>
          <w:szCs w:val="24"/>
        </w:rPr>
      </w:pPr>
      <w:r w:rsidRPr="00BB1DC9">
        <w:rPr>
          <w:rFonts w:ascii="Times New Roman" w:hAnsi="Times New Roman" w:cs="Times New Roman"/>
          <w:sz w:val="24"/>
          <w:szCs w:val="24"/>
        </w:rPr>
        <w:t>Name of Student</w:t>
      </w:r>
    </w:p>
    <w:p w14:paraId="391B190C" w14:textId="77777777" w:rsidR="00632388" w:rsidRPr="00BB1DC9" w:rsidRDefault="0058648A" w:rsidP="00632388">
      <w:pPr>
        <w:tabs>
          <w:tab w:val="left" w:pos="3690"/>
        </w:tabs>
        <w:spacing w:line="480" w:lineRule="auto"/>
        <w:jc w:val="center"/>
        <w:rPr>
          <w:rFonts w:ascii="Times New Roman" w:hAnsi="Times New Roman" w:cs="Times New Roman"/>
          <w:sz w:val="24"/>
          <w:szCs w:val="24"/>
        </w:rPr>
      </w:pPr>
      <w:r w:rsidRPr="00BB1DC9">
        <w:rPr>
          <w:rFonts w:ascii="Times New Roman" w:hAnsi="Times New Roman" w:cs="Times New Roman"/>
          <w:sz w:val="24"/>
          <w:szCs w:val="24"/>
        </w:rPr>
        <w:t>Name of Institution</w:t>
      </w:r>
    </w:p>
    <w:p w14:paraId="5F9CB3B4" w14:textId="77777777" w:rsidR="00632388" w:rsidRPr="00BB1DC9" w:rsidRDefault="00632388" w:rsidP="00B332FF">
      <w:pPr>
        <w:spacing w:line="480" w:lineRule="auto"/>
        <w:jc w:val="center"/>
        <w:rPr>
          <w:rFonts w:ascii="Times New Roman" w:hAnsi="Times New Roman" w:cs="Times New Roman"/>
          <w:sz w:val="24"/>
          <w:szCs w:val="24"/>
        </w:rPr>
      </w:pPr>
    </w:p>
    <w:p w14:paraId="19A6F222" w14:textId="77777777" w:rsidR="00632388" w:rsidRPr="00BB1DC9" w:rsidRDefault="00632388" w:rsidP="00B332FF">
      <w:pPr>
        <w:spacing w:line="480" w:lineRule="auto"/>
        <w:jc w:val="center"/>
        <w:rPr>
          <w:rFonts w:ascii="Times New Roman" w:hAnsi="Times New Roman" w:cs="Times New Roman"/>
          <w:sz w:val="24"/>
          <w:szCs w:val="24"/>
        </w:rPr>
      </w:pPr>
    </w:p>
    <w:p w14:paraId="34A3D1DA" w14:textId="77777777" w:rsidR="00632388" w:rsidRPr="00BB1DC9" w:rsidRDefault="00632388" w:rsidP="00B332FF">
      <w:pPr>
        <w:spacing w:line="480" w:lineRule="auto"/>
        <w:jc w:val="center"/>
        <w:rPr>
          <w:rFonts w:ascii="Times New Roman" w:hAnsi="Times New Roman" w:cs="Times New Roman"/>
          <w:sz w:val="24"/>
          <w:szCs w:val="24"/>
        </w:rPr>
      </w:pPr>
    </w:p>
    <w:p w14:paraId="0BB66753" w14:textId="77777777" w:rsidR="00632388" w:rsidRPr="00BB1DC9" w:rsidRDefault="00632388" w:rsidP="00B332FF">
      <w:pPr>
        <w:spacing w:line="480" w:lineRule="auto"/>
        <w:jc w:val="center"/>
        <w:rPr>
          <w:rFonts w:ascii="Times New Roman" w:hAnsi="Times New Roman" w:cs="Times New Roman"/>
          <w:sz w:val="24"/>
          <w:szCs w:val="24"/>
        </w:rPr>
      </w:pPr>
    </w:p>
    <w:p w14:paraId="6FA6876F" w14:textId="77777777" w:rsidR="00632388" w:rsidRPr="00BB1DC9" w:rsidRDefault="00632388" w:rsidP="00B332FF">
      <w:pPr>
        <w:spacing w:line="480" w:lineRule="auto"/>
        <w:jc w:val="center"/>
        <w:rPr>
          <w:rFonts w:ascii="Times New Roman" w:hAnsi="Times New Roman" w:cs="Times New Roman"/>
          <w:sz w:val="24"/>
          <w:szCs w:val="24"/>
        </w:rPr>
      </w:pPr>
    </w:p>
    <w:p w14:paraId="62A69493" w14:textId="77777777" w:rsidR="00632388" w:rsidRPr="00BB1DC9" w:rsidRDefault="00632388" w:rsidP="00B332FF">
      <w:pPr>
        <w:spacing w:line="480" w:lineRule="auto"/>
        <w:jc w:val="center"/>
        <w:rPr>
          <w:rFonts w:ascii="Times New Roman" w:hAnsi="Times New Roman" w:cs="Times New Roman"/>
          <w:sz w:val="24"/>
          <w:szCs w:val="24"/>
        </w:rPr>
      </w:pPr>
    </w:p>
    <w:p w14:paraId="2B9EB0EF" w14:textId="77777777" w:rsidR="00632388" w:rsidRPr="00BB1DC9" w:rsidRDefault="00632388" w:rsidP="00B332FF">
      <w:pPr>
        <w:spacing w:line="480" w:lineRule="auto"/>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111123065"/>
        <w:docPartObj>
          <w:docPartGallery w:val="Table of Contents"/>
          <w:docPartUnique/>
        </w:docPartObj>
      </w:sdtPr>
      <w:sdtEndPr>
        <w:rPr>
          <w:b/>
          <w:bCs/>
          <w:noProof/>
        </w:rPr>
      </w:sdtEndPr>
      <w:sdtContent>
        <w:p w14:paraId="2571D85B" w14:textId="3F7DF9C1" w:rsidR="00BB1DC9" w:rsidRPr="007C1590" w:rsidRDefault="00BB1DC9">
          <w:pPr>
            <w:pStyle w:val="TOCHeading"/>
            <w:rPr>
              <w:rFonts w:ascii="Times New Roman" w:hAnsi="Times New Roman" w:cs="Times New Roman"/>
              <w:color w:val="auto"/>
              <w:sz w:val="24"/>
              <w:szCs w:val="24"/>
            </w:rPr>
          </w:pPr>
          <w:r w:rsidRPr="007C1590">
            <w:rPr>
              <w:rFonts w:ascii="Times New Roman" w:hAnsi="Times New Roman" w:cs="Times New Roman"/>
              <w:color w:val="auto"/>
              <w:sz w:val="24"/>
              <w:szCs w:val="24"/>
            </w:rPr>
            <w:t>Table of Contents</w:t>
          </w:r>
        </w:p>
        <w:p w14:paraId="18EB8459" w14:textId="77777777" w:rsidR="00BB1DC9" w:rsidRPr="00BB1DC9" w:rsidRDefault="00BB1DC9">
          <w:pPr>
            <w:pStyle w:val="TOC1"/>
            <w:tabs>
              <w:tab w:val="right" w:leader="dot" w:pos="9350"/>
            </w:tabs>
            <w:rPr>
              <w:rFonts w:ascii="Times New Roman" w:hAnsi="Times New Roman" w:cs="Times New Roman"/>
              <w:noProof/>
              <w:sz w:val="24"/>
              <w:szCs w:val="24"/>
            </w:rPr>
          </w:pPr>
          <w:r w:rsidRPr="00BB1DC9">
            <w:rPr>
              <w:rFonts w:ascii="Times New Roman" w:hAnsi="Times New Roman" w:cs="Times New Roman"/>
              <w:sz w:val="24"/>
              <w:szCs w:val="24"/>
            </w:rPr>
            <w:fldChar w:fldCharType="begin"/>
          </w:r>
          <w:r w:rsidRPr="00BB1DC9">
            <w:rPr>
              <w:rFonts w:ascii="Times New Roman" w:hAnsi="Times New Roman" w:cs="Times New Roman"/>
              <w:sz w:val="24"/>
              <w:szCs w:val="24"/>
            </w:rPr>
            <w:instrText xml:space="preserve"> TOC \o "1-3" \h \z \u </w:instrText>
          </w:r>
          <w:r w:rsidRPr="00BB1DC9">
            <w:rPr>
              <w:rFonts w:ascii="Times New Roman" w:hAnsi="Times New Roman" w:cs="Times New Roman"/>
              <w:sz w:val="24"/>
              <w:szCs w:val="24"/>
            </w:rPr>
            <w:fldChar w:fldCharType="separate"/>
          </w:r>
          <w:hyperlink w:anchor="_Toc9222172" w:history="1">
            <w:r w:rsidRPr="00BB1DC9">
              <w:rPr>
                <w:rStyle w:val="Hyperlink"/>
                <w:rFonts w:ascii="Times New Roman" w:hAnsi="Times New Roman" w:cs="Times New Roman"/>
                <w:noProof/>
                <w:sz w:val="24"/>
                <w:szCs w:val="24"/>
              </w:rPr>
              <w:t>Introduction</w:t>
            </w:r>
            <w:r w:rsidRPr="00BB1DC9">
              <w:rPr>
                <w:rFonts w:ascii="Times New Roman" w:hAnsi="Times New Roman" w:cs="Times New Roman"/>
                <w:noProof/>
                <w:webHidden/>
                <w:sz w:val="24"/>
                <w:szCs w:val="24"/>
              </w:rPr>
              <w:tab/>
            </w:r>
            <w:r w:rsidRPr="00BB1DC9">
              <w:rPr>
                <w:rFonts w:ascii="Times New Roman" w:hAnsi="Times New Roman" w:cs="Times New Roman"/>
                <w:noProof/>
                <w:webHidden/>
                <w:sz w:val="24"/>
                <w:szCs w:val="24"/>
              </w:rPr>
              <w:fldChar w:fldCharType="begin"/>
            </w:r>
            <w:r w:rsidRPr="00BB1DC9">
              <w:rPr>
                <w:rFonts w:ascii="Times New Roman" w:hAnsi="Times New Roman" w:cs="Times New Roman"/>
                <w:noProof/>
                <w:webHidden/>
                <w:sz w:val="24"/>
                <w:szCs w:val="24"/>
              </w:rPr>
              <w:instrText xml:space="preserve"> PAGEREF _Toc9222172 \h </w:instrText>
            </w:r>
            <w:r w:rsidRPr="00BB1DC9">
              <w:rPr>
                <w:rFonts w:ascii="Times New Roman" w:hAnsi="Times New Roman" w:cs="Times New Roman"/>
                <w:noProof/>
                <w:webHidden/>
                <w:sz w:val="24"/>
                <w:szCs w:val="24"/>
              </w:rPr>
            </w:r>
            <w:r w:rsidRPr="00BB1DC9">
              <w:rPr>
                <w:rFonts w:ascii="Times New Roman" w:hAnsi="Times New Roman" w:cs="Times New Roman"/>
                <w:noProof/>
                <w:webHidden/>
                <w:sz w:val="24"/>
                <w:szCs w:val="24"/>
              </w:rPr>
              <w:fldChar w:fldCharType="separate"/>
            </w:r>
            <w:r w:rsidRPr="00BB1DC9">
              <w:rPr>
                <w:rFonts w:ascii="Times New Roman" w:hAnsi="Times New Roman" w:cs="Times New Roman"/>
                <w:noProof/>
                <w:webHidden/>
                <w:sz w:val="24"/>
                <w:szCs w:val="24"/>
              </w:rPr>
              <w:t>3</w:t>
            </w:r>
            <w:r w:rsidRPr="00BB1DC9">
              <w:rPr>
                <w:rFonts w:ascii="Times New Roman" w:hAnsi="Times New Roman" w:cs="Times New Roman"/>
                <w:noProof/>
                <w:webHidden/>
                <w:sz w:val="24"/>
                <w:szCs w:val="24"/>
              </w:rPr>
              <w:fldChar w:fldCharType="end"/>
            </w:r>
          </w:hyperlink>
        </w:p>
        <w:p w14:paraId="1E4108D3"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3" w:history="1">
            <w:r w:rsidR="00BB1DC9" w:rsidRPr="00BB1DC9">
              <w:rPr>
                <w:rStyle w:val="Hyperlink"/>
                <w:rFonts w:ascii="Times New Roman" w:hAnsi="Times New Roman" w:cs="Times New Roman"/>
                <w:noProof/>
                <w:sz w:val="24"/>
                <w:szCs w:val="24"/>
              </w:rPr>
              <w:t>Requirements of this Standard</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_Toc9222173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3</w:t>
            </w:r>
            <w:r w:rsidR="00BB1DC9" w:rsidRPr="00BB1DC9">
              <w:rPr>
                <w:rFonts w:ascii="Times New Roman" w:hAnsi="Times New Roman" w:cs="Times New Roman"/>
                <w:noProof/>
                <w:webHidden/>
                <w:sz w:val="24"/>
                <w:szCs w:val="24"/>
              </w:rPr>
              <w:fldChar w:fldCharType="end"/>
            </w:r>
          </w:hyperlink>
        </w:p>
        <w:p w14:paraId="3FFC4CDC"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4" w:history="1">
            <w:r w:rsidR="00BB1DC9" w:rsidRPr="00BB1DC9">
              <w:rPr>
                <w:rStyle w:val="Hyperlink"/>
                <w:rFonts w:ascii="Times New Roman" w:hAnsi="Times New Roman" w:cs="Times New Roman"/>
                <w:noProof/>
                <w:sz w:val="24"/>
                <w:szCs w:val="24"/>
              </w:rPr>
              <w:t>Date of implementation</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_Toc9222174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4</w:t>
            </w:r>
            <w:r w:rsidR="00BB1DC9" w:rsidRPr="00BB1DC9">
              <w:rPr>
                <w:rFonts w:ascii="Times New Roman" w:hAnsi="Times New Roman" w:cs="Times New Roman"/>
                <w:noProof/>
                <w:webHidden/>
                <w:sz w:val="24"/>
                <w:szCs w:val="24"/>
              </w:rPr>
              <w:fldChar w:fldCharType="end"/>
            </w:r>
          </w:hyperlink>
        </w:p>
        <w:p w14:paraId="4D1D7554"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5" w:history="1">
            <w:r w:rsidR="00BB1DC9" w:rsidRPr="00BB1DC9">
              <w:rPr>
                <w:rStyle w:val="Hyperlink"/>
                <w:rFonts w:ascii="Times New Roman" w:hAnsi="Times New Roman" w:cs="Times New Roman"/>
                <w:noProof/>
                <w:sz w:val="24"/>
                <w:szCs w:val="24"/>
              </w:rPr>
              <w:t>Reason for this standard</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_Toc9222175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4</w:t>
            </w:r>
            <w:r w:rsidR="00BB1DC9" w:rsidRPr="00BB1DC9">
              <w:rPr>
                <w:rFonts w:ascii="Times New Roman" w:hAnsi="Times New Roman" w:cs="Times New Roman"/>
                <w:noProof/>
                <w:webHidden/>
                <w:sz w:val="24"/>
                <w:szCs w:val="24"/>
              </w:rPr>
              <w:fldChar w:fldCharType="end"/>
            </w:r>
          </w:hyperlink>
        </w:p>
        <w:p w14:paraId="7E2AF672"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6" w:history="1">
            <w:r w:rsidR="00BB1DC9" w:rsidRPr="00BB1DC9">
              <w:rPr>
                <w:rStyle w:val="Hyperlink"/>
                <w:rFonts w:ascii="Times New Roman" w:hAnsi="Times New Roman" w:cs="Times New Roman"/>
                <w:noProof/>
                <w:sz w:val="24"/>
                <w:szCs w:val="24"/>
              </w:rPr>
              <w:t>Comparison</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_Toc9222176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5</w:t>
            </w:r>
            <w:r w:rsidR="00BB1DC9" w:rsidRPr="00BB1DC9">
              <w:rPr>
                <w:rFonts w:ascii="Times New Roman" w:hAnsi="Times New Roman" w:cs="Times New Roman"/>
                <w:noProof/>
                <w:webHidden/>
                <w:sz w:val="24"/>
                <w:szCs w:val="24"/>
              </w:rPr>
              <w:fldChar w:fldCharType="end"/>
            </w:r>
          </w:hyperlink>
        </w:p>
        <w:p w14:paraId="513D78F0"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7" w:history="1">
            <w:r w:rsidR="00BB1DC9" w:rsidRPr="00BB1DC9">
              <w:rPr>
                <w:rStyle w:val="Hyperlink"/>
                <w:rFonts w:ascii="Times New Roman" w:hAnsi="Times New Roman" w:cs="Times New Roman"/>
                <w:noProof/>
                <w:sz w:val="24"/>
                <w:szCs w:val="24"/>
              </w:rPr>
              <w:t>Finance Lease</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_Toc9222177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5</w:t>
            </w:r>
            <w:r w:rsidR="00BB1DC9" w:rsidRPr="00BB1DC9">
              <w:rPr>
                <w:rFonts w:ascii="Times New Roman" w:hAnsi="Times New Roman" w:cs="Times New Roman"/>
                <w:noProof/>
                <w:webHidden/>
                <w:sz w:val="24"/>
                <w:szCs w:val="24"/>
              </w:rPr>
              <w:fldChar w:fldCharType="end"/>
            </w:r>
          </w:hyperlink>
        </w:p>
        <w:p w14:paraId="3E555D0A"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8" w:history="1">
            <w:r w:rsidR="00BB1DC9" w:rsidRPr="00BB1DC9">
              <w:rPr>
                <w:rStyle w:val="Hyperlink"/>
                <w:rFonts w:ascii="Times New Roman" w:hAnsi="Times New Roman" w:cs="Times New Roman"/>
                <w:noProof/>
                <w:sz w:val="24"/>
                <w:szCs w:val="24"/>
              </w:rPr>
              <w:t>Operating Lease</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_Toc9222178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5</w:t>
            </w:r>
            <w:r w:rsidR="00BB1DC9" w:rsidRPr="00BB1DC9">
              <w:rPr>
                <w:rFonts w:ascii="Times New Roman" w:hAnsi="Times New Roman" w:cs="Times New Roman"/>
                <w:noProof/>
                <w:webHidden/>
                <w:sz w:val="24"/>
                <w:szCs w:val="24"/>
              </w:rPr>
              <w:fldChar w:fldCharType="end"/>
            </w:r>
          </w:hyperlink>
        </w:p>
        <w:p w14:paraId="6BDF17E8"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79" w:history="1">
            <w:r w:rsidR="00BB1DC9" w:rsidRPr="00BB1DC9">
              <w:rPr>
                <w:rStyle w:val="Hyperlink"/>
                <w:rFonts w:ascii="Times New Roman" w:hAnsi="Times New Roman" w:cs="Times New Roman"/>
                <w:noProof/>
                <w:sz w:val="24"/>
                <w:szCs w:val="24"/>
              </w:rPr>
              <w:t>Classification</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_Toc9222179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5</w:t>
            </w:r>
            <w:r w:rsidR="00BB1DC9" w:rsidRPr="00BB1DC9">
              <w:rPr>
                <w:rFonts w:ascii="Times New Roman" w:hAnsi="Times New Roman" w:cs="Times New Roman"/>
                <w:noProof/>
                <w:webHidden/>
                <w:sz w:val="24"/>
                <w:szCs w:val="24"/>
              </w:rPr>
              <w:fldChar w:fldCharType="end"/>
            </w:r>
          </w:hyperlink>
        </w:p>
        <w:p w14:paraId="68A4FFDD"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0" w:history="1">
            <w:r w:rsidR="00BB1DC9" w:rsidRPr="00BB1DC9">
              <w:rPr>
                <w:rStyle w:val="Hyperlink"/>
                <w:rFonts w:ascii="Times New Roman" w:hAnsi="Times New Roman" w:cs="Times New Roman"/>
                <w:noProof/>
                <w:sz w:val="24"/>
                <w:szCs w:val="24"/>
              </w:rPr>
              <w:t>Indicators for a Finance Lease</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_Toc9222180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6</w:t>
            </w:r>
            <w:r w:rsidR="00BB1DC9" w:rsidRPr="00BB1DC9">
              <w:rPr>
                <w:rFonts w:ascii="Times New Roman" w:hAnsi="Times New Roman" w:cs="Times New Roman"/>
                <w:noProof/>
                <w:webHidden/>
                <w:sz w:val="24"/>
                <w:szCs w:val="24"/>
              </w:rPr>
              <w:fldChar w:fldCharType="end"/>
            </w:r>
          </w:hyperlink>
        </w:p>
        <w:p w14:paraId="1CF8A05F"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1" w:history="1">
            <w:r w:rsidR="00BB1DC9" w:rsidRPr="00BB1DC9">
              <w:rPr>
                <w:rStyle w:val="Hyperlink"/>
                <w:rFonts w:ascii="Times New Roman" w:hAnsi="Times New Roman" w:cs="Times New Roman"/>
                <w:noProof/>
                <w:sz w:val="24"/>
                <w:szCs w:val="24"/>
              </w:rPr>
              <w:t>Finance lease Accounting</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_Toc9222181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6</w:t>
            </w:r>
            <w:r w:rsidR="00BB1DC9" w:rsidRPr="00BB1DC9">
              <w:rPr>
                <w:rFonts w:ascii="Times New Roman" w:hAnsi="Times New Roman" w:cs="Times New Roman"/>
                <w:noProof/>
                <w:webHidden/>
                <w:sz w:val="24"/>
                <w:szCs w:val="24"/>
              </w:rPr>
              <w:fldChar w:fldCharType="end"/>
            </w:r>
          </w:hyperlink>
        </w:p>
        <w:p w14:paraId="092D233F"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2" w:history="1">
            <w:r w:rsidR="00BB1DC9" w:rsidRPr="00BB1DC9">
              <w:rPr>
                <w:rStyle w:val="Hyperlink"/>
                <w:rFonts w:ascii="Times New Roman" w:hAnsi="Times New Roman" w:cs="Times New Roman"/>
                <w:noProof/>
                <w:sz w:val="24"/>
                <w:szCs w:val="24"/>
              </w:rPr>
              <w:t>Further accounting considerations</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_Toc9222182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6</w:t>
            </w:r>
            <w:r w:rsidR="00BB1DC9" w:rsidRPr="00BB1DC9">
              <w:rPr>
                <w:rFonts w:ascii="Times New Roman" w:hAnsi="Times New Roman" w:cs="Times New Roman"/>
                <w:noProof/>
                <w:webHidden/>
                <w:sz w:val="24"/>
                <w:szCs w:val="24"/>
              </w:rPr>
              <w:fldChar w:fldCharType="end"/>
            </w:r>
          </w:hyperlink>
        </w:p>
        <w:p w14:paraId="23ADED59"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3" w:history="1">
            <w:r w:rsidR="00BB1DC9" w:rsidRPr="00BB1DC9">
              <w:rPr>
                <w:rStyle w:val="Hyperlink"/>
                <w:rFonts w:ascii="Times New Roman" w:hAnsi="Times New Roman" w:cs="Times New Roman"/>
                <w:noProof/>
                <w:sz w:val="24"/>
                <w:szCs w:val="24"/>
              </w:rPr>
              <w:t>Land and Building</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_Toc9222183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6</w:t>
            </w:r>
            <w:r w:rsidR="00BB1DC9" w:rsidRPr="00BB1DC9">
              <w:rPr>
                <w:rFonts w:ascii="Times New Roman" w:hAnsi="Times New Roman" w:cs="Times New Roman"/>
                <w:noProof/>
                <w:webHidden/>
                <w:sz w:val="24"/>
                <w:szCs w:val="24"/>
              </w:rPr>
              <w:fldChar w:fldCharType="end"/>
            </w:r>
          </w:hyperlink>
        </w:p>
        <w:p w14:paraId="6277316B" w14:textId="266B733C" w:rsidR="00BB1DC9" w:rsidRPr="00BB1DC9" w:rsidRDefault="00C91412">
          <w:pPr>
            <w:pStyle w:val="TOC2"/>
            <w:tabs>
              <w:tab w:val="right" w:leader="dot" w:pos="9350"/>
            </w:tabs>
            <w:rPr>
              <w:rFonts w:ascii="Times New Roman" w:hAnsi="Times New Roman" w:cs="Times New Roman"/>
              <w:noProof/>
              <w:sz w:val="24"/>
              <w:szCs w:val="24"/>
            </w:rPr>
          </w:pPr>
          <w:hyperlink w:anchor="_Toc9222184" w:history="1">
            <w:r w:rsidR="00BB1DC9" w:rsidRPr="00BB1DC9">
              <w:rPr>
                <w:rStyle w:val="Hyperlink"/>
                <w:rFonts w:ascii="Times New Roman" w:hAnsi="Times New Roman" w:cs="Times New Roman"/>
                <w:noProof/>
                <w:sz w:val="24"/>
                <w:szCs w:val="24"/>
              </w:rPr>
              <w:t xml:space="preserve">Disclosure requirements for </w:t>
            </w:r>
            <w:r w:rsidR="009373E7">
              <w:rPr>
                <w:rStyle w:val="Hyperlink"/>
                <w:rFonts w:ascii="Times New Roman" w:hAnsi="Times New Roman" w:cs="Times New Roman"/>
                <w:noProof/>
                <w:sz w:val="24"/>
                <w:szCs w:val="24"/>
              </w:rPr>
              <w:t>party that takes on lease</w:t>
            </w:r>
            <w:r w:rsidR="00BB1DC9" w:rsidRPr="00BB1DC9">
              <w:rPr>
                <w:rStyle w:val="Hyperlink"/>
                <w:rFonts w:ascii="Times New Roman" w:hAnsi="Times New Roman" w:cs="Times New Roman"/>
                <w:noProof/>
                <w:sz w:val="24"/>
                <w:szCs w:val="24"/>
              </w:rPr>
              <w:t>s</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_Toc9222184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7</w:t>
            </w:r>
            <w:r w:rsidR="00BB1DC9" w:rsidRPr="00BB1DC9">
              <w:rPr>
                <w:rFonts w:ascii="Times New Roman" w:hAnsi="Times New Roman" w:cs="Times New Roman"/>
                <w:noProof/>
                <w:webHidden/>
                <w:sz w:val="24"/>
                <w:szCs w:val="24"/>
              </w:rPr>
              <w:fldChar w:fldCharType="end"/>
            </w:r>
          </w:hyperlink>
        </w:p>
        <w:p w14:paraId="11AFB7A8"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5" w:history="1">
            <w:r w:rsidR="00BB1DC9" w:rsidRPr="00BB1DC9">
              <w:rPr>
                <w:rStyle w:val="Hyperlink"/>
                <w:rFonts w:ascii="Times New Roman" w:hAnsi="Times New Roman" w:cs="Times New Roman"/>
                <w:noProof/>
                <w:sz w:val="24"/>
                <w:szCs w:val="24"/>
              </w:rPr>
              <w:t>Operating Lease Accounting</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_Toc9222185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7</w:t>
            </w:r>
            <w:r w:rsidR="00BB1DC9" w:rsidRPr="00BB1DC9">
              <w:rPr>
                <w:rFonts w:ascii="Times New Roman" w:hAnsi="Times New Roman" w:cs="Times New Roman"/>
                <w:noProof/>
                <w:webHidden/>
                <w:sz w:val="24"/>
                <w:szCs w:val="24"/>
              </w:rPr>
              <w:fldChar w:fldCharType="end"/>
            </w:r>
          </w:hyperlink>
        </w:p>
        <w:p w14:paraId="1D255D15"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6" w:history="1">
            <w:r w:rsidR="00BB1DC9" w:rsidRPr="00BB1DC9">
              <w:rPr>
                <w:rStyle w:val="Hyperlink"/>
                <w:rFonts w:ascii="Times New Roman" w:hAnsi="Times New Roman" w:cs="Times New Roman"/>
                <w:noProof/>
                <w:sz w:val="24"/>
                <w:szCs w:val="24"/>
              </w:rPr>
              <w:t>Disclosure requirements</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_Toc9222186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7</w:t>
            </w:r>
            <w:r w:rsidR="00BB1DC9" w:rsidRPr="00BB1DC9">
              <w:rPr>
                <w:rFonts w:ascii="Times New Roman" w:hAnsi="Times New Roman" w:cs="Times New Roman"/>
                <w:noProof/>
                <w:webHidden/>
                <w:sz w:val="24"/>
                <w:szCs w:val="24"/>
              </w:rPr>
              <w:fldChar w:fldCharType="end"/>
            </w:r>
          </w:hyperlink>
        </w:p>
        <w:p w14:paraId="3D70B92F" w14:textId="77777777" w:rsidR="00BB1DC9" w:rsidRPr="00BB1DC9" w:rsidRDefault="00C91412">
          <w:pPr>
            <w:pStyle w:val="TOC1"/>
            <w:tabs>
              <w:tab w:val="right" w:leader="dot" w:pos="9350"/>
            </w:tabs>
            <w:rPr>
              <w:rFonts w:ascii="Times New Roman" w:hAnsi="Times New Roman" w:cs="Times New Roman"/>
              <w:noProof/>
              <w:sz w:val="24"/>
              <w:szCs w:val="24"/>
            </w:rPr>
          </w:pPr>
          <w:hyperlink w:anchor="_Toc9222187" w:history="1">
            <w:r w:rsidR="00BB1DC9" w:rsidRPr="00BB1DC9">
              <w:rPr>
                <w:rStyle w:val="Hyperlink"/>
                <w:rFonts w:ascii="Times New Roman" w:hAnsi="Times New Roman" w:cs="Times New Roman"/>
                <w:noProof/>
                <w:sz w:val="24"/>
                <w:szCs w:val="24"/>
              </w:rPr>
              <w:t>New Standard IFRS 16</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_Toc9222187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7</w:t>
            </w:r>
            <w:r w:rsidR="00BB1DC9" w:rsidRPr="00BB1DC9">
              <w:rPr>
                <w:rFonts w:ascii="Times New Roman" w:hAnsi="Times New Roman" w:cs="Times New Roman"/>
                <w:noProof/>
                <w:webHidden/>
                <w:sz w:val="24"/>
                <w:szCs w:val="24"/>
              </w:rPr>
              <w:fldChar w:fldCharType="end"/>
            </w:r>
          </w:hyperlink>
        </w:p>
        <w:p w14:paraId="287D0FA6"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88" w:history="1">
            <w:r w:rsidR="00BB1DC9" w:rsidRPr="00BB1DC9">
              <w:rPr>
                <w:rStyle w:val="Hyperlink"/>
                <w:rFonts w:ascii="Times New Roman" w:hAnsi="Times New Roman" w:cs="Times New Roman"/>
                <w:noProof/>
                <w:sz w:val="24"/>
                <w:szCs w:val="24"/>
              </w:rPr>
              <w:t>Why is it necessary to differentiate?</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_Toc9222188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8</w:t>
            </w:r>
            <w:r w:rsidR="00BB1DC9" w:rsidRPr="00BB1DC9">
              <w:rPr>
                <w:rFonts w:ascii="Times New Roman" w:hAnsi="Times New Roman" w:cs="Times New Roman"/>
                <w:noProof/>
                <w:webHidden/>
                <w:sz w:val="24"/>
                <w:szCs w:val="24"/>
              </w:rPr>
              <w:fldChar w:fldCharType="end"/>
            </w:r>
          </w:hyperlink>
        </w:p>
        <w:p w14:paraId="60CE2965" w14:textId="77777777" w:rsidR="00BB1DC9" w:rsidRPr="00BB1DC9" w:rsidRDefault="00C91412">
          <w:pPr>
            <w:pStyle w:val="TOC1"/>
            <w:tabs>
              <w:tab w:val="right" w:leader="dot" w:pos="9350"/>
            </w:tabs>
            <w:rPr>
              <w:rFonts w:ascii="Times New Roman" w:hAnsi="Times New Roman" w:cs="Times New Roman"/>
              <w:noProof/>
              <w:sz w:val="24"/>
              <w:szCs w:val="24"/>
            </w:rPr>
          </w:pPr>
          <w:hyperlink w:anchor="_Toc9222189" w:history="1">
            <w:r w:rsidR="00BB1DC9" w:rsidRPr="00BB1DC9">
              <w:rPr>
                <w:rStyle w:val="Hyperlink"/>
                <w:rFonts w:ascii="Times New Roman" w:hAnsi="Times New Roman" w:cs="Times New Roman"/>
                <w:noProof/>
                <w:sz w:val="24"/>
                <w:szCs w:val="24"/>
              </w:rPr>
              <w:t>Impacts</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_Toc9222189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8</w:t>
            </w:r>
            <w:r w:rsidR="00BB1DC9" w:rsidRPr="00BB1DC9">
              <w:rPr>
                <w:rFonts w:ascii="Times New Roman" w:hAnsi="Times New Roman" w:cs="Times New Roman"/>
                <w:noProof/>
                <w:webHidden/>
                <w:sz w:val="24"/>
                <w:szCs w:val="24"/>
              </w:rPr>
              <w:fldChar w:fldCharType="end"/>
            </w:r>
          </w:hyperlink>
        </w:p>
        <w:p w14:paraId="6016FC94"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90" w:history="1">
            <w:r w:rsidR="00BB1DC9" w:rsidRPr="00BB1DC9">
              <w:rPr>
                <w:rStyle w:val="Hyperlink"/>
                <w:rFonts w:ascii="Times New Roman" w:hAnsi="Times New Roman" w:cs="Times New Roman"/>
                <w:noProof/>
                <w:sz w:val="24"/>
                <w:szCs w:val="24"/>
              </w:rPr>
              <w:t>Financial report impact</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_Toc9222190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8</w:t>
            </w:r>
            <w:r w:rsidR="00BB1DC9" w:rsidRPr="00BB1DC9">
              <w:rPr>
                <w:rFonts w:ascii="Times New Roman" w:hAnsi="Times New Roman" w:cs="Times New Roman"/>
                <w:noProof/>
                <w:webHidden/>
                <w:sz w:val="24"/>
                <w:szCs w:val="24"/>
              </w:rPr>
              <w:fldChar w:fldCharType="end"/>
            </w:r>
          </w:hyperlink>
        </w:p>
        <w:p w14:paraId="6CE4A164"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91" w:history="1">
            <w:r w:rsidR="00BB1DC9" w:rsidRPr="00BB1DC9">
              <w:rPr>
                <w:rStyle w:val="Hyperlink"/>
                <w:rFonts w:ascii="Times New Roman" w:hAnsi="Times New Roman" w:cs="Times New Roman"/>
                <w:noProof/>
                <w:sz w:val="24"/>
                <w:szCs w:val="24"/>
              </w:rPr>
              <w:t>Accountant involvement</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_Toc9222191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9</w:t>
            </w:r>
            <w:r w:rsidR="00BB1DC9" w:rsidRPr="00BB1DC9">
              <w:rPr>
                <w:rFonts w:ascii="Times New Roman" w:hAnsi="Times New Roman" w:cs="Times New Roman"/>
                <w:noProof/>
                <w:webHidden/>
                <w:sz w:val="24"/>
                <w:szCs w:val="24"/>
              </w:rPr>
              <w:fldChar w:fldCharType="end"/>
            </w:r>
          </w:hyperlink>
        </w:p>
        <w:p w14:paraId="1A105B30" w14:textId="77777777" w:rsidR="00BB1DC9" w:rsidRPr="00BB1DC9" w:rsidRDefault="00C91412">
          <w:pPr>
            <w:pStyle w:val="TOC1"/>
            <w:tabs>
              <w:tab w:val="right" w:leader="dot" w:pos="9350"/>
            </w:tabs>
            <w:rPr>
              <w:rFonts w:ascii="Times New Roman" w:hAnsi="Times New Roman" w:cs="Times New Roman"/>
              <w:noProof/>
              <w:sz w:val="24"/>
              <w:szCs w:val="24"/>
            </w:rPr>
          </w:pPr>
          <w:hyperlink w:anchor="_Toc9222192" w:history="1">
            <w:r w:rsidR="00BB1DC9" w:rsidRPr="00BB1DC9">
              <w:rPr>
                <w:rStyle w:val="Hyperlink"/>
                <w:rFonts w:ascii="Times New Roman" w:hAnsi="Times New Roman" w:cs="Times New Roman"/>
                <w:noProof/>
                <w:sz w:val="24"/>
                <w:szCs w:val="24"/>
              </w:rPr>
              <w:t>Company Chosen</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_Toc9222192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9</w:t>
            </w:r>
            <w:r w:rsidR="00BB1DC9" w:rsidRPr="00BB1DC9">
              <w:rPr>
                <w:rFonts w:ascii="Times New Roman" w:hAnsi="Times New Roman" w:cs="Times New Roman"/>
                <w:noProof/>
                <w:webHidden/>
                <w:sz w:val="24"/>
                <w:szCs w:val="24"/>
              </w:rPr>
              <w:fldChar w:fldCharType="end"/>
            </w:r>
          </w:hyperlink>
        </w:p>
        <w:p w14:paraId="0086FC9C" w14:textId="77777777" w:rsidR="00BB1DC9" w:rsidRPr="00BB1DC9" w:rsidRDefault="00C91412">
          <w:pPr>
            <w:pStyle w:val="TOC2"/>
            <w:tabs>
              <w:tab w:val="right" w:leader="dot" w:pos="9350"/>
            </w:tabs>
            <w:rPr>
              <w:rFonts w:ascii="Times New Roman" w:hAnsi="Times New Roman" w:cs="Times New Roman"/>
              <w:noProof/>
              <w:sz w:val="24"/>
              <w:szCs w:val="24"/>
            </w:rPr>
          </w:pPr>
          <w:hyperlink w:anchor="_Toc9222193" w:history="1">
            <w:r w:rsidR="00BB1DC9" w:rsidRPr="00BB1DC9">
              <w:rPr>
                <w:rStyle w:val="Hyperlink"/>
                <w:rFonts w:ascii="Times New Roman" w:hAnsi="Times New Roman" w:cs="Times New Roman"/>
                <w:noProof/>
                <w:sz w:val="24"/>
                <w:szCs w:val="24"/>
              </w:rPr>
              <w:t>Impact on Walmart</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_Toc9222193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10</w:t>
            </w:r>
            <w:r w:rsidR="00BB1DC9" w:rsidRPr="00BB1DC9">
              <w:rPr>
                <w:rFonts w:ascii="Times New Roman" w:hAnsi="Times New Roman" w:cs="Times New Roman"/>
                <w:noProof/>
                <w:webHidden/>
                <w:sz w:val="24"/>
                <w:szCs w:val="24"/>
              </w:rPr>
              <w:fldChar w:fldCharType="end"/>
            </w:r>
          </w:hyperlink>
        </w:p>
        <w:p w14:paraId="55959AAD" w14:textId="77777777" w:rsidR="00BB1DC9" w:rsidRPr="00BB1DC9" w:rsidRDefault="00C91412">
          <w:pPr>
            <w:pStyle w:val="TOC1"/>
            <w:tabs>
              <w:tab w:val="right" w:leader="dot" w:pos="9350"/>
            </w:tabs>
            <w:rPr>
              <w:rFonts w:ascii="Times New Roman" w:hAnsi="Times New Roman" w:cs="Times New Roman"/>
              <w:noProof/>
              <w:sz w:val="24"/>
              <w:szCs w:val="24"/>
            </w:rPr>
          </w:pPr>
          <w:hyperlink w:anchor="_Toc9222194" w:history="1">
            <w:r w:rsidR="00BB1DC9" w:rsidRPr="00BB1DC9">
              <w:rPr>
                <w:rStyle w:val="Hyperlink"/>
                <w:rFonts w:ascii="Times New Roman" w:hAnsi="Times New Roman" w:cs="Times New Roman"/>
                <w:noProof/>
                <w:sz w:val="24"/>
                <w:szCs w:val="24"/>
              </w:rPr>
              <w:t>Conclusion</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_Toc9222194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14</w:t>
            </w:r>
            <w:r w:rsidR="00BB1DC9" w:rsidRPr="00BB1DC9">
              <w:rPr>
                <w:rFonts w:ascii="Times New Roman" w:hAnsi="Times New Roman" w:cs="Times New Roman"/>
                <w:noProof/>
                <w:webHidden/>
                <w:sz w:val="24"/>
                <w:szCs w:val="24"/>
              </w:rPr>
              <w:fldChar w:fldCharType="end"/>
            </w:r>
          </w:hyperlink>
        </w:p>
        <w:p w14:paraId="675BCCEB" w14:textId="77777777" w:rsidR="00BB1DC9" w:rsidRPr="00BB1DC9" w:rsidRDefault="00C91412">
          <w:pPr>
            <w:pStyle w:val="TOC1"/>
            <w:tabs>
              <w:tab w:val="right" w:leader="dot" w:pos="9350"/>
            </w:tabs>
            <w:rPr>
              <w:rFonts w:ascii="Times New Roman" w:hAnsi="Times New Roman" w:cs="Times New Roman"/>
              <w:noProof/>
              <w:sz w:val="24"/>
              <w:szCs w:val="24"/>
            </w:rPr>
          </w:pPr>
          <w:hyperlink w:anchor="_Toc9222195" w:history="1">
            <w:r w:rsidR="00BB1DC9" w:rsidRPr="00BB1DC9">
              <w:rPr>
                <w:rStyle w:val="Hyperlink"/>
                <w:rFonts w:ascii="Times New Roman" w:hAnsi="Times New Roman" w:cs="Times New Roman"/>
                <w:noProof/>
                <w:sz w:val="24"/>
                <w:szCs w:val="24"/>
              </w:rPr>
              <w:t>References</w:t>
            </w:r>
            <w:r w:rsidR="00BB1DC9" w:rsidRPr="00BB1DC9">
              <w:rPr>
                <w:rFonts w:ascii="Times New Roman" w:hAnsi="Times New Roman" w:cs="Times New Roman"/>
                <w:noProof/>
                <w:webHidden/>
                <w:sz w:val="24"/>
                <w:szCs w:val="24"/>
              </w:rPr>
              <w:tab/>
            </w:r>
            <w:r w:rsidR="00BB1DC9" w:rsidRPr="00BB1DC9">
              <w:rPr>
                <w:rFonts w:ascii="Times New Roman" w:hAnsi="Times New Roman" w:cs="Times New Roman"/>
                <w:noProof/>
                <w:webHidden/>
                <w:sz w:val="24"/>
                <w:szCs w:val="24"/>
              </w:rPr>
              <w:fldChar w:fldCharType="begin"/>
            </w:r>
            <w:r w:rsidR="00BB1DC9" w:rsidRPr="00BB1DC9">
              <w:rPr>
                <w:rFonts w:ascii="Times New Roman" w:hAnsi="Times New Roman" w:cs="Times New Roman"/>
                <w:noProof/>
                <w:webHidden/>
                <w:sz w:val="24"/>
                <w:szCs w:val="24"/>
              </w:rPr>
              <w:instrText xml:space="preserve"> PAGEREF _Toc9222195 \h </w:instrText>
            </w:r>
            <w:r w:rsidR="00BB1DC9" w:rsidRPr="00BB1DC9">
              <w:rPr>
                <w:rFonts w:ascii="Times New Roman" w:hAnsi="Times New Roman" w:cs="Times New Roman"/>
                <w:noProof/>
                <w:webHidden/>
                <w:sz w:val="24"/>
                <w:szCs w:val="24"/>
              </w:rPr>
            </w:r>
            <w:r w:rsidR="00BB1DC9" w:rsidRPr="00BB1DC9">
              <w:rPr>
                <w:rFonts w:ascii="Times New Roman" w:hAnsi="Times New Roman" w:cs="Times New Roman"/>
                <w:noProof/>
                <w:webHidden/>
                <w:sz w:val="24"/>
                <w:szCs w:val="24"/>
              </w:rPr>
              <w:fldChar w:fldCharType="separate"/>
            </w:r>
            <w:r w:rsidR="00BB1DC9" w:rsidRPr="00BB1DC9">
              <w:rPr>
                <w:rFonts w:ascii="Times New Roman" w:hAnsi="Times New Roman" w:cs="Times New Roman"/>
                <w:noProof/>
                <w:webHidden/>
                <w:sz w:val="24"/>
                <w:szCs w:val="24"/>
              </w:rPr>
              <w:t>14</w:t>
            </w:r>
            <w:r w:rsidR="00BB1DC9" w:rsidRPr="00BB1DC9">
              <w:rPr>
                <w:rFonts w:ascii="Times New Roman" w:hAnsi="Times New Roman" w:cs="Times New Roman"/>
                <w:noProof/>
                <w:webHidden/>
                <w:sz w:val="24"/>
                <w:szCs w:val="24"/>
              </w:rPr>
              <w:fldChar w:fldCharType="end"/>
            </w:r>
          </w:hyperlink>
        </w:p>
        <w:p w14:paraId="1B85E491" w14:textId="47D13228" w:rsidR="00BB1DC9" w:rsidRPr="00BB1DC9" w:rsidRDefault="00BB1DC9">
          <w:pPr>
            <w:rPr>
              <w:rFonts w:ascii="Times New Roman" w:hAnsi="Times New Roman" w:cs="Times New Roman"/>
              <w:sz w:val="24"/>
              <w:szCs w:val="24"/>
            </w:rPr>
          </w:pPr>
          <w:r w:rsidRPr="00BB1DC9">
            <w:rPr>
              <w:rFonts w:ascii="Times New Roman" w:hAnsi="Times New Roman" w:cs="Times New Roman"/>
              <w:b/>
              <w:bCs/>
              <w:noProof/>
              <w:sz w:val="24"/>
              <w:szCs w:val="24"/>
            </w:rPr>
            <w:fldChar w:fldCharType="end"/>
          </w:r>
        </w:p>
      </w:sdtContent>
    </w:sdt>
    <w:p w14:paraId="493D0383" w14:textId="77777777" w:rsidR="00BB1DC9" w:rsidRPr="00BB1DC9" w:rsidRDefault="00BB1DC9" w:rsidP="00BB1DC9">
      <w:pPr>
        <w:spacing w:line="480" w:lineRule="auto"/>
        <w:rPr>
          <w:rFonts w:ascii="Times New Roman" w:hAnsi="Times New Roman" w:cs="Times New Roman"/>
          <w:sz w:val="24"/>
          <w:szCs w:val="24"/>
        </w:rPr>
      </w:pPr>
    </w:p>
    <w:p w14:paraId="44BCA5C3" w14:textId="77777777" w:rsidR="00BB1DC9" w:rsidRPr="00BB1DC9" w:rsidRDefault="00BB1DC9" w:rsidP="00B332FF">
      <w:pPr>
        <w:spacing w:line="480" w:lineRule="auto"/>
        <w:jc w:val="center"/>
        <w:rPr>
          <w:rFonts w:ascii="Times New Roman" w:hAnsi="Times New Roman" w:cs="Times New Roman"/>
          <w:sz w:val="24"/>
          <w:szCs w:val="24"/>
        </w:rPr>
      </w:pPr>
    </w:p>
    <w:p w14:paraId="142FF645" w14:textId="77777777" w:rsidR="00BB1DC9" w:rsidRPr="00BB1DC9" w:rsidRDefault="00BB1DC9" w:rsidP="00B332FF">
      <w:pPr>
        <w:spacing w:line="480" w:lineRule="auto"/>
        <w:jc w:val="center"/>
        <w:rPr>
          <w:rFonts w:ascii="Times New Roman" w:hAnsi="Times New Roman" w:cs="Times New Roman"/>
          <w:sz w:val="24"/>
          <w:szCs w:val="24"/>
        </w:rPr>
      </w:pPr>
    </w:p>
    <w:p w14:paraId="0F077309" w14:textId="77777777" w:rsidR="00BB1DC9" w:rsidRPr="00BB1DC9" w:rsidRDefault="00BB1DC9" w:rsidP="00B332FF">
      <w:pPr>
        <w:spacing w:line="480" w:lineRule="auto"/>
        <w:jc w:val="center"/>
        <w:rPr>
          <w:rFonts w:ascii="Times New Roman" w:hAnsi="Times New Roman" w:cs="Times New Roman"/>
          <w:sz w:val="24"/>
          <w:szCs w:val="24"/>
        </w:rPr>
      </w:pPr>
    </w:p>
    <w:p w14:paraId="2BD4DC10" w14:textId="77777777" w:rsidR="00BB1DC9" w:rsidRPr="00BB1DC9" w:rsidRDefault="00BB1DC9" w:rsidP="00B332FF">
      <w:pPr>
        <w:spacing w:line="480" w:lineRule="auto"/>
        <w:jc w:val="center"/>
        <w:rPr>
          <w:rFonts w:ascii="Times New Roman" w:hAnsi="Times New Roman" w:cs="Times New Roman"/>
          <w:sz w:val="24"/>
          <w:szCs w:val="24"/>
        </w:rPr>
      </w:pPr>
    </w:p>
    <w:p w14:paraId="01F67906" w14:textId="77777777" w:rsidR="00B332FF" w:rsidRPr="00BB1DC9" w:rsidRDefault="0058648A" w:rsidP="00B332FF">
      <w:pPr>
        <w:spacing w:line="480" w:lineRule="auto"/>
        <w:jc w:val="center"/>
        <w:rPr>
          <w:rFonts w:ascii="Times New Roman" w:hAnsi="Times New Roman" w:cs="Times New Roman"/>
          <w:sz w:val="24"/>
          <w:szCs w:val="24"/>
        </w:rPr>
      </w:pPr>
      <w:r w:rsidRPr="00BB1DC9">
        <w:rPr>
          <w:rFonts w:ascii="Times New Roman" w:hAnsi="Times New Roman" w:cs="Times New Roman"/>
          <w:sz w:val="24"/>
          <w:szCs w:val="24"/>
        </w:rPr>
        <w:t>Reviewing AASB 16</w:t>
      </w:r>
    </w:p>
    <w:p w14:paraId="678D977F" w14:textId="77777777" w:rsidR="003D6843" w:rsidRPr="00BB1DC9" w:rsidRDefault="003D6843" w:rsidP="00EE6F7B">
      <w:pPr>
        <w:spacing w:line="480" w:lineRule="auto"/>
        <w:rPr>
          <w:rFonts w:ascii="Times New Roman" w:hAnsi="Times New Roman" w:cs="Times New Roman"/>
          <w:i/>
          <w:sz w:val="24"/>
          <w:szCs w:val="24"/>
        </w:rPr>
      </w:pPr>
    </w:p>
    <w:p w14:paraId="3DF9C572" w14:textId="77777777" w:rsidR="00D76B34" w:rsidRPr="00BB1DC9" w:rsidRDefault="0058648A" w:rsidP="00D67CE0">
      <w:pPr>
        <w:pStyle w:val="Heading1"/>
        <w:rPr>
          <w:rFonts w:ascii="Times New Roman" w:hAnsi="Times New Roman" w:cs="Times New Roman"/>
          <w:color w:val="auto"/>
          <w:sz w:val="24"/>
          <w:szCs w:val="24"/>
        </w:rPr>
      </w:pPr>
      <w:bookmarkStart w:id="0" w:name="_Toc9222172"/>
      <w:r w:rsidRPr="00BB1DC9">
        <w:rPr>
          <w:rFonts w:ascii="Times New Roman" w:hAnsi="Times New Roman" w:cs="Times New Roman"/>
          <w:color w:val="auto"/>
          <w:sz w:val="24"/>
          <w:szCs w:val="24"/>
        </w:rPr>
        <w:t>Introduction</w:t>
      </w:r>
      <w:bookmarkEnd w:id="0"/>
    </w:p>
    <w:p w14:paraId="32187CE2" w14:textId="3DD5F410" w:rsidR="00B90497"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Australian Accounting Standard 16 is basically concerned with accounting for leases. This standard has been issued by the AASB which </w:t>
      </w:r>
      <w:r w:rsidR="00EA4428" w:rsidRPr="00BB1DC9">
        <w:rPr>
          <w:rFonts w:ascii="Times New Roman" w:hAnsi="Times New Roman" w:cs="Times New Roman"/>
          <w:sz w:val="24"/>
          <w:szCs w:val="24"/>
        </w:rPr>
        <w:t xml:space="preserve">has the responsibility to make and </w:t>
      </w:r>
      <w:r w:rsidR="00D90FDD">
        <w:rPr>
          <w:rFonts w:ascii="Times New Roman" w:hAnsi="Times New Roman" w:cs="Times New Roman"/>
          <w:sz w:val="24"/>
          <w:szCs w:val="24"/>
        </w:rPr>
        <w:t xml:space="preserve">keep </w:t>
      </w:r>
      <w:r w:rsidR="00EA4428" w:rsidRPr="00BB1DC9">
        <w:rPr>
          <w:rFonts w:ascii="Times New Roman" w:hAnsi="Times New Roman" w:cs="Times New Roman"/>
          <w:sz w:val="24"/>
          <w:szCs w:val="24"/>
        </w:rPr>
        <w:t>the Australian Accounting Standards.</w:t>
      </w:r>
      <w:r w:rsidR="00A14DB7" w:rsidRPr="00BB1DC9">
        <w:rPr>
          <w:rFonts w:ascii="Times New Roman" w:hAnsi="Times New Roman" w:cs="Times New Roman"/>
          <w:sz w:val="24"/>
          <w:szCs w:val="24"/>
        </w:rPr>
        <w:t xml:space="preserve"> The application of these accounting standards to various entities is documented through the AASB 1057 and the application of various tiers for the reporting of </w:t>
      </w:r>
      <w:r w:rsidR="007653EC" w:rsidRPr="00BB1DC9">
        <w:rPr>
          <w:rFonts w:ascii="Times New Roman" w:hAnsi="Times New Roman" w:cs="Times New Roman"/>
          <w:sz w:val="24"/>
          <w:szCs w:val="24"/>
        </w:rPr>
        <w:t>financial information is documented through AASB 1053.</w:t>
      </w:r>
    </w:p>
    <w:p w14:paraId="707BB51A" w14:textId="77777777" w:rsidR="009169D1" w:rsidRPr="00BB1DC9" w:rsidRDefault="0058648A" w:rsidP="00D67CE0">
      <w:pPr>
        <w:pStyle w:val="Heading2"/>
        <w:rPr>
          <w:rFonts w:ascii="Times New Roman" w:hAnsi="Times New Roman" w:cs="Times New Roman"/>
          <w:color w:val="auto"/>
          <w:sz w:val="24"/>
          <w:szCs w:val="24"/>
        </w:rPr>
      </w:pPr>
      <w:bookmarkStart w:id="1" w:name="_Toc9222173"/>
      <w:r w:rsidRPr="00BB1DC9">
        <w:rPr>
          <w:rFonts w:ascii="Times New Roman" w:hAnsi="Times New Roman" w:cs="Times New Roman"/>
          <w:color w:val="auto"/>
          <w:sz w:val="24"/>
          <w:szCs w:val="24"/>
        </w:rPr>
        <w:t>Requirements of this Standard</w:t>
      </w:r>
      <w:bookmarkEnd w:id="1"/>
    </w:p>
    <w:p w14:paraId="54DF9FD4" w14:textId="2E1D5904" w:rsidR="009169D1"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This standard introduces a model that uses single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and the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is required to identify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involved in </w:t>
      </w:r>
      <w:r w:rsidR="002B229C" w:rsidRPr="00BB1DC9">
        <w:rPr>
          <w:rFonts w:ascii="Times New Roman" w:hAnsi="Times New Roman" w:cs="Times New Roman"/>
          <w:sz w:val="24"/>
          <w:szCs w:val="24"/>
        </w:rPr>
        <w:t>all the leases having a term of more than 12 months.</w:t>
      </w:r>
      <w:r w:rsidR="00716186" w:rsidRPr="00BB1DC9">
        <w:rPr>
          <w:rFonts w:ascii="Times New Roman" w:hAnsi="Times New Roman" w:cs="Times New Roman"/>
          <w:sz w:val="24"/>
          <w:szCs w:val="24"/>
        </w:rPr>
        <w:t xml:space="preserve"> The only exception </w:t>
      </w:r>
      <w:r w:rsidR="009667A7" w:rsidRPr="00BB1DC9">
        <w:rPr>
          <w:rFonts w:ascii="Times New Roman" w:hAnsi="Times New Roman" w:cs="Times New Roman"/>
          <w:sz w:val="24"/>
          <w:szCs w:val="24"/>
        </w:rPr>
        <w:t>are</w:t>
      </w:r>
      <w:r w:rsidR="00716186" w:rsidRPr="00BB1DC9">
        <w:rPr>
          <w:rFonts w:ascii="Times New Roman" w:hAnsi="Times New Roman" w:cs="Times New Roman"/>
          <w:sz w:val="24"/>
          <w:szCs w:val="24"/>
        </w:rPr>
        <w:t xml:space="preserve"> </w:t>
      </w:r>
      <w:r w:rsidR="009373E7">
        <w:rPr>
          <w:rFonts w:ascii="Times New Roman" w:hAnsi="Times New Roman" w:cs="Times New Roman"/>
          <w:sz w:val="24"/>
          <w:szCs w:val="24"/>
        </w:rPr>
        <w:t>resource</w:t>
      </w:r>
      <w:r w:rsidR="00716186" w:rsidRPr="00BB1DC9">
        <w:rPr>
          <w:rFonts w:ascii="Times New Roman" w:hAnsi="Times New Roman" w:cs="Times New Roman"/>
          <w:sz w:val="24"/>
          <w:szCs w:val="24"/>
        </w:rPr>
        <w:t>s which have lower values.</w:t>
      </w:r>
      <w:r w:rsidR="00145A65" w:rsidRPr="00BB1DC9">
        <w:rPr>
          <w:rFonts w:ascii="Times New Roman" w:hAnsi="Times New Roman" w:cs="Times New Roman"/>
          <w:sz w:val="24"/>
          <w:szCs w:val="24"/>
        </w:rPr>
        <w:t xml:space="preserve"> This constitutes two parts, a right of use which shows that the </w:t>
      </w:r>
      <w:r w:rsidR="009373E7">
        <w:rPr>
          <w:rFonts w:ascii="Times New Roman" w:hAnsi="Times New Roman" w:cs="Times New Roman"/>
          <w:sz w:val="24"/>
          <w:szCs w:val="24"/>
        </w:rPr>
        <w:t>party that takes on lease</w:t>
      </w:r>
      <w:r w:rsidR="00145A65" w:rsidRPr="00BB1DC9">
        <w:rPr>
          <w:rFonts w:ascii="Times New Roman" w:hAnsi="Times New Roman" w:cs="Times New Roman"/>
          <w:sz w:val="24"/>
          <w:szCs w:val="24"/>
        </w:rPr>
        <w:t xml:space="preserve"> has the </w:t>
      </w:r>
      <w:r w:rsidR="00CF0E18">
        <w:rPr>
          <w:rFonts w:ascii="Times New Roman" w:hAnsi="Times New Roman" w:cs="Times New Roman"/>
          <w:sz w:val="24"/>
          <w:szCs w:val="24"/>
        </w:rPr>
        <w:t>option</w:t>
      </w:r>
      <w:r w:rsidR="00145A65" w:rsidRPr="00BB1DC9">
        <w:rPr>
          <w:rFonts w:ascii="Times New Roman" w:hAnsi="Times New Roman" w:cs="Times New Roman"/>
          <w:sz w:val="24"/>
          <w:szCs w:val="24"/>
        </w:rPr>
        <w:t xml:space="preserve"> </w:t>
      </w:r>
      <w:r w:rsidR="00C41BD6" w:rsidRPr="00BB1DC9">
        <w:rPr>
          <w:rFonts w:ascii="Times New Roman" w:hAnsi="Times New Roman" w:cs="Times New Roman"/>
          <w:sz w:val="24"/>
          <w:szCs w:val="24"/>
        </w:rPr>
        <w:t xml:space="preserve">to use the </w:t>
      </w:r>
      <w:r w:rsidR="00CF0E18">
        <w:rPr>
          <w:rFonts w:ascii="Times New Roman" w:hAnsi="Times New Roman" w:cs="Times New Roman"/>
          <w:sz w:val="24"/>
          <w:szCs w:val="24"/>
        </w:rPr>
        <w:t xml:space="preserve">resource </w:t>
      </w:r>
      <w:r w:rsidR="00C41BD6" w:rsidRPr="00BB1DC9">
        <w:rPr>
          <w:rFonts w:ascii="Times New Roman" w:hAnsi="Times New Roman" w:cs="Times New Roman"/>
          <w:sz w:val="24"/>
          <w:szCs w:val="24"/>
        </w:rPr>
        <w:t xml:space="preserve">under lease and the second part shows liability of the payments made by the </w:t>
      </w:r>
      <w:r w:rsidR="009373E7">
        <w:rPr>
          <w:rFonts w:ascii="Times New Roman" w:hAnsi="Times New Roman" w:cs="Times New Roman"/>
          <w:sz w:val="24"/>
          <w:szCs w:val="24"/>
        </w:rPr>
        <w:t>party that takes on lease</w:t>
      </w:r>
      <w:r w:rsidR="00C41BD6" w:rsidRPr="00BB1DC9">
        <w:rPr>
          <w:rFonts w:ascii="Times New Roman" w:hAnsi="Times New Roman" w:cs="Times New Roman"/>
          <w:sz w:val="24"/>
          <w:szCs w:val="24"/>
        </w:rPr>
        <w:t>.</w:t>
      </w:r>
      <w:r w:rsidR="00747797" w:rsidRPr="00BB1DC9">
        <w:rPr>
          <w:rFonts w:ascii="Times New Roman" w:hAnsi="Times New Roman" w:cs="Times New Roman"/>
          <w:sz w:val="24"/>
          <w:szCs w:val="24"/>
        </w:rPr>
        <w:t xml:space="preserve"> The right of use is measured in a similar way as it is done in other non-financial </w:t>
      </w:r>
      <w:r w:rsidR="009373E7">
        <w:rPr>
          <w:rFonts w:ascii="Times New Roman" w:hAnsi="Times New Roman" w:cs="Times New Roman"/>
          <w:sz w:val="24"/>
          <w:szCs w:val="24"/>
        </w:rPr>
        <w:t>resource</w:t>
      </w:r>
      <w:r w:rsidR="00747797" w:rsidRPr="00BB1DC9">
        <w:rPr>
          <w:rFonts w:ascii="Times New Roman" w:hAnsi="Times New Roman" w:cs="Times New Roman"/>
          <w:sz w:val="24"/>
          <w:szCs w:val="24"/>
        </w:rPr>
        <w:t xml:space="preserve">s and lease liability </w:t>
      </w:r>
      <w:r w:rsidR="007E4A0B" w:rsidRPr="00BB1DC9">
        <w:rPr>
          <w:rFonts w:ascii="Times New Roman" w:hAnsi="Times New Roman" w:cs="Times New Roman"/>
          <w:sz w:val="24"/>
          <w:szCs w:val="24"/>
        </w:rPr>
        <w:t xml:space="preserve">is ascertained in the same way as other financial liabilities. This forces the </w:t>
      </w:r>
      <w:r w:rsidR="009373E7">
        <w:rPr>
          <w:rFonts w:ascii="Times New Roman" w:hAnsi="Times New Roman" w:cs="Times New Roman"/>
          <w:sz w:val="24"/>
          <w:szCs w:val="24"/>
        </w:rPr>
        <w:t>party that takes on lease</w:t>
      </w:r>
      <w:r w:rsidR="007E4A0B" w:rsidRPr="00BB1DC9">
        <w:rPr>
          <w:rFonts w:ascii="Times New Roman" w:hAnsi="Times New Roman" w:cs="Times New Roman"/>
          <w:sz w:val="24"/>
          <w:szCs w:val="24"/>
        </w:rPr>
        <w:t xml:space="preserve"> to record </w:t>
      </w:r>
      <w:r w:rsidR="004F0341" w:rsidRPr="00BB1DC9">
        <w:rPr>
          <w:rFonts w:ascii="Times New Roman" w:hAnsi="Times New Roman" w:cs="Times New Roman"/>
          <w:sz w:val="24"/>
          <w:szCs w:val="24"/>
        </w:rPr>
        <w:t xml:space="preserve">depreciation related to the </w:t>
      </w:r>
      <w:r w:rsidR="009373E7">
        <w:rPr>
          <w:rFonts w:ascii="Times New Roman" w:hAnsi="Times New Roman" w:cs="Times New Roman"/>
          <w:sz w:val="24"/>
          <w:szCs w:val="24"/>
        </w:rPr>
        <w:t>resource</w:t>
      </w:r>
      <w:r w:rsidR="004F0341" w:rsidRPr="00BB1DC9">
        <w:rPr>
          <w:rFonts w:ascii="Times New Roman" w:hAnsi="Times New Roman" w:cs="Times New Roman"/>
          <w:sz w:val="24"/>
          <w:szCs w:val="24"/>
        </w:rPr>
        <w:t xml:space="preserve">s under lease and the interest on lease </w:t>
      </w:r>
      <w:r w:rsidR="009667A7" w:rsidRPr="00BB1DC9">
        <w:rPr>
          <w:rFonts w:ascii="Times New Roman" w:hAnsi="Times New Roman" w:cs="Times New Roman"/>
          <w:sz w:val="24"/>
          <w:szCs w:val="24"/>
        </w:rPr>
        <w:t>liability, repayments</w:t>
      </w:r>
      <w:r w:rsidR="004F0341" w:rsidRPr="00BB1DC9">
        <w:rPr>
          <w:rFonts w:ascii="Times New Roman" w:hAnsi="Times New Roman" w:cs="Times New Roman"/>
          <w:sz w:val="24"/>
          <w:szCs w:val="24"/>
        </w:rPr>
        <w:t xml:space="preserve"> on the lease agreement are divided into principal and interest payments.</w:t>
      </w:r>
      <w:r w:rsidR="007A61F5" w:rsidRPr="00BB1DC9">
        <w:rPr>
          <w:rFonts w:ascii="Times New Roman" w:hAnsi="Times New Roman" w:cs="Times New Roman"/>
          <w:sz w:val="24"/>
          <w:szCs w:val="24"/>
        </w:rPr>
        <w:t xml:space="preserve"> The value of </w:t>
      </w:r>
      <w:r w:rsidR="00CF0E18">
        <w:rPr>
          <w:rFonts w:ascii="Times New Roman" w:hAnsi="Times New Roman" w:cs="Times New Roman"/>
          <w:sz w:val="24"/>
          <w:szCs w:val="24"/>
        </w:rPr>
        <w:t>resources and obligations</w:t>
      </w:r>
      <w:r w:rsidR="007A61F5" w:rsidRPr="00BB1DC9">
        <w:rPr>
          <w:rFonts w:ascii="Times New Roman" w:hAnsi="Times New Roman" w:cs="Times New Roman"/>
          <w:sz w:val="24"/>
          <w:szCs w:val="24"/>
        </w:rPr>
        <w:t xml:space="preserve"> related to leasing are calculated on the basis of </w:t>
      </w:r>
      <w:r w:rsidR="00E07ECF" w:rsidRPr="00BB1DC9">
        <w:rPr>
          <w:rFonts w:ascii="Times New Roman" w:hAnsi="Times New Roman" w:cs="Times New Roman"/>
          <w:sz w:val="24"/>
          <w:szCs w:val="24"/>
        </w:rPr>
        <w:t>present value. This cov</w:t>
      </w:r>
      <w:r w:rsidR="00EC0AE5" w:rsidRPr="00BB1DC9">
        <w:rPr>
          <w:rFonts w:ascii="Times New Roman" w:hAnsi="Times New Roman" w:cs="Times New Roman"/>
          <w:sz w:val="24"/>
          <w:szCs w:val="24"/>
        </w:rPr>
        <w:t xml:space="preserve">ers the lease payments that cannot be canceled as well as payments made if the </w:t>
      </w:r>
      <w:r w:rsidR="009373E7">
        <w:rPr>
          <w:rFonts w:ascii="Times New Roman" w:hAnsi="Times New Roman" w:cs="Times New Roman"/>
          <w:sz w:val="24"/>
          <w:szCs w:val="24"/>
        </w:rPr>
        <w:t>party that takes on lease</w:t>
      </w:r>
      <w:r w:rsidR="00EC0AE5" w:rsidRPr="00BB1DC9">
        <w:rPr>
          <w:rFonts w:ascii="Times New Roman" w:hAnsi="Times New Roman" w:cs="Times New Roman"/>
          <w:sz w:val="24"/>
          <w:szCs w:val="24"/>
        </w:rPr>
        <w:t xml:space="preserve"> is confirmed </w:t>
      </w:r>
      <w:r w:rsidR="009667A7" w:rsidRPr="00BB1DC9">
        <w:rPr>
          <w:rFonts w:ascii="Times New Roman" w:hAnsi="Times New Roman" w:cs="Times New Roman"/>
          <w:sz w:val="24"/>
          <w:szCs w:val="24"/>
        </w:rPr>
        <w:t>to extend in the future</w:t>
      </w:r>
      <w:r w:rsidR="002E6170" w:rsidRPr="00BB1DC9">
        <w:rPr>
          <w:rFonts w:ascii="Times New Roman" w:hAnsi="Times New Roman" w:cs="Times New Roman"/>
          <w:sz w:val="24"/>
          <w:szCs w:val="24"/>
        </w:rPr>
        <w:t xml:space="preserve">. This standard shows the requirements for </w:t>
      </w:r>
      <w:r w:rsidR="009667A7" w:rsidRPr="00BB1DC9">
        <w:rPr>
          <w:rFonts w:ascii="Times New Roman" w:hAnsi="Times New Roman" w:cs="Times New Roman"/>
          <w:sz w:val="24"/>
          <w:szCs w:val="24"/>
        </w:rPr>
        <w:t>a</w:t>
      </w:r>
      <w:r w:rsidR="002E6170" w:rsidRPr="00BB1DC9">
        <w:rPr>
          <w:rFonts w:ascii="Times New Roman" w:hAnsi="Times New Roman" w:cs="Times New Roman"/>
          <w:sz w:val="24"/>
          <w:szCs w:val="24"/>
        </w:rPr>
        <w:t xml:space="preserve"> party that has leased the </w:t>
      </w:r>
      <w:r w:rsidR="009373E7">
        <w:rPr>
          <w:rFonts w:ascii="Times New Roman" w:hAnsi="Times New Roman" w:cs="Times New Roman"/>
          <w:sz w:val="24"/>
          <w:szCs w:val="24"/>
        </w:rPr>
        <w:t>resource</w:t>
      </w:r>
      <w:r w:rsidR="002E6170" w:rsidRPr="00BB1DC9">
        <w:rPr>
          <w:rFonts w:ascii="Times New Roman" w:hAnsi="Times New Roman" w:cs="Times New Roman"/>
          <w:sz w:val="24"/>
          <w:szCs w:val="24"/>
        </w:rPr>
        <w:t xml:space="preserve">. This party will be </w:t>
      </w:r>
      <w:r w:rsidR="005224ED" w:rsidRPr="00BB1DC9">
        <w:rPr>
          <w:rFonts w:ascii="Times New Roman" w:hAnsi="Times New Roman" w:cs="Times New Roman"/>
          <w:sz w:val="24"/>
          <w:szCs w:val="24"/>
        </w:rPr>
        <w:lastRenderedPageBreak/>
        <w:t xml:space="preserve">applying judgment in making a decision </w:t>
      </w:r>
      <w:r w:rsidR="009667A7" w:rsidRPr="00BB1DC9">
        <w:rPr>
          <w:rFonts w:ascii="Times New Roman" w:hAnsi="Times New Roman" w:cs="Times New Roman"/>
          <w:sz w:val="24"/>
          <w:szCs w:val="24"/>
        </w:rPr>
        <w:t xml:space="preserve">as to </w:t>
      </w:r>
      <w:r w:rsidR="00D67CE0" w:rsidRPr="00BB1DC9">
        <w:rPr>
          <w:rFonts w:ascii="Times New Roman" w:hAnsi="Times New Roman" w:cs="Times New Roman"/>
          <w:sz w:val="24"/>
          <w:szCs w:val="24"/>
        </w:rPr>
        <w:t>which</w:t>
      </w:r>
      <w:r w:rsidR="005224ED" w:rsidRPr="00BB1DC9">
        <w:rPr>
          <w:rFonts w:ascii="Times New Roman" w:hAnsi="Times New Roman" w:cs="Times New Roman"/>
          <w:sz w:val="24"/>
          <w:szCs w:val="24"/>
        </w:rPr>
        <w:t xml:space="preserve"> information will be given in the financial statements so that users of the same</w:t>
      </w:r>
      <w:r w:rsidR="00D67CE0" w:rsidRPr="00BB1DC9">
        <w:rPr>
          <w:rFonts w:ascii="Times New Roman" w:hAnsi="Times New Roman" w:cs="Times New Roman"/>
          <w:sz w:val="24"/>
          <w:szCs w:val="24"/>
        </w:rPr>
        <w:t xml:space="preserve"> information</w:t>
      </w:r>
      <w:r w:rsidR="005224ED" w:rsidRPr="00BB1DC9">
        <w:rPr>
          <w:rFonts w:ascii="Times New Roman" w:hAnsi="Times New Roman" w:cs="Times New Roman"/>
          <w:sz w:val="24"/>
          <w:szCs w:val="24"/>
        </w:rPr>
        <w:t xml:space="preserve"> can assess the </w:t>
      </w:r>
      <w:r w:rsidR="00601887" w:rsidRPr="00BB1DC9">
        <w:rPr>
          <w:rFonts w:ascii="Times New Roman" w:hAnsi="Times New Roman" w:cs="Times New Roman"/>
          <w:sz w:val="24"/>
          <w:szCs w:val="24"/>
        </w:rPr>
        <w:t>effects of these transactions o</w:t>
      </w:r>
      <w:r w:rsidR="009667A7" w:rsidRPr="00BB1DC9">
        <w:rPr>
          <w:rFonts w:ascii="Times New Roman" w:hAnsi="Times New Roman" w:cs="Times New Roman"/>
          <w:sz w:val="24"/>
          <w:szCs w:val="24"/>
        </w:rPr>
        <w:t>n</w:t>
      </w:r>
      <w:r w:rsidR="00601887" w:rsidRPr="00BB1DC9">
        <w:rPr>
          <w:rFonts w:ascii="Times New Roman" w:hAnsi="Times New Roman" w:cs="Times New Roman"/>
          <w:sz w:val="24"/>
          <w:szCs w:val="24"/>
        </w:rPr>
        <w:t xml:space="preserve"> various aspects of the business performance.</w:t>
      </w:r>
      <w:r w:rsidR="00661E69" w:rsidRPr="00BB1DC9">
        <w:rPr>
          <w:rFonts w:ascii="Times New Roman" w:hAnsi="Times New Roman" w:cs="Times New Roman"/>
          <w:sz w:val="24"/>
          <w:szCs w:val="24"/>
        </w:rPr>
        <w:t xml:space="preserve"> The accounting requirements of the person who has given </w:t>
      </w:r>
      <w:r w:rsidR="009667A7" w:rsidRPr="00BB1DC9">
        <w:rPr>
          <w:rFonts w:ascii="Times New Roman" w:hAnsi="Times New Roman" w:cs="Times New Roman"/>
          <w:sz w:val="24"/>
          <w:szCs w:val="24"/>
        </w:rPr>
        <w:t>an</w:t>
      </w:r>
      <w:r w:rsidR="00661E69" w:rsidRPr="00BB1DC9">
        <w:rPr>
          <w:rFonts w:ascii="Times New Roman" w:hAnsi="Times New Roman" w:cs="Times New Roman"/>
          <w:sz w:val="24"/>
          <w:szCs w:val="24"/>
        </w:rPr>
        <w:t xml:space="preserve"> </w:t>
      </w:r>
      <w:r w:rsidR="009373E7">
        <w:rPr>
          <w:rFonts w:ascii="Times New Roman" w:hAnsi="Times New Roman" w:cs="Times New Roman"/>
          <w:sz w:val="24"/>
          <w:szCs w:val="24"/>
        </w:rPr>
        <w:t>resource</w:t>
      </w:r>
      <w:r w:rsidR="00661E69" w:rsidRPr="00BB1DC9">
        <w:rPr>
          <w:rFonts w:ascii="Times New Roman" w:hAnsi="Times New Roman" w:cs="Times New Roman"/>
          <w:sz w:val="24"/>
          <w:szCs w:val="24"/>
        </w:rPr>
        <w:t xml:space="preserve"> on lease </w:t>
      </w:r>
      <w:r w:rsidR="002526C5" w:rsidRPr="00BB1DC9">
        <w:rPr>
          <w:rFonts w:ascii="Times New Roman" w:hAnsi="Times New Roman" w:cs="Times New Roman"/>
          <w:sz w:val="24"/>
          <w:szCs w:val="24"/>
        </w:rPr>
        <w:t>are also affected by this accounting standard.</w:t>
      </w:r>
      <w:r w:rsidR="00E6310B" w:rsidRPr="00BB1DC9">
        <w:rPr>
          <w:rFonts w:ascii="Times New Roman" w:hAnsi="Times New Roman" w:cs="Times New Roman"/>
          <w:sz w:val="24"/>
          <w:szCs w:val="24"/>
        </w:rPr>
        <w:t xml:space="preserve"> This party will account for different </w:t>
      </w:r>
      <w:r w:rsidR="00F551E0" w:rsidRPr="00BB1DC9">
        <w:rPr>
          <w:rFonts w:ascii="Times New Roman" w:hAnsi="Times New Roman" w:cs="Times New Roman"/>
          <w:sz w:val="24"/>
          <w:szCs w:val="24"/>
        </w:rPr>
        <w:t>kinds of lease agreements namely the operational as well as finance leases.</w:t>
      </w:r>
      <w:r w:rsidR="00B85252" w:rsidRPr="00BB1DC9">
        <w:rPr>
          <w:rFonts w:ascii="Times New Roman" w:hAnsi="Times New Roman" w:cs="Times New Roman"/>
          <w:sz w:val="24"/>
          <w:szCs w:val="24"/>
        </w:rPr>
        <w:t xml:space="preserve"> These leases will be handled differently. </w:t>
      </w:r>
      <w:r w:rsidR="00501DD8" w:rsidRPr="00BB1DC9">
        <w:rPr>
          <w:rFonts w:ascii="Times New Roman" w:hAnsi="Times New Roman" w:cs="Times New Roman"/>
          <w:sz w:val="24"/>
          <w:szCs w:val="24"/>
        </w:rPr>
        <w:t xml:space="preserve">The lessor is required to </w:t>
      </w:r>
      <w:r w:rsidR="00BD6B3C" w:rsidRPr="00BB1DC9">
        <w:rPr>
          <w:rFonts w:ascii="Times New Roman" w:hAnsi="Times New Roman" w:cs="Times New Roman"/>
          <w:sz w:val="24"/>
          <w:szCs w:val="24"/>
        </w:rPr>
        <w:t>improve the information so that the risk is decreased.</w:t>
      </w:r>
    </w:p>
    <w:p w14:paraId="22036BBF" w14:textId="77777777" w:rsidR="002B207F" w:rsidRPr="00BB1DC9" w:rsidRDefault="0058648A" w:rsidP="0034001D">
      <w:pPr>
        <w:pStyle w:val="Heading2"/>
        <w:rPr>
          <w:rFonts w:ascii="Times New Roman" w:hAnsi="Times New Roman" w:cs="Times New Roman"/>
          <w:color w:val="auto"/>
          <w:sz w:val="24"/>
          <w:szCs w:val="24"/>
        </w:rPr>
      </w:pPr>
      <w:bookmarkStart w:id="2" w:name="_Toc9222174"/>
      <w:r w:rsidRPr="00BB1DC9">
        <w:rPr>
          <w:rFonts w:ascii="Times New Roman" w:hAnsi="Times New Roman" w:cs="Times New Roman"/>
          <w:color w:val="auto"/>
          <w:sz w:val="24"/>
          <w:szCs w:val="24"/>
        </w:rPr>
        <w:t>Date of implementation</w:t>
      </w:r>
      <w:bookmarkEnd w:id="2"/>
    </w:p>
    <w:p w14:paraId="78494F28" w14:textId="77777777" w:rsidR="002B207F"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This standard has been brought to action from January 1, 2019. The entities that apply the AASB 15 can implement this standard before t</w:t>
      </w:r>
      <w:r w:rsidR="009667A7" w:rsidRPr="00BB1DC9">
        <w:rPr>
          <w:rFonts w:ascii="Times New Roman" w:hAnsi="Times New Roman" w:cs="Times New Roman"/>
          <w:sz w:val="24"/>
          <w:szCs w:val="24"/>
        </w:rPr>
        <w:t>he required</w:t>
      </w:r>
      <w:r w:rsidRPr="00BB1DC9">
        <w:rPr>
          <w:rFonts w:ascii="Times New Roman" w:hAnsi="Times New Roman" w:cs="Times New Roman"/>
          <w:sz w:val="24"/>
          <w:szCs w:val="24"/>
        </w:rPr>
        <w:t xml:space="preserve"> date.</w:t>
      </w:r>
    </w:p>
    <w:p w14:paraId="2F6EAA64" w14:textId="77777777" w:rsidR="00EC0752" w:rsidRPr="00BB1DC9" w:rsidRDefault="0058648A" w:rsidP="0034001D">
      <w:pPr>
        <w:pStyle w:val="Heading2"/>
        <w:rPr>
          <w:rFonts w:ascii="Times New Roman" w:hAnsi="Times New Roman" w:cs="Times New Roman"/>
          <w:color w:val="auto"/>
          <w:sz w:val="24"/>
          <w:szCs w:val="24"/>
        </w:rPr>
      </w:pPr>
      <w:bookmarkStart w:id="3" w:name="_Toc9222175"/>
      <w:r w:rsidRPr="00BB1DC9">
        <w:rPr>
          <w:rFonts w:ascii="Times New Roman" w:hAnsi="Times New Roman" w:cs="Times New Roman"/>
          <w:color w:val="auto"/>
          <w:sz w:val="24"/>
          <w:szCs w:val="24"/>
        </w:rPr>
        <w:t>Reason for this standard</w:t>
      </w:r>
      <w:bookmarkEnd w:id="3"/>
    </w:p>
    <w:p w14:paraId="438B97B8" w14:textId="6FD0A7AE" w:rsidR="004F36CC"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For many businesses, leasing constitutes an important aspect of their business. This allows the business to </w:t>
      </w:r>
      <w:r w:rsidR="007601CA" w:rsidRPr="00BB1DC9">
        <w:rPr>
          <w:rFonts w:ascii="Times New Roman" w:hAnsi="Times New Roman" w:cs="Times New Roman"/>
          <w:sz w:val="24"/>
          <w:szCs w:val="24"/>
        </w:rPr>
        <w:t xml:space="preserve">acquire </w:t>
      </w:r>
      <w:r w:rsidRPr="00BB1DC9">
        <w:rPr>
          <w:rFonts w:ascii="Times New Roman" w:hAnsi="Times New Roman" w:cs="Times New Roman"/>
          <w:sz w:val="24"/>
          <w:szCs w:val="24"/>
        </w:rPr>
        <w:t xml:space="preserve">some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on easier terms. The risks that are associated with the ownership of </w:t>
      </w:r>
      <w:r w:rsidR="009373E7">
        <w:rPr>
          <w:rFonts w:ascii="Times New Roman" w:hAnsi="Times New Roman" w:cs="Times New Roman"/>
          <w:sz w:val="24"/>
          <w:szCs w:val="24"/>
        </w:rPr>
        <w:t>resource</w:t>
      </w:r>
      <w:r w:rsidRPr="00BB1DC9">
        <w:rPr>
          <w:rFonts w:ascii="Times New Roman" w:hAnsi="Times New Roman" w:cs="Times New Roman"/>
          <w:sz w:val="24"/>
          <w:szCs w:val="24"/>
        </w:rPr>
        <w:t>s are also avoided with the help of leasing.</w:t>
      </w:r>
      <w:r w:rsidR="000D0AE9" w:rsidRPr="00BB1DC9">
        <w:rPr>
          <w:rFonts w:ascii="Times New Roman" w:hAnsi="Times New Roman" w:cs="Times New Roman"/>
          <w:sz w:val="24"/>
          <w:szCs w:val="24"/>
        </w:rPr>
        <w:t xml:space="preserve"> The involvement of </w:t>
      </w:r>
      <w:r w:rsidR="007601CA" w:rsidRPr="00BB1DC9">
        <w:rPr>
          <w:rFonts w:ascii="Times New Roman" w:hAnsi="Times New Roman" w:cs="Times New Roman"/>
          <w:sz w:val="24"/>
          <w:szCs w:val="24"/>
        </w:rPr>
        <w:t xml:space="preserve">an </w:t>
      </w:r>
      <w:r w:rsidR="000D0AE9" w:rsidRPr="00BB1DC9">
        <w:rPr>
          <w:rFonts w:ascii="Times New Roman" w:hAnsi="Times New Roman" w:cs="Times New Roman"/>
          <w:sz w:val="24"/>
          <w:szCs w:val="24"/>
        </w:rPr>
        <w:t xml:space="preserve">organization in leasing activity will mean that it has to publish the leasing information in such a way that users of </w:t>
      </w:r>
      <w:r w:rsidR="00492FF8" w:rsidRPr="00BB1DC9">
        <w:rPr>
          <w:rFonts w:ascii="Times New Roman" w:hAnsi="Times New Roman" w:cs="Times New Roman"/>
          <w:sz w:val="24"/>
          <w:szCs w:val="24"/>
        </w:rPr>
        <w:t xml:space="preserve">financial statements have a clear picture of what is happening </w:t>
      </w:r>
      <w:r w:rsidR="007601CA" w:rsidRPr="00BB1DC9">
        <w:rPr>
          <w:rFonts w:ascii="Times New Roman" w:hAnsi="Times New Roman" w:cs="Times New Roman"/>
          <w:sz w:val="24"/>
          <w:szCs w:val="24"/>
        </w:rPr>
        <w:t xml:space="preserve">in </w:t>
      </w:r>
      <w:r w:rsidR="00492FF8" w:rsidRPr="00BB1DC9">
        <w:rPr>
          <w:rFonts w:ascii="Times New Roman" w:hAnsi="Times New Roman" w:cs="Times New Roman"/>
          <w:sz w:val="24"/>
          <w:szCs w:val="24"/>
        </w:rPr>
        <w:t>respect to leasing.</w:t>
      </w:r>
      <w:r w:rsidR="00827824" w:rsidRPr="00BB1DC9">
        <w:rPr>
          <w:rFonts w:ascii="Times New Roman" w:hAnsi="Times New Roman" w:cs="Times New Roman"/>
          <w:sz w:val="24"/>
          <w:szCs w:val="24"/>
        </w:rPr>
        <w:t xml:space="preserve"> The model that was used in the past for leases required that the lessor and </w:t>
      </w:r>
      <w:r w:rsidR="009373E7">
        <w:rPr>
          <w:rFonts w:ascii="Times New Roman" w:hAnsi="Times New Roman" w:cs="Times New Roman"/>
          <w:sz w:val="24"/>
          <w:szCs w:val="24"/>
        </w:rPr>
        <w:t>party that takes on lease</w:t>
      </w:r>
      <w:r w:rsidR="00827824" w:rsidRPr="00BB1DC9">
        <w:rPr>
          <w:rFonts w:ascii="Times New Roman" w:hAnsi="Times New Roman" w:cs="Times New Roman"/>
          <w:sz w:val="24"/>
          <w:szCs w:val="24"/>
        </w:rPr>
        <w:t xml:space="preserve"> should identify lease as one of the two types </w:t>
      </w:r>
      <w:r w:rsidR="00207BF2" w:rsidRPr="00BB1DC9">
        <w:rPr>
          <w:rFonts w:ascii="Times New Roman" w:hAnsi="Times New Roman" w:cs="Times New Roman"/>
          <w:sz w:val="24"/>
          <w:szCs w:val="24"/>
        </w:rPr>
        <w:t xml:space="preserve">namely financial or operational. The model was criticized because it did not provide sufficient information for </w:t>
      </w:r>
      <w:r w:rsidR="007601CA" w:rsidRPr="00BB1DC9">
        <w:rPr>
          <w:rFonts w:ascii="Times New Roman" w:hAnsi="Times New Roman" w:cs="Times New Roman"/>
          <w:sz w:val="24"/>
          <w:szCs w:val="24"/>
        </w:rPr>
        <w:t xml:space="preserve">the </w:t>
      </w:r>
      <w:r w:rsidR="00207BF2" w:rsidRPr="00BB1DC9">
        <w:rPr>
          <w:rFonts w:ascii="Times New Roman" w:hAnsi="Times New Roman" w:cs="Times New Roman"/>
          <w:sz w:val="24"/>
          <w:szCs w:val="24"/>
        </w:rPr>
        <w:t>users of financial statements.</w:t>
      </w:r>
      <w:r w:rsidR="00676F51" w:rsidRPr="00BB1DC9">
        <w:rPr>
          <w:rFonts w:ascii="Times New Roman" w:hAnsi="Times New Roman" w:cs="Times New Roman"/>
          <w:sz w:val="24"/>
          <w:szCs w:val="24"/>
        </w:rPr>
        <w:t xml:space="preserve"> leasing transactions were not clearly shown in financial statements and there was no reliable information on the leasing for users.</w:t>
      </w:r>
      <w:r w:rsidR="00F37164" w:rsidRPr="00BB1DC9">
        <w:rPr>
          <w:rFonts w:ascii="Times New Roman" w:hAnsi="Times New Roman" w:cs="Times New Roman"/>
          <w:sz w:val="24"/>
          <w:szCs w:val="24"/>
        </w:rPr>
        <w:t xml:space="preserve"> This drawback was overcome by authorities asking the </w:t>
      </w:r>
      <w:r w:rsidR="009373E7">
        <w:rPr>
          <w:rFonts w:ascii="Times New Roman" w:hAnsi="Times New Roman" w:cs="Times New Roman"/>
          <w:sz w:val="24"/>
          <w:szCs w:val="24"/>
        </w:rPr>
        <w:t>party that takes on lease</w:t>
      </w:r>
      <w:r w:rsidR="00F37164" w:rsidRPr="00BB1DC9">
        <w:rPr>
          <w:rFonts w:ascii="Times New Roman" w:hAnsi="Times New Roman" w:cs="Times New Roman"/>
          <w:sz w:val="24"/>
          <w:szCs w:val="24"/>
        </w:rPr>
        <w:t xml:space="preserve"> to maintain the </w:t>
      </w:r>
      <w:r w:rsidR="009373E7">
        <w:rPr>
          <w:rFonts w:ascii="Times New Roman" w:hAnsi="Times New Roman" w:cs="Times New Roman"/>
          <w:sz w:val="24"/>
          <w:szCs w:val="24"/>
        </w:rPr>
        <w:t>resource</w:t>
      </w:r>
      <w:r w:rsidR="00F37164" w:rsidRPr="00BB1DC9">
        <w:rPr>
          <w:rFonts w:ascii="Times New Roman" w:hAnsi="Times New Roman" w:cs="Times New Roman"/>
          <w:sz w:val="24"/>
          <w:szCs w:val="24"/>
        </w:rPr>
        <w:t>s and liabilities that come out of the lease agreements.</w:t>
      </w:r>
      <w:r w:rsidR="009B1B7C" w:rsidRPr="00BB1DC9">
        <w:rPr>
          <w:rFonts w:ascii="Times New Roman" w:hAnsi="Times New Roman" w:cs="Times New Roman"/>
          <w:sz w:val="24"/>
          <w:szCs w:val="24"/>
        </w:rPr>
        <w:t xml:space="preserve"> This approach will update the books of accounts for the </w:t>
      </w:r>
      <w:r w:rsidR="009373E7">
        <w:rPr>
          <w:rFonts w:ascii="Times New Roman" w:hAnsi="Times New Roman" w:cs="Times New Roman"/>
          <w:sz w:val="24"/>
          <w:szCs w:val="24"/>
        </w:rPr>
        <w:t>party that takes on lease</w:t>
      </w:r>
      <w:r w:rsidR="009B1B7C" w:rsidRPr="00BB1DC9">
        <w:rPr>
          <w:rFonts w:ascii="Times New Roman" w:hAnsi="Times New Roman" w:cs="Times New Roman"/>
          <w:sz w:val="24"/>
          <w:szCs w:val="24"/>
        </w:rPr>
        <w:t xml:space="preserve"> especially the </w:t>
      </w:r>
      <w:r w:rsidR="009373E7">
        <w:rPr>
          <w:rFonts w:ascii="Times New Roman" w:hAnsi="Times New Roman" w:cs="Times New Roman"/>
          <w:sz w:val="24"/>
          <w:szCs w:val="24"/>
        </w:rPr>
        <w:t>resource</w:t>
      </w:r>
      <w:r w:rsidR="009B1B7C" w:rsidRPr="00BB1DC9">
        <w:rPr>
          <w:rFonts w:ascii="Times New Roman" w:hAnsi="Times New Roman" w:cs="Times New Roman"/>
          <w:sz w:val="24"/>
          <w:szCs w:val="24"/>
        </w:rPr>
        <w:t>s and liabilities sections and will provide a better understanding for users</w:t>
      </w:r>
      <w:r w:rsidR="007601CA" w:rsidRPr="00BB1DC9">
        <w:rPr>
          <w:rFonts w:ascii="Times New Roman" w:hAnsi="Times New Roman" w:cs="Times New Roman"/>
          <w:sz w:val="24"/>
          <w:szCs w:val="24"/>
        </w:rPr>
        <w:t>,</w:t>
      </w:r>
      <w:r w:rsidR="009B1B7C" w:rsidRPr="00BB1DC9">
        <w:rPr>
          <w:rFonts w:ascii="Times New Roman" w:hAnsi="Times New Roman" w:cs="Times New Roman"/>
          <w:sz w:val="24"/>
          <w:szCs w:val="24"/>
        </w:rPr>
        <w:t xml:space="preserve"> </w:t>
      </w:r>
      <w:r w:rsidR="009B1B7C" w:rsidRPr="00BB1DC9">
        <w:rPr>
          <w:rFonts w:ascii="Times New Roman" w:hAnsi="Times New Roman" w:cs="Times New Roman"/>
          <w:sz w:val="24"/>
          <w:szCs w:val="24"/>
        </w:rPr>
        <w:lastRenderedPageBreak/>
        <w:t>if they are interested in the lease agreements.</w:t>
      </w:r>
      <w:r w:rsidR="00DD5DF4" w:rsidRPr="00BB1DC9">
        <w:rPr>
          <w:rFonts w:ascii="Times New Roman" w:hAnsi="Times New Roman" w:cs="Times New Roman"/>
          <w:sz w:val="24"/>
          <w:szCs w:val="24"/>
        </w:rPr>
        <w:t xml:space="preserve"> To summarize the discussion, we can say that the </w:t>
      </w:r>
      <w:r w:rsidR="009373E7">
        <w:rPr>
          <w:rFonts w:ascii="Times New Roman" w:hAnsi="Times New Roman" w:cs="Times New Roman"/>
          <w:sz w:val="24"/>
          <w:szCs w:val="24"/>
        </w:rPr>
        <w:t>party that takes on lease</w:t>
      </w:r>
      <w:r w:rsidR="00DD5DF4" w:rsidRPr="00BB1DC9">
        <w:rPr>
          <w:rFonts w:ascii="Times New Roman" w:hAnsi="Times New Roman" w:cs="Times New Roman"/>
          <w:sz w:val="24"/>
          <w:szCs w:val="24"/>
        </w:rPr>
        <w:t xml:space="preserve"> will apply standard procedures to all the leases and the lessor accounting has been unchanged.</w:t>
      </w:r>
    </w:p>
    <w:p w14:paraId="5D483C11" w14:textId="314D9C24" w:rsidR="001B70A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The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is allowed not to apply this standard to short term leases and the leases for which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are of </w:t>
      </w:r>
      <w:r w:rsidR="007601CA" w:rsidRPr="00BB1DC9">
        <w:rPr>
          <w:rFonts w:ascii="Times New Roman" w:hAnsi="Times New Roman" w:cs="Times New Roman"/>
          <w:sz w:val="24"/>
          <w:szCs w:val="24"/>
        </w:rPr>
        <w:t xml:space="preserve">a </w:t>
      </w:r>
      <w:r w:rsidRPr="00BB1DC9">
        <w:rPr>
          <w:rFonts w:ascii="Times New Roman" w:hAnsi="Times New Roman" w:cs="Times New Roman"/>
          <w:sz w:val="24"/>
          <w:szCs w:val="24"/>
        </w:rPr>
        <w:t>lower value.</w:t>
      </w:r>
      <w:r w:rsidR="00950F79" w:rsidRPr="00BB1DC9">
        <w:rPr>
          <w:rFonts w:ascii="Times New Roman" w:hAnsi="Times New Roman" w:cs="Times New Roman"/>
          <w:sz w:val="24"/>
          <w:szCs w:val="24"/>
        </w:rPr>
        <w:t xml:space="preserve"> </w:t>
      </w:r>
    </w:p>
    <w:p w14:paraId="37354A4B" w14:textId="77777777" w:rsidR="002B2D68" w:rsidRPr="00BB1DC9" w:rsidRDefault="0058648A" w:rsidP="0034001D">
      <w:pPr>
        <w:pStyle w:val="Heading2"/>
        <w:rPr>
          <w:rFonts w:ascii="Times New Roman" w:hAnsi="Times New Roman" w:cs="Times New Roman"/>
          <w:color w:val="auto"/>
          <w:sz w:val="24"/>
          <w:szCs w:val="24"/>
        </w:rPr>
      </w:pPr>
      <w:bookmarkStart w:id="4" w:name="_Toc9222176"/>
      <w:r w:rsidRPr="00BB1DC9">
        <w:rPr>
          <w:rFonts w:ascii="Times New Roman" w:hAnsi="Times New Roman" w:cs="Times New Roman"/>
          <w:color w:val="auto"/>
          <w:sz w:val="24"/>
          <w:szCs w:val="24"/>
        </w:rPr>
        <w:t>Comparison</w:t>
      </w:r>
      <w:bookmarkEnd w:id="4"/>
    </w:p>
    <w:p w14:paraId="126FEB3A" w14:textId="52C28ADA" w:rsidR="002B2D68"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Most of the companies need a mixed variety of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to produce a certain level of output or to give a certain kind of service to customers. A company has two options regarding any </w:t>
      </w:r>
      <w:r w:rsidR="009373E7">
        <w:rPr>
          <w:rFonts w:ascii="Times New Roman" w:hAnsi="Times New Roman" w:cs="Times New Roman"/>
          <w:sz w:val="24"/>
          <w:szCs w:val="24"/>
        </w:rPr>
        <w:t>resource</w:t>
      </w:r>
      <w:r w:rsidRPr="00BB1DC9">
        <w:rPr>
          <w:rFonts w:ascii="Times New Roman" w:hAnsi="Times New Roman" w:cs="Times New Roman"/>
          <w:sz w:val="24"/>
          <w:szCs w:val="24"/>
        </w:rPr>
        <w:t>, either to buy or to lease. The lease option does not require that the company makes a huge payment up front. This makes the accounting treatment of the leases a very important topic in the accounting arena.</w:t>
      </w:r>
    </w:p>
    <w:p w14:paraId="6A9FCA96" w14:textId="082F1871" w:rsidR="00E44A38"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A lease agreement is a </w:t>
      </w:r>
      <w:r w:rsidR="00CF0E18">
        <w:rPr>
          <w:rFonts w:ascii="Times New Roman" w:hAnsi="Times New Roman" w:cs="Times New Roman"/>
          <w:sz w:val="24"/>
          <w:szCs w:val="24"/>
        </w:rPr>
        <w:t>settlement</w:t>
      </w:r>
      <w:r w:rsidRPr="00BB1DC9">
        <w:rPr>
          <w:rFonts w:ascii="Times New Roman" w:hAnsi="Times New Roman" w:cs="Times New Roman"/>
          <w:sz w:val="24"/>
          <w:szCs w:val="24"/>
        </w:rPr>
        <w:t xml:space="preserve"> </w:t>
      </w:r>
      <w:r w:rsidR="00CF0E18">
        <w:rPr>
          <w:rFonts w:ascii="Times New Roman" w:hAnsi="Times New Roman" w:cs="Times New Roman"/>
          <w:sz w:val="24"/>
          <w:szCs w:val="24"/>
        </w:rPr>
        <w:t xml:space="preserve">among </w:t>
      </w:r>
      <w:r w:rsidRPr="00BB1DC9">
        <w:rPr>
          <w:rFonts w:ascii="Times New Roman" w:hAnsi="Times New Roman" w:cs="Times New Roman"/>
          <w:sz w:val="24"/>
          <w:szCs w:val="24"/>
        </w:rPr>
        <w:t xml:space="preserve">two </w:t>
      </w:r>
      <w:r w:rsidR="00CF0E18">
        <w:rPr>
          <w:rFonts w:ascii="Times New Roman" w:hAnsi="Times New Roman" w:cs="Times New Roman"/>
          <w:sz w:val="24"/>
          <w:szCs w:val="24"/>
        </w:rPr>
        <w:t>entitie</w:t>
      </w:r>
      <w:r w:rsidRPr="00BB1DC9">
        <w:rPr>
          <w:rFonts w:ascii="Times New Roman" w:hAnsi="Times New Roman" w:cs="Times New Roman"/>
          <w:sz w:val="24"/>
          <w:szCs w:val="24"/>
        </w:rPr>
        <w:t xml:space="preserve">s namely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and lessor. The lessor is the party which has the ownership rights of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In the past,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which were leased were not shown on the balance sheet by the lessor and this resulted in any liability also being </w:t>
      </w:r>
      <w:r w:rsidR="007601CA" w:rsidRPr="00BB1DC9">
        <w:rPr>
          <w:rFonts w:ascii="Times New Roman" w:hAnsi="Times New Roman" w:cs="Times New Roman"/>
          <w:sz w:val="24"/>
          <w:szCs w:val="24"/>
        </w:rPr>
        <w:t xml:space="preserve">omitted </w:t>
      </w:r>
      <w:r w:rsidRPr="00BB1DC9">
        <w:rPr>
          <w:rFonts w:ascii="Times New Roman" w:hAnsi="Times New Roman" w:cs="Times New Roman"/>
          <w:sz w:val="24"/>
          <w:szCs w:val="24"/>
        </w:rPr>
        <w:t xml:space="preserve">from the </w:t>
      </w:r>
      <w:r w:rsidR="008E0E0C" w:rsidRPr="00BB1DC9">
        <w:rPr>
          <w:rFonts w:ascii="Times New Roman" w:hAnsi="Times New Roman" w:cs="Times New Roman"/>
          <w:sz w:val="24"/>
          <w:szCs w:val="24"/>
        </w:rPr>
        <w:t>balance sheet.</w:t>
      </w:r>
      <w:r w:rsidR="00D151A0" w:rsidRPr="00BB1DC9">
        <w:rPr>
          <w:rFonts w:ascii="Times New Roman" w:hAnsi="Times New Roman" w:cs="Times New Roman"/>
          <w:sz w:val="24"/>
          <w:szCs w:val="24"/>
        </w:rPr>
        <w:t xml:space="preserve"> These aspects were known as the off-balance sheet items. Some companies also made some fraudulent acts and kept their liabilities low by showing them in off-balance sheet items.</w:t>
      </w:r>
      <w:r w:rsidR="002C0A57" w:rsidRPr="00BB1DC9">
        <w:rPr>
          <w:rFonts w:ascii="Times New Roman" w:hAnsi="Times New Roman" w:cs="Times New Roman"/>
          <w:sz w:val="24"/>
          <w:szCs w:val="24"/>
        </w:rPr>
        <w:t xml:space="preserve"> </w:t>
      </w:r>
      <w:r w:rsidR="001607C3" w:rsidRPr="00BB1DC9">
        <w:rPr>
          <w:rFonts w:ascii="Times New Roman" w:hAnsi="Times New Roman" w:cs="Times New Roman"/>
          <w:sz w:val="24"/>
          <w:szCs w:val="24"/>
        </w:rPr>
        <w:t xml:space="preserve">This </w:t>
      </w:r>
      <w:r w:rsidR="00A12A9D" w:rsidRPr="00BB1DC9">
        <w:rPr>
          <w:rFonts w:ascii="Times New Roman" w:hAnsi="Times New Roman" w:cs="Times New Roman"/>
          <w:sz w:val="24"/>
          <w:szCs w:val="24"/>
        </w:rPr>
        <w:t>standard identifies two major types of lease, namely finance lease, and operating lease.</w:t>
      </w:r>
    </w:p>
    <w:p w14:paraId="0F2BD761" w14:textId="77777777" w:rsidR="00A14655" w:rsidRPr="00BB1DC9" w:rsidRDefault="0058648A" w:rsidP="0034001D">
      <w:pPr>
        <w:pStyle w:val="Heading2"/>
        <w:rPr>
          <w:rFonts w:ascii="Times New Roman" w:hAnsi="Times New Roman" w:cs="Times New Roman"/>
          <w:color w:val="auto"/>
          <w:sz w:val="24"/>
          <w:szCs w:val="24"/>
        </w:rPr>
      </w:pPr>
      <w:bookmarkStart w:id="5" w:name="_Toc9222177"/>
      <w:r w:rsidRPr="00BB1DC9">
        <w:rPr>
          <w:rFonts w:ascii="Times New Roman" w:hAnsi="Times New Roman" w:cs="Times New Roman"/>
          <w:color w:val="auto"/>
          <w:sz w:val="24"/>
          <w:szCs w:val="24"/>
        </w:rPr>
        <w:t>Finance Lease</w:t>
      </w:r>
      <w:bookmarkEnd w:id="5"/>
    </w:p>
    <w:p w14:paraId="1FF25385" w14:textId="11847CA0" w:rsidR="00A14655"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This kind of lease puts all the risks and benefits associated </w:t>
      </w:r>
      <w:r w:rsidR="007601CA" w:rsidRPr="00BB1DC9">
        <w:rPr>
          <w:rFonts w:ascii="Times New Roman" w:hAnsi="Times New Roman" w:cs="Times New Roman"/>
          <w:sz w:val="24"/>
          <w:szCs w:val="24"/>
        </w:rPr>
        <w:t xml:space="preserve">with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on the </w:t>
      </w:r>
      <w:r w:rsidR="00603829">
        <w:rPr>
          <w:rFonts w:ascii="Times New Roman" w:hAnsi="Times New Roman" w:cs="Times New Roman"/>
          <w:sz w:val="24"/>
          <w:szCs w:val="24"/>
        </w:rPr>
        <w:t>party taking on lease</w:t>
      </w:r>
      <w:r w:rsidRPr="00BB1DC9">
        <w:rPr>
          <w:rFonts w:ascii="Times New Roman" w:hAnsi="Times New Roman" w:cs="Times New Roman"/>
          <w:sz w:val="24"/>
          <w:szCs w:val="24"/>
        </w:rPr>
        <w:t>.</w:t>
      </w:r>
    </w:p>
    <w:p w14:paraId="2E7AE065" w14:textId="77777777" w:rsidR="00A14655" w:rsidRPr="006741EC" w:rsidRDefault="0058648A" w:rsidP="0034001D">
      <w:pPr>
        <w:pStyle w:val="Heading2"/>
        <w:rPr>
          <w:rFonts w:ascii="Times New Roman" w:hAnsi="Times New Roman" w:cs="Times New Roman"/>
          <w:i/>
          <w:color w:val="auto"/>
          <w:sz w:val="24"/>
          <w:szCs w:val="24"/>
        </w:rPr>
      </w:pPr>
      <w:bookmarkStart w:id="6" w:name="_Toc9222178"/>
      <w:r w:rsidRPr="006741EC">
        <w:rPr>
          <w:rFonts w:ascii="Times New Roman" w:hAnsi="Times New Roman" w:cs="Times New Roman"/>
          <w:i/>
          <w:color w:val="auto"/>
          <w:sz w:val="24"/>
          <w:szCs w:val="24"/>
        </w:rPr>
        <w:t>Operating Lease</w:t>
      </w:r>
      <w:bookmarkEnd w:id="6"/>
    </w:p>
    <w:p w14:paraId="3AFF5CAE" w14:textId="77777777" w:rsidR="00A14655"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This is defined as being any lease other than the finance lease.</w:t>
      </w:r>
    </w:p>
    <w:p w14:paraId="71935ED1" w14:textId="77777777" w:rsidR="00AA7260" w:rsidRPr="006741EC" w:rsidRDefault="0058648A" w:rsidP="0034001D">
      <w:pPr>
        <w:pStyle w:val="Heading2"/>
        <w:rPr>
          <w:rFonts w:ascii="Times New Roman" w:hAnsi="Times New Roman" w:cs="Times New Roman"/>
          <w:i/>
          <w:color w:val="auto"/>
          <w:sz w:val="24"/>
          <w:szCs w:val="24"/>
        </w:rPr>
      </w:pPr>
      <w:bookmarkStart w:id="7" w:name="_Toc9222179"/>
      <w:r w:rsidRPr="006741EC">
        <w:rPr>
          <w:rFonts w:ascii="Times New Roman" w:hAnsi="Times New Roman" w:cs="Times New Roman"/>
          <w:i/>
          <w:color w:val="auto"/>
          <w:sz w:val="24"/>
          <w:szCs w:val="24"/>
        </w:rPr>
        <w:lastRenderedPageBreak/>
        <w:t>Classification</w:t>
      </w:r>
      <w:bookmarkEnd w:id="7"/>
    </w:p>
    <w:p w14:paraId="3DA96F70" w14:textId="72DF7304" w:rsidR="00AA7260"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Th</w:t>
      </w:r>
      <w:r w:rsidR="007601CA" w:rsidRPr="00BB1DC9">
        <w:rPr>
          <w:rFonts w:ascii="Times New Roman" w:hAnsi="Times New Roman" w:cs="Times New Roman"/>
          <w:sz w:val="24"/>
          <w:szCs w:val="24"/>
        </w:rPr>
        <w:t>is</w:t>
      </w:r>
      <w:r w:rsidRPr="00BB1DC9">
        <w:rPr>
          <w:rFonts w:ascii="Times New Roman" w:hAnsi="Times New Roman" w:cs="Times New Roman"/>
          <w:sz w:val="24"/>
          <w:szCs w:val="24"/>
        </w:rPr>
        <w:t xml:space="preserve"> kind of lease can be identified by the information that has been provided in a given scenario. </w:t>
      </w:r>
      <w:r w:rsidR="00FD78EC" w:rsidRPr="00BB1DC9">
        <w:rPr>
          <w:rFonts w:ascii="Times New Roman" w:hAnsi="Times New Roman" w:cs="Times New Roman"/>
          <w:sz w:val="24"/>
          <w:szCs w:val="24"/>
        </w:rPr>
        <w:t xml:space="preserve">The main aspect that has to be decided is whether the </w:t>
      </w:r>
      <w:r w:rsidR="00C95D50" w:rsidRPr="00BB1DC9">
        <w:rPr>
          <w:rFonts w:ascii="Times New Roman" w:hAnsi="Times New Roman" w:cs="Times New Roman"/>
          <w:sz w:val="24"/>
          <w:szCs w:val="24"/>
        </w:rPr>
        <w:t xml:space="preserve">benefits and dangers associated with the lease are with the lessor or </w:t>
      </w:r>
      <w:r w:rsidR="009373E7">
        <w:rPr>
          <w:rFonts w:ascii="Times New Roman" w:hAnsi="Times New Roman" w:cs="Times New Roman"/>
          <w:sz w:val="24"/>
          <w:szCs w:val="24"/>
        </w:rPr>
        <w:t>party that takes on lease</w:t>
      </w:r>
      <w:r w:rsidR="00C95D50" w:rsidRPr="00BB1DC9">
        <w:rPr>
          <w:rFonts w:ascii="Times New Roman" w:hAnsi="Times New Roman" w:cs="Times New Roman"/>
          <w:sz w:val="24"/>
          <w:szCs w:val="24"/>
        </w:rPr>
        <w:t>.</w:t>
      </w:r>
      <w:r w:rsidR="006264CC" w:rsidRPr="00BB1DC9">
        <w:rPr>
          <w:rFonts w:ascii="Times New Roman" w:hAnsi="Times New Roman" w:cs="Times New Roman"/>
          <w:sz w:val="24"/>
          <w:szCs w:val="24"/>
        </w:rPr>
        <w:t xml:space="preserve"> </w:t>
      </w:r>
      <w:r w:rsidR="00E72AA7" w:rsidRPr="00BB1DC9">
        <w:rPr>
          <w:rFonts w:ascii="Times New Roman" w:hAnsi="Times New Roman" w:cs="Times New Roman"/>
          <w:sz w:val="24"/>
          <w:szCs w:val="24"/>
        </w:rPr>
        <w:t xml:space="preserve">If both these things are with the </w:t>
      </w:r>
      <w:r w:rsidR="00282CD7">
        <w:rPr>
          <w:rFonts w:ascii="Times New Roman" w:hAnsi="Times New Roman" w:cs="Times New Roman"/>
          <w:sz w:val="24"/>
          <w:szCs w:val="24"/>
        </w:rPr>
        <w:t>party taking on the lease,</w:t>
      </w:r>
      <w:r w:rsidR="00E72AA7" w:rsidRPr="00BB1DC9">
        <w:rPr>
          <w:rFonts w:ascii="Times New Roman" w:hAnsi="Times New Roman" w:cs="Times New Roman"/>
          <w:sz w:val="24"/>
          <w:szCs w:val="24"/>
        </w:rPr>
        <w:t xml:space="preserve"> then it will be considered a finance lease otherwise it will be an operating lease.</w:t>
      </w:r>
      <w:r w:rsidR="000C1EEA" w:rsidRPr="00BB1DC9">
        <w:rPr>
          <w:rFonts w:ascii="Times New Roman" w:hAnsi="Times New Roman" w:cs="Times New Roman"/>
          <w:sz w:val="24"/>
          <w:szCs w:val="24"/>
        </w:rPr>
        <w:t xml:space="preserve"> </w:t>
      </w:r>
    </w:p>
    <w:p w14:paraId="2824EABD" w14:textId="77777777" w:rsidR="000C1EEA" w:rsidRPr="006741EC" w:rsidRDefault="0058648A" w:rsidP="0034001D">
      <w:pPr>
        <w:pStyle w:val="Heading2"/>
        <w:rPr>
          <w:rFonts w:ascii="Times New Roman" w:hAnsi="Times New Roman" w:cs="Times New Roman"/>
          <w:color w:val="auto"/>
          <w:sz w:val="24"/>
          <w:szCs w:val="24"/>
        </w:rPr>
      </w:pPr>
      <w:bookmarkStart w:id="8" w:name="_Toc9222180"/>
      <w:r w:rsidRPr="006741EC">
        <w:rPr>
          <w:rFonts w:ascii="Times New Roman" w:hAnsi="Times New Roman" w:cs="Times New Roman"/>
          <w:color w:val="auto"/>
          <w:sz w:val="24"/>
          <w:szCs w:val="24"/>
        </w:rPr>
        <w:t>Indicators for a Finance Lease</w:t>
      </w:r>
      <w:bookmarkEnd w:id="8"/>
    </w:p>
    <w:p w14:paraId="2B4E2057" w14:textId="1B4AEB24" w:rsidR="000C1EEA"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w:t>
      </w:r>
      <w:r w:rsidR="00D32C83">
        <w:rPr>
          <w:rFonts w:ascii="Times New Roman" w:hAnsi="Times New Roman" w:cs="Times New Roman"/>
          <w:sz w:val="24"/>
          <w:szCs w:val="24"/>
        </w:rPr>
        <w:t xml:space="preserve">prominent </w:t>
      </w:r>
      <w:r w:rsidRPr="00BB1DC9">
        <w:rPr>
          <w:rFonts w:ascii="Times New Roman" w:hAnsi="Times New Roman" w:cs="Times New Roman"/>
          <w:sz w:val="24"/>
          <w:szCs w:val="24"/>
        </w:rPr>
        <w:t xml:space="preserve">discrimination is the fact that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has the privilege of taking advantage of the </w:t>
      </w:r>
      <w:r w:rsidR="00D32C83">
        <w:rPr>
          <w:rFonts w:ascii="Times New Roman" w:hAnsi="Times New Roman" w:cs="Times New Roman"/>
          <w:sz w:val="24"/>
          <w:szCs w:val="24"/>
        </w:rPr>
        <w:t>resource</w:t>
      </w:r>
      <w:r w:rsidRPr="00BB1DC9">
        <w:rPr>
          <w:rFonts w:ascii="Times New Roman" w:hAnsi="Times New Roman" w:cs="Times New Roman"/>
          <w:sz w:val="24"/>
          <w:szCs w:val="24"/>
        </w:rPr>
        <w:t xml:space="preserve"> for most or the whole of its economic </w:t>
      </w:r>
      <w:r w:rsidR="00D32C83">
        <w:rPr>
          <w:rFonts w:ascii="Times New Roman" w:hAnsi="Times New Roman" w:cs="Times New Roman"/>
          <w:sz w:val="24"/>
          <w:szCs w:val="24"/>
        </w:rPr>
        <w:t>tenure</w:t>
      </w:r>
      <w:r w:rsidRPr="00BB1DC9">
        <w:rPr>
          <w:rFonts w:ascii="Times New Roman" w:hAnsi="Times New Roman" w:cs="Times New Roman"/>
          <w:sz w:val="24"/>
          <w:szCs w:val="24"/>
        </w:rPr>
        <w:t>.</w:t>
      </w:r>
      <w:r w:rsidR="00E95334" w:rsidRPr="00BB1DC9">
        <w:rPr>
          <w:rFonts w:ascii="Times New Roman" w:hAnsi="Times New Roman" w:cs="Times New Roman"/>
          <w:sz w:val="24"/>
          <w:szCs w:val="24"/>
        </w:rPr>
        <w:t xml:space="preserve"> The major </w:t>
      </w:r>
      <w:r w:rsidR="00D94AED">
        <w:rPr>
          <w:rFonts w:ascii="Times New Roman" w:hAnsi="Times New Roman" w:cs="Times New Roman"/>
          <w:sz w:val="24"/>
          <w:szCs w:val="24"/>
        </w:rPr>
        <w:t>dangers</w:t>
      </w:r>
      <w:r w:rsidR="00E95334" w:rsidRPr="00BB1DC9">
        <w:rPr>
          <w:rFonts w:ascii="Times New Roman" w:hAnsi="Times New Roman" w:cs="Times New Roman"/>
          <w:sz w:val="24"/>
          <w:szCs w:val="24"/>
        </w:rPr>
        <w:t xml:space="preserve"> pertain to the </w:t>
      </w:r>
      <w:r w:rsidR="00A402C2" w:rsidRPr="00BB1DC9">
        <w:rPr>
          <w:rFonts w:ascii="Times New Roman" w:hAnsi="Times New Roman" w:cs="Times New Roman"/>
          <w:sz w:val="24"/>
          <w:szCs w:val="24"/>
        </w:rPr>
        <w:t xml:space="preserve">payments regarding insurance, repairs, and maintenance of </w:t>
      </w:r>
      <w:r w:rsidR="009373E7">
        <w:rPr>
          <w:rFonts w:ascii="Times New Roman" w:hAnsi="Times New Roman" w:cs="Times New Roman"/>
          <w:sz w:val="24"/>
          <w:szCs w:val="24"/>
        </w:rPr>
        <w:t>resource</w:t>
      </w:r>
      <w:r w:rsidR="00A402C2" w:rsidRPr="00BB1DC9">
        <w:rPr>
          <w:rFonts w:ascii="Times New Roman" w:hAnsi="Times New Roman" w:cs="Times New Roman"/>
          <w:sz w:val="24"/>
          <w:szCs w:val="24"/>
        </w:rPr>
        <w:t>s.</w:t>
      </w:r>
      <w:r w:rsidR="009020D4" w:rsidRPr="00BB1DC9">
        <w:rPr>
          <w:rFonts w:ascii="Times New Roman" w:hAnsi="Times New Roman" w:cs="Times New Roman"/>
          <w:sz w:val="24"/>
          <w:szCs w:val="24"/>
        </w:rPr>
        <w:t xml:space="preserve"> At the start of the agreement, present value of the lowest value of lease payments is equal to the </w:t>
      </w:r>
      <w:r w:rsidR="00D94AED">
        <w:rPr>
          <w:rFonts w:ascii="Times New Roman" w:hAnsi="Times New Roman" w:cs="Times New Roman"/>
          <w:sz w:val="24"/>
          <w:szCs w:val="24"/>
        </w:rPr>
        <w:t>real</w:t>
      </w:r>
      <w:r w:rsidR="009020D4" w:rsidRPr="00BB1DC9">
        <w:rPr>
          <w:rFonts w:ascii="Times New Roman" w:hAnsi="Times New Roman" w:cs="Times New Roman"/>
          <w:sz w:val="24"/>
          <w:szCs w:val="24"/>
        </w:rPr>
        <w:t xml:space="preserve"> value of </w:t>
      </w:r>
      <w:r w:rsidR="009373E7">
        <w:rPr>
          <w:rFonts w:ascii="Times New Roman" w:hAnsi="Times New Roman" w:cs="Times New Roman"/>
          <w:sz w:val="24"/>
          <w:szCs w:val="24"/>
        </w:rPr>
        <w:t>resource</w:t>
      </w:r>
      <w:r w:rsidR="009020D4" w:rsidRPr="00BB1DC9">
        <w:rPr>
          <w:rFonts w:ascii="Times New Roman" w:hAnsi="Times New Roman" w:cs="Times New Roman"/>
          <w:sz w:val="24"/>
          <w:szCs w:val="24"/>
        </w:rPr>
        <w:t>s.</w:t>
      </w:r>
      <w:r w:rsidR="0007367E" w:rsidRPr="00BB1DC9">
        <w:rPr>
          <w:rFonts w:ascii="Times New Roman" w:hAnsi="Times New Roman" w:cs="Times New Roman"/>
          <w:sz w:val="24"/>
          <w:szCs w:val="24"/>
        </w:rPr>
        <w:t xml:space="preserve"> The lease agreement will transfer </w:t>
      </w:r>
      <w:r w:rsidR="00742753">
        <w:rPr>
          <w:rFonts w:ascii="Times New Roman" w:hAnsi="Times New Roman" w:cs="Times New Roman"/>
          <w:sz w:val="24"/>
          <w:szCs w:val="24"/>
        </w:rPr>
        <w:t>rights</w:t>
      </w:r>
      <w:r w:rsidR="0007367E" w:rsidRPr="00BB1DC9">
        <w:rPr>
          <w:rFonts w:ascii="Times New Roman" w:hAnsi="Times New Roman" w:cs="Times New Roman"/>
          <w:sz w:val="24"/>
          <w:szCs w:val="24"/>
        </w:rPr>
        <w:t xml:space="preserve"> of the </w:t>
      </w:r>
      <w:r w:rsidR="00742753">
        <w:rPr>
          <w:rFonts w:ascii="Times New Roman" w:hAnsi="Times New Roman" w:cs="Times New Roman"/>
          <w:sz w:val="24"/>
          <w:szCs w:val="24"/>
        </w:rPr>
        <w:t>resource</w:t>
      </w:r>
      <w:r w:rsidR="002E683D" w:rsidRPr="00BB1DC9">
        <w:rPr>
          <w:rFonts w:ascii="Times New Roman" w:hAnsi="Times New Roman" w:cs="Times New Roman"/>
          <w:sz w:val="24"/>
          <w:szCs w:val="24"/>
        </w:rPr>
        <w:t xml:space="preserve"> to the </w:t>
      </w:r>
      <w:r w:rsidR="009373E7">
        <w:rPr>
          <w:rFonts w:ascii="Times New Roman" w:hAnsi="Times New Roman" w:cs="Times New Roman"/>
          <w:sz w:val="24"/>
          <w:szCs w:val="24"/>
        </w:rPr>
        <w:t>party that takes on lease</w:t>
      </w:r>
      <w:r w:rsidR="002E683D" w:rsidRPr="00BB1DC9">
        <w:rPr>
          <w:rFonts w:ascii="Times New Roman" w:hAnsi="Times New Roman" w:cs="Times New Roman"/>
          <w:sz w:val="24"/>
          <w:szCs w:val="24"/>
        </w:rPr>
        <w:t xml:space="preserve"> at the </w:t>
      </w:r>
      <w:r w:rsidR="00742753">
        <w:rPr>
          <w:rFonts w:ascii="Times New Roman" w:hAnsi="Times New Roman" w:cs="Times New Roman"/>
          <w:sz w:val="24"/>
          <w:szCs w:val="24"/>
        </w:rPr>
        <w:t xml:space="preserve">completion </w:t>
      </w:r>
      <w:r w:rsidR="002E683D" w:rsidRPr="00BB1DC9">
        <w:rPr>
          <w:rFonts w:ascii="Times New Roman" w:hAnsi="Times New Roman" w:cs="Times New Roman"/>
          <w:sz w:val="24"/>
          <w:szCs w:val="24"/>
        </w:rPr>
        <w:t>of the lease agreement.</w:t>
      </w:r>
      <w:r w:rsidR="00172539" w:rsidRPr="00BB1DC9">
        <w:rPr>
          <w:rFonts w:ascii="Times New Roman" w:hAnsi="Times New Roman" w:cs="Times New Roman"/>
          <w:sz w:val="24"/>
          <w:szCs w:val="24"/>
        </w:rPr>
        <w:t xml:space="preserve"> The </w:t>
      </w:r>
      <w:r w:rsidR="00742753">
        <w:rPr>
          <w:rFonts w:ascii="Times New Roman" w:hAnsi="Times New Roman" w:cs="Times New Roman"/>
          <w:sz w:val="24"/>
          <w:szCs w:val="24"/>
        </w:rPr>
        <w:t>resource</w:t>
      </w:r>
      <w:r w:rsidR="00172539" w:rsidRPr="00BB1DC9">
        <w:rPr>
          <w:rFonts w:ascii="Times New Roman" w:hAnsi="Times New Roman" w:cs="Times New Roman"/>
          <w:sz w:val="24"/>
          <w:szCs w:val="24"/>
        </w:rPr>
        <w:t xml:space="preserve"> </w:t>
      </w:r>
      <w:r w:rsidR="007601CA" w:rsidRPr="00BB1DC9">
        <w:rPr>
          <w:rFonts w:ascii="Times New Roman" w:hAnsi="Times New Roman" w:cs="Times New Roman"/>
          <w:sz w:val="24"/>
          <w:szCs w:val="24"/>
        </w:rPr>
        <w:t xml:space="preserve">which </w:t>
      </w:r>
      <w:r w:rsidR="00172539" w:rsidRPr="00BB1DC9">
        <w:rPr>
          <w:rFonts w:ascii="Times New Roman" w:hAnsi="Times New Roman" w:cs="Times New Roman"/>
          <w:sz w:val="24"/>
          <w:szCs w:val="24"/>
        </w:rPr>
        <w:t>is under consideration is of some specialized nature.</w:t>
      </w:r>
      <w:r w:rsidR="008A4643" w:rsidRPr="00BB1DC9">
        <w:rPr>
          <w:rFonts w:ascii="Times New Roman" w:hAnsi="Times New Roman" w:cs="Times New Roman"/>
          <w:sz w:val="24"/>
          <w:szCs w:val="24"/>
        </w:rPr>
        <w:t xml:space="preserve"> </w:t>
      </w:r>
    </w:p>
    <w:p w14:paraId="6F3B6E9D" w14:textId="77777777" w:rsidR="008A4643" w:rsidRPr="00D32C83" w:rsidRDefault="0058648A" w:rsidP="0034001D">
      <w:pPr>
        <w:pStyle w:val="Heading2"/>
        <w:rPr>
          <w:rFonts w:ascii="Times New Roman" w:hAnsi="Times New Roman" w:cs="Times New Roman"/>
          <w:i/>
          <w:color w:val="auto"/>
          <w:sz w:val="24"/>
          <w:szCs w:val="24"/>
        </w:rPr>
      </w:pPr>
      <w:bookmarkStart w:id="9" w:name="_Toc9222181"/>
      <w:r w:rsidRPr="00D32C83">
        <w:rPr>
          <w:rFonts w:ascii="Times New Roman" w:hAnsi="Times New Roman" w:cs="Times New Roman"/>
          <w:i/>
          <w:color w:val="auto"/>
          <w:sz w:val="24"/>
          <w:szCs w:val="24"/>
        </w:rPr>
        <w:t>Finance lease Accounting</w:t>
      </w:r>
      <w:bookmarkEnd w:id="9"/>
    </w:p>
    <w:p w14:paraId="560F620A" w14:textId="345C7FD3" w:rsidR="008A4643"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 xml:space="preserve"> will show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 as a capital item in books and a liability will be set up for the </w:t>
      </w:r>
      <w:r w:rsidR="002B7171" w:rsidRPr="00BB1DC9">
        <w:rPr>
          <w:rFonts w:ascii="Times New Roman" w:hAnsi="Times New Roman" w:cs="Times New Roman"/>
          <w:sz w:val="24"/>
          <w:szCs w:val="24"/>
        </w:rPr>
        <w:t>value of</w:t>
      </w:r>
      <w:r w:rsidR="007601CA" w:rsidRPr="00BB1DC9">
        <w:rPr>
          <w:rFonts w:ascii="Times New Roman" w:hAnsi="Times New Roman" w:cs="Times New Roman"/>
          <w:sz w:val="24"/>
          <w:szCs w:val="24"/>
        </w:rPr>
        <w:t xml:space="preserve"> the</w:t>
      </w:r>
      <w:r w:rsidR="002B7171" w:rsidRPr="00BB1DC9">
        <w:rPr>
          <w:rFonts w:ascii="Times New Roman" w:hAnsi="Times New Roman" w:cs="Times New Roman"/>
          <w:sz w:val="24"/>
          <w:szCs w:val="24"/>
        </w:rPr>
        <w:t xml:space="preserve"> </w:t>
      </w:r>
      <w:bookmarkStart w:id="10" w:name="_GoBack"/>
      <w:bookmarkEnd w:id="10"/>
      <w:r w:rsidR="009373E7">
        <w:rPr>
          <w:rFonts w:ascii="Times New Roman" w:hAnsi="Times New Roman" w:cs="Times New Roman"/>
          <w:sz w:val="24"/>
          <w:szCs w:val="24"/>
        </w:rPr>
        <w:t>resource</w:t>
      </w:r>
      <w:r w:rsidR="002B7171" w:rsidRPr="00BB1DC9">
        <w:rPr>
          <w:rFonts w:ascii="Times New Roman" w:hAnsi="Times New Roman" w:cs="Times New Roman"/>
          <w:sz w:val="24"/>
          <w:szCs w:val="24"/>
        </w:rPr>
        <w:t xml:space="preserve"> recognized.</w:t>
      </w:r>
      <w:r w:rsidR="00CA1ED3" w:rsidRPr="00BB1DC9">
        <w:rPr>
          <w:rFonts w:ascii="Times New Roman" w:hAnsi="Times New Roman" w:cs="Times New Roman"/>
          <w:sz w:val="24"/>
          <w:szCs w:val="24"/>
        </w:rPr>
        <w:t xml:space="preserve"> The </w:t>
      </w:r>
      <w:r w:rsidR="009373E7">
        <w:rPr>
          <w:rFonts w:ascii="Times New Roman" w:hAnsi="Times New Roman" w:cs="Times New Roman"/>
          <w:sz w:val="24"/>
          <w:szCs w:val="24"/>
        </w:rPr>
        <w:t>resource</w:t>
      </w:r>
      <w:r w:rsidR="00CA1ED3" w:rsidRPr="00BB1DC9">
        <w:rPr>
          <w:rFonts w:ascii="Times New Roman" w:hAnsi="Times New Roman" w:cs="Times New Roman"/>
          <w:sz w:val="24"/>
          <w:szCs w:val="24"/>
        </w:rPr>
        <w:t xml:space="preserve">s and liabilities in books will be raised at the same time by recording an </w:t>
      </w:r>
      <w:r w:rsidR="009373E7">
        <w:rPr>
          <w:rFonts w:ascii="Times New Roman" w:hAnsi="Times New Roman" w:cs="Times New Roman"/>
          <w:sz w:val="24"/>
          <w:szCs w:val="24"/>
        </w:rPr>
        <w:t>resource</w:t>
      </w:r>
      <w:r w:rsidR="00CA1ED3" w:rsidRPr="00BB1DC9">
        <w:rPr>
          <w:rFonts w:ascii="Times New Roman" w:hAnsi="Times New Roman" w:cs="Times New Roman"/>
          <w:sz w:val="24"/>
          <w:szCs w:val="24"/>
        </w:rPr>
        <w:t xml:space="preserve"> in the name of non- current </w:t>
      </w:r>
      <w:r w:rsidR="009373E7">
        <w:rPr>
          <w:rFonts w:ascii="Times New Roman" w:hAnsi="Times New Roman" w:cs="Times New Roman"/>
          <w:sz w:val="24"/>
          <w:szCs w:val="24"/>
        </w:rPr>
        <w:t>resource</w:t>
      </w:r>
      <w:r w:rsidR="00CA1ED3" w:rsidRPr="00BB1DC9">
        <w:rPr>
          <w:rFonts w:ascii="Times New Roman" w:hAnsi="Times New Roman" w:cs="Times New Roman"/>
          <w:sz w:val="24"/>
          <w:szCs w:val="24"/>
        </w:rPr>
        <w:t>s and creating a liability in the name of the finance lease liability.</w:t>
      </w:r>
      <w:r w:rsidR="00875ADB" w:rsidRPr="00BB1DC9">
        <w:rPr>
          <w:rFonts w:ascii="Times New Roman" w:hAnsi="Times New Roman" w:cs="Times New Roman"/>
          <w:sz w:val="24"/>
          <w:szCs w:val="24"/>
        </w:rPr>
        <w:t xml:space="preserve"> The value used to record this must be lower </w:t>
      </w:r>
      <w:r w:rsidR="002459AF" w:rsidRPr="00BB1DC9">
        <w:rPr>
          <w:rFonts w:ascii="Times New Roman" w:hAnsi="Times New Roman" w:cs="Times New Roman"/>
          <w:sz w:val="24"/>
          <w:szCs w:val="24"/>
        </w:rPr>
        <w:t xml:space="preserve">to </w:t>
      </w:r>
      <w:r w:rsidR="00875ADB" w:rsidRPr="00BB1DC9">
        <w:rPr>
          <w:rFonts w:ascii="Times New Roman" w:hAnsi="Times New Roman" w:cs="Times New Roman"/>
          <w:sz w:val="24"/>
          <w:szCs w:val="24"/>
        </w:rPr>
        <w:t xml:space="preserve">the fair value of </w:t>
      </w:r>
      <w:r w:rsidR="009373E7">
        <w:rPr>
          <w:rFonts w:ascii="Times New Roman" w:hAnsi="Times New Roman" w:cs="Times New Roman"/>
          <w:sz w:val="24"/>
          <w:szCs w:val="24"/>
        </w:rPr>
        <w:t>resource</w:t>
      </w:r>
      <w:r w:rsidR="00875ADB" w:rsidRPr="00BB1DC9">
        <w:rPr>
          <w:rFonts w:ascii="Times New Roman" w:hAnsi="Times New Roman" w:cs="Times New Roman"/>
          <w:sz w:val="24"/>
          <w:szCs w:val="24"/>
        </w:rPr>
        <w:t xml:space="preserve">s and the present value of the minimum lease payments. </w:t>
      </w:r>
    </w:p>
    <w:p w14:paraId="2730EDC7" w14:textId="77777777" w:rsidR="00E02FDA" w:rsidRPr="00D32C83" w:rsidRDefault="0058648A" w:rsidP="0034001D">
      <w:pPr>
        <w:pStyle w:val="Heading2"/>
        <w:rPr>
          <w:rFonts w:ascii="Times New Roman" w:hAnsi="Times New Roman" w:cs="Times New Roman"/>
          <w:i/>
          <w:color w:val="auto"/>
          <w:sz w:val="24"/>
          <w:szCs w:val="24"/>
        </w:rPr>
      </w:pPr>
      <w:bookmarkStart w:id="11" w:name="_Toc9222182"/>
      <w:r w:rsidRPr="00D32C83">
        <w:rPr>
          <w:rFonts w:ascii="Times New Roman" w:hAnsi="Times New Roman" w:cs="Times New Roman"/>
          <w:i/>
          <w:color w:val="auto"/>
          <w:sz w:val="24"/>
          <w:szCs w:val="24"/>
        </w:rPr>
        <w:lastRenderedPageBreak/>
        <w:t>Further accounting considerations</w:t>
      </w:r>
      <w:bookmarkEnd w:id="11"/>
    </w:p>
    <w:p w14:paraId="1B1EC476" w14:textId="2A81C3F7" w:rsidR="00E02FDA"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For depreciation calculations, the lower term of the lease time and the useful economic life of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 will be used.</w:t>
      </w:r>
      <w:r w:rsidR="00EF7856" w:rsidRPr="00BB1DC9">
        <w:rPr>
          <w:rFonts w:ascii="Times New Roman" w:hAnsi="Times New Roman" w:cs="Times New Roman"/>
          <w:sz w:val="24"/>
          <w:szCs w:val="24"/>
        </w:rPr>
        <w:t xml:space="preserve"> The depreciation expense </w:t>
      </w:r>
      <w:r w:rsidR="0022409B" w:rsidRPr="00BB1DC9">
        <w:rPr>
          <w:rFonts w:ascii="Times New Roman" w:hAnsi="Times New Roman" w:cs="Times New Roman"/>
          <w:sz w:val="24"/>
          <w:szCs w:val="24"/>
        </w:rPr>
        <w:t>will be debited and the accumulated depreciation account is credited.</w:t>
      </w:r>
      <w:r w:rsidR="004238BF" w:rsidRPr="00BB1DC9">
        <w:rPr>
          <w:rFonts w:ascii="Times New Roman" w:hAnsi="Times New Roman" w:cs="Times New Roman"/>
          <w:sz w:val="24"/>
          <w:szCs w:val="24"/>
        </w:rPr>
        <w:t xml:space="preserve"> </w:t>
      </w:r>
    </w:p>
    <w:p w14:paraId="06639C31" w14:textId="098E7D41" w:rsidR="004238BF"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lease agreement explicitly shows whether there is any finance cost associated with the </w:t>
      </w:r>
      <w:r w:rsidR="00691A5B" w:rsidRPr="00BB1DC9">
        <w:rPr>
          <w:rFonts w:ascii="Times New Roman" w:hAnsi="Times New Roman" w:cs="Times New Roman"/>
          <w:sz w:val="24"/>
          <w:szCs w:val="24"/>
        </w:rPr>
        <w:t>lease agreement or not.</w:t>
      </w:r>
      <w:r w:rsidR="00107A2A" w:rsidRPr="00BB1DC9">
        <w:rPr>
          <w:rFonts w:ascii="Times New Roman" w:hAnsi="Times New Roman" w:cs="Times New Roman"/>
          <w:sz w:val="24"/>
          <w:szCs w:val="24"/>
        </w:rPr>
        <w:t xml:space="preserve"> If actual value of the </w:t>
      </w:r>
      <w:r w:rsidR="009373E7">
        <w:rPr>
          <w:rFonts w:ascii="Times New Roman" w:hAnsi="Times New Roman" w:cs="Times New Roman"/>
          <w:sz w:val="24"/>
          <w:szCs w:val="24"/>
        </w:rPr>
        <w:t>resource</w:t>
      </w:r>
      <w:r w:rsidR="00107A2A" w:rsidRPr="00BB1DC9">
        <w:rPr>
          <w:rFonts w:ascii="Times New Roman" w:hAnsi="Times New Roman" w:cs="Times New Roman"/>
          <w:sz w:val="24"/>
          <w:szCs w:val="24"/>
        </w:rPr>
        <w:t xml:space="preserve"> is 10000 and it is leased for four years for a payment of $ 3000 per </w:t>
      </w:r>
      <w:r w:rsidR="00E957E7" w:rsidRPr="00BB1DC9">
        <w:rPr>
          <w:rFonts w:ascii="Times New Roman" w:hAnsi="Times New Roman" w:cs="Times New Roman"/>
          <w:sz w:val="24"/>
          <w:szCs w:val="24"/>
        </w:rPr>
        <w:t>annum,</w:t>
      </w:r>
      <w:r w:rsidR="00107A2A" w:rsidRPr="00BB1DC9">
        <w:rPr>
          <w:rFonts w:ascii="Times New Roman" w:hAnsi="Times New Roman" w:cs="Times New Roman"/>
          <w:sz w:val="24"/>
          <w:szCs w:val="24"/>
        </w:rPr>
        <w:t xml:space="preserve"> this shows that there is a</w:t>
      </w:r>
      <w:r w:rsidR="00E957E7" w:rsidRPr="00BB1DC9">
        <w:rPr>
          <w:rFonts w:ascii="Times New Roman" w:hAnsi="Times New Roman" w:cs="Times New Roman"/>
          <w:sz w:val="24"/>
          <w:szCs w:val="24"/>
        </w:rPr>
        <w:t>n extra $ 2000 that has to be p</w:t>
      </w:r>
      <w:r w:rsidR="00107A2A" w:rsidRPr="00BB1DC9">
        <w:rPr>
          <w:rFonts w:ascii="Times New Roman" w:hAnsi="Times New Roman" w:cs="Times New Roman"/>
          <w:sz w:val="24"/>
          <w:szCs w:val="24"/>
        </w:rPr>
        <w:t>aid in terms of the financial cost.</w:t>
      </w:r>
    </w:p>
    <w:p w14:paraId="366BB58E" w14:textId="77777777" w:rsidR="008365D2" w:rsidRPr="00BB1DC9" w:rsidRDefault="0058648A" w:rsidP="000A7D02">
      <w:pPr>
        <w:pStyle w:val="Heading2"/>
        <w:rPr>
          <w:rFonts w:ascii="Times New Roman" w:hAnsi="Times New Roman" w:cs="Times New Roman"/>
          <w:color w:val="auto"/>
          <w:sz w:val="24"/>
          <w:szCs w:val="24"/>
        </w:rPr>
      </w:pPr>
      <w:bookmarkStart w:id="12" w:name="_Toc9222183"/>
      <w:r w:rsidRPr="00BB1DC9">
        <w:rPr>
          <w:rFonts w:ascii="Times New Roman" w:hAnsi="Times New Roman" w:cs="Times New Roman"/>
          <w:color w:val="auto"/>
          <w:sz w:val="24"/>
          <w:szCs w:val="24"/>
        </w:rPr>
        <w:t>Land and Building</w:t>
      </w:r>
      <w:bookmarkEnd w:id="12"/>
    </w:p>
    <w:p w14:paraId="5D20D370" w14:textId="77777777" w:rsidR="004A4C87" w:rsidRPr="00BB1DC9" w:rsidRDefault="0058648A" w:rsidP="00EE6F7B">
      <w:pPr>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economic life of the land is impossible to ascertain, due to this reason the lease of land </w:t>
      </w:r>
      <w:r w:rsidR="00A9165C" w:rsidRPr="00BB1DC9">
        <w:rPr>
          <w:rFonts w:ascii="Times New Roman" w:hAnsi="Times New Roman" w:cs="Times New Roman"/>
          <w:sz w:val="24"/>
          <w:szCs w:val="24"/>
        </w:rPr>
        <w:t>was treated as operating lease till 2009 unless it was expected that the ownership will be transferred to the other party at the end of the lease.</w:t>
      </w:r>
      <w:r w:rsidR="003774B7" w:rsidRPr="00BB1DC9">
        <w:rPr>
          <w:rFonts w:ascii="Times New Roman" w:hAnsi="Times New Roman" w:cs="Times New Roman"/>
          <w:sz w:val="24"/>
          <w:szCs w:val="24"/>
        </w:rPr>
        <w:t xml:space="preserve"> Thus, the land lease can be treated as a finance lease if the existing criteria </w:t>
      </w:r>
      <w:r w:rsidR="002459AF" w:rsidRPr="00BB1DC9">
        <w:rPr>
          <w:rFonts w:ascii="Times New Roman" w:hAnsi="Times New Roman" w:cs="Times New Roman"/>
          <w:sz w:val="24"/>
          <w:szCs w:val="24"/>
        </w:rPr>
        <w:t>is</w:t>
      </w:r>
      <w:r w:rsidR="003774B7" w:rsidRPr="00BB1DC9">
        <w:rPr>
          <w:rFonts w:ascii="Times New Roman" w:hAnsi="Times New Roman" w:cs="Times New Roman"/>
          <w:sz w:val="24"/>
          <w:szCs w:val="24"/>
        </w:rPr>
        <w:t xml:space="preserve"> fulfilled especially if the dangers and rewards of entitlement can be seen to have been transferred.</w:t>
      </w:r>
      <w:r w:rsidR="00CF6144" w:rsidRPr="00BB1DC9">
        <w:rPr>
          <w:rFonts w:ascii="Times New Roman" w:hAnsi="Times New Roman" w:cs="Times New Roman"/>
          <w:sz w:val="24"/>
          <w:szCs w:val="24"/>
        </w:rPr>
        <w:t xml:space="preserve"> This will also mean that the present value of the lowest lease payments will almost </w:t>
      </w:r>
      <w:r w:rsidR="002459AF" w:rsidRPr="00BB1DC9">
        <w:rPr>
          <w:rFonts w:ascii="Times New Roman" w:hAnsi="Times New Roman" w:cs="Times New Roman"/>
          <w:sz w:val="24"/>
          <w:szCs w:val="24"/>
        </w:rPr>
        <w:t xml:space="preserve">be </w:t>
      </w:r>
      <w:r w:rsidR="00CF6144" w:rsidRPr="00BB1DC9">
        <w:rPr>
          <w:rFonts w:ascii="Times New Roman" w:hAnsi="Times New Roman" w:cs="Times New Roman"/>
          <w:sz w:val="24"/>
          <w:szCs w:val="24"/>
        </w:rPr>
        <w:t xml:space="preserve">equal </w:t>
      </w:r>
      <w:r w:rsidR="002459AF" w:rsidRPr="00BB1DC9">
        <w:rPr>
          <w:rFonts w:ascii="Times New Roman" w:hAnsi="Times New Roman" w:cs="Times New Roman"/>
          <w:sz w:val="24"/>
          <w:szCs w:val="24"/>
        </w:rPr>
        <w:t xml:space="preserve">to </w:t>
      </w:r>
      <w:r w:rsidR="00CF6144" w:rsidRPr="00BB1DC9">
        <w:rPr>
          <w:rFonts w:ascii="Times New Roman" w:hAnsi="Times New Roman" w:cs="Times New Roman"/>
          <w:sz w:val="24"/>
          <w:szCs w:val="24"/>
        </w:rPr>
        <w:t>the fair value of the land.</w:t>
      </w:r>
      <w:r w:rsidR="008B19C5" w:rsidRPr="00BB1DC9">
        <w:rPr>
          <w:rFonts w:ascii="Times New Roman" w:hAnsi="Times New Roman" w:cs="Times New Roman"/>
          <w:sz w:val="24"/>
          <w:szCs w:val="24"/>
        </w:rPr>
        <w:t xml:space="preserve"> The building lease will be treated as a finance lease if it satisfies the said requirements. </w:t>
      </w:r>
    </w:p>
    <w:p w14:paraId="4F5C5B22" w14:textId="436CB0ED" w:rsidR="00420734" w:rsidRPr="00BB1DC9" w:rsidRDefault="0058648A" w:rsidP="000A7D02">
      <w:pPr>
        <w:pStyle w:val="Heading2"/>
        <w:rPr>
          <w:rFonts w:ascii="Times New Roman" w:hAnsi="Times New Roman" w:cs="Times New Roman"/>
          <w:color w:val="auto"/>
          <w:sz w:val="24"/>
          <w:szCs w:val="24"/>
        </w:rPr>
      </w:pPr>
      <w:bookmarkStart w:id="13" w:name="_Toc9222184"/>
      <w:r w:rsidRPr="00BB1DC9">
        <w:rPr>
          <w:rFonts w:ascii="Times New Roman" w:hAnsi="Times New Roman" w:cs="Times New Roman"/>
          <w:color w:val="auto"/>
          <w:sz w:val="24"/>
          <w:szCs w:val="24"/>
        </w:rPr>
        <w:t xml:space="preserve">Disclosure requirements for </w:t>
      </w:r>
      <w:r w:rsidR="009373E7">
        <w:rPr>
          <w:rFonts w:ascii="Times New Roman" w:hAnsi="Times New Roman" w:cs="Times New Roman"/>
          <w:color w:val="auto"/>
          <w:sz w:val="24"/>
          <w:szCs w:val="24"/>
        </w:rPr>
        <w:t>party that takes on lease</w:t>
      </w:r>
      <w:r w:rsidRPr="00BB1DC9">
        <w:rPr>
          <w:rFonts w:ascii="Times New Roman" w:hAnsi="Times New Roman" w:cs="Times New Roman"/>
          <w:color w:val="auto"/>
          <w:sz w:val="24"/>
          <w:szCs w:val="24"/>
        </w:rPr>
        <w:t>s</w:t>
      </w:r>
      <w:bookmarkEnd w:id="13"/>
    </w:p>
    <w:p w14:paraId="25211353" w14:textId="5C903665" w:rsidR="00420734"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            The </w:t>
      </w:r>
      <w:r w:rsidR="009373E7">
        <w:rPr>
          <w:rFonts w:ascii="Times New Roman" w:hAnsi="Times New Roman" w:cs="Times New Roman"/>
          <w:sz w:val="24"/>
          <w:szCs w:val="24"/>
        </w:rPr>
        <w:t>party that takes on lease</w:t>
      </w:r>
      <w:r w:rsidR="00623A75" w:rsidRPr="00BB1DC9">
        <w:rPr>
          <w:rFonts w:ascii="Times New Roman" w:hAnsi="Times New Roman" w:cs="Times New Roman"/>
          <w:sz w:val="24"/>
          <w:szCs w:val="24"/>
        </w:rPr>
        <w:t xml:space="preserve">s have to report the net amount they are carrying at the end of the financial reporting period separately for all classes of </w:t>
      </w:r>
      <w:r w:rsidR="009373E7">
        <w:rPr>
          <w:rFonts w:ascii="Times New Roman" w:hAnsi="Times New Roman" w:cs="Times New Roman"/>
          <w:sz w:val="24"/>
          <w:szCs w:val="24"/>
        </w:rPr>
        <w:t>resource</w:t>
      </w:r>
      <w:r w:rsidR="00623A75" w:rsidRPr="00BB1DC9">
        <w:rPr>
          <w:rFonts w:ascii="Times New Roman" w:hAnsi="Times New Roman" w:cs="Times New Roman"/>
          <w:sz w:val="24"/>
          <w:szCs w:val="24"/>
        </w:rPr>
        <w:t xml:space="preserve">s. The </w:t>
      </w:r>
      <w:r w:rsidR="009373E7">
        <w:rPr>
          <w:rFonts w:ascii="Times New Roman" w:hAnsi="Times New Roman" w:cs="Times New Roman"/>
          <w:sz w:val="24"/>
          <w:szCs w:val="24"/>
        </w:rPr>
        <w:t>party that takes on lease</w:t>
      </w:r>
      <w:r w:rsidR="00623A75" w:rsidRPr="00BB1DC9">
        <w:rPr>
          <w:rFonts w:ascii="Times New Roman" w:hAnsi="Times New Roman" w:cs="Times New Roman"/>
          <w:sz w:val="24"/>
          <w:szCs w:val="24"/>
        </w:rPr>
        <w:t xml:space="preserve"> should bring out a consensus in the form of reconciling the lowest lease payments at the reporting date and the present value. This figure should be reported for three distinct time periods namely not later than 1 year, between 1 and 5 years and later than 5 years.</w:t>
      </w:r>
    </w:p>
    <w:p w14:paraId="71BEC2E2" w14:textId="77777777" w:rsidR="00B8394E" w:rsidRPr="00BB1DC9" w:rsidRDefault="0058648A" w:rsidP="000A7D02">
      <w:pPr>
        <w:pStyle w:val="Heading2"/>
        <w:rPr>
          <w:rFonts w:ascii="Times New Roman" w:hAnsi="Times New Roman" w:cs="Times New Roman"/>
          <w:color w:val="auto"/>
          <w:sz w:val="24"/>
          <w:szCs w:val="24"/>
        </w:rPr>
      </w:pPr>
      <w:bookmarkStart w:id="14" w:name="_Toc9222185"/>
      <w:r w:rsidRPr="00BB1DC9">
        <w:rPr>
          <w:rFonts w:ascii="Times New Roman" w:hAnsi="Times New Roman" w:cs="Times New Roman"/>
          <w:color w:val="auto"/>
          <w:sz w:val="24"/>
          <w:szCs w:val="24"/>
        </w:rPr>
        <w:lastRenderedPageBreak/>
        <w:t>Operating Lease Accounting</w:t>
      </w:r>
      <w:bookmarkEnd w:id="14"/>
    </w:p>
    <w:p w14:paraId="3E475AA1" w14:textId="0C9AF043" w:rsidR="00B8394E" w:rsidRPr="00BB1DC9" w:rsidRDefault="0058648A" w:rsidP="008835F8">
      <w:pPr>
        <w:tabs>
          <w:tab w:val="left" w:pos="6588"/>
        </w:tabs>
        <w:spacing w:line="480" w:lineRule="auto"/>
        <w:ind w:firstLine="720"/>
        <w:rPr>
          <w:rFonts w:ascii="Times New Roman" w:hAnsi="Times New Roman" w:cs="Times New Roman"/>
          <w:sz w:val="24"/>
          <w:szCs w:val="24"/>
        </w:rPr>
      </w:pPr>
      <w:r w:rsidRPr="00BB1DC9">
        <w:rPr>
          <w:rFonts w:ascii="Times New Roman" w:hAnsi="Times New Roman" w:cs="Times New Roman"/>
          <w:sz w:val="24"/>
          <w:szCs w:val="24"/>
        </w:rPr>
        <w:t xml:space="preserve">The operating lease does not require that the dangers and rewards are transferred from one party to the other, this means that the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 will not be recognized in the financial statements of the </w:t>
      </w:r>
      <w:r w:rsidR="009373E7">
        <w:rPr>
          <w:rFonts w:ascii="Times New Roman" w:hAnsi="Times New Roman" w:cs="Times New Roman"/>
          <w:sz w:val="24"/>
          <w:szCs w:val="24"/>
        </w:rPr>
        <w:t>party that takes on lease</w:t>
      </w:r>
      <w:r w:rsidRPr="00BB1DC9">
        <w:rPr>
          <w:rFonts w:ascii="Times New Roman" w:hAnsi="Times New Roman" w:cs="Times New Roman"/>
          <w:sz w:val="24"/>
          <w:szCs w:val="24"/>
        </w:rPr>
        <w:t>.</w:t>
      </w:r>
      <w:r w:rsidR="0020179B" w:rsidRPr="00BB1DC9">
        <w:rPr>
          <w:rFonts w:ascii="Times New Roman" w:hAnsi="Times New Roman" w:cs="Times New Roman"/>
          <w:sz w:val="24"/>
          <w:szCs w:val="24"/>
        </w:rPr>
        <w:t xml:space="preserve"> The rentals, in this case, are shown in the </w:t>
      </w:r>
      <w:r w:rsidR="007E3301" w:rsidRPr="00BB1DC9">
        <w:rPr>
          <w:rFonts w:ascii="Times New Roman" w:hAnsi="Times New Roman" w:cs="Times New Roman"/>
          <w:sz w:val="24"/>
          <w:szCs w:val="24"/>
        </w:rPr>
        <w:t xml:space="preserve">statement of profit and loss account as an expense. </w:t>
      </w:r>
      <w:r w:rsidR="00822A73" w:rsidRPr="00BB1DC9">
        <w:rPr>
          <w:rFonts w:ascii="Times New Roman" w:hAnsi="Times New Roman" w:cs="Times New Roman"/>
          <w:sz w:val="24"/>
          <w:szCs w:val="24"/>
        </w:rPr>
        <w:t xml:space="preserve">This is done on a </w:t>
      </w:r>
      <w:r w:rsidR="002459AF" w:rsidRPr="00BB1DC9">
        <w:rPr>
          <w:rFonts w:ascii="Times New Roman" w:hAnsi="Times New Roman" w:cs="Times New Roman"/>
          <w:sz w:val="24"/>
          <w:szCs w:val="24"/>
        </w:rPr>
        <w:t>straight-line</w:t>
      </w:r>
      <w:r w:rsidR="00822A73" w:rsidRPr="00BB1DC9">
        <w:rPr>
          <w:rFonts w:ascii="Times New Roman" w:hAnsi="Times New Roman" w:cs="Times New Roman"/>
          <w:sz w:val="24"/>
          <w:szCs w:val="24"/>
        </w:rPr>
        <w:t xml:space="preserve"> basis over the time period of the lease agreement</w:t>
      </w:r>
      <w:r w:rsidR="002459AF" w:rsidRPr="00BB1DC9">
        <w:rPr>
          <w:rFonts w:ascii="Times New Roman" w:hAnsi="Times New Roman" w:cs="Times New Roman"/>
          <w:sz w:val="24"/>
          <w:szCs w:val="24"/>
        </w:rPr>
        <w:t>.</w:t>
      </w:r>
      <w:r w:rsidR="005240C2" w:rsidRPr="00BB1DC9">
        <w:rPr>
          <w:rFonts w:ascii="Times New Roman" w:hAnsi="Times New Roman" w:cs="Times New Roman"/>
          <w:sz w:val="24"/>
          <w:szCs w:val="24"/>
        </w:rPr>
        <w:t xml:space="preserve"> difference between the charged amounts and paid amounts will be treated as prepayments and accruals.</w:t>
      </w:r>
    </w:p>
    <w:p w14:paraId="526CA189" w14:textId="77777777" w:rsidR="0018553F" w:rsidRPr="00BB1DC9" w:rsidRDefault="0058648A" w:rsidP="000A7D02">
      <w:pPr>
        <w:pStyle w:val="Heading2"/>
        <w:rPr>
          <w:rFonts w:ascii="Times New Roman" w:hAnsi="Times New Roman" w:cs="Times New Roman"/>
          <w:color w:val="auto"/>
          <w:sz w:val="24"/>
          <w:szCs w:val="24"/>
        </w:rPr>
      </w:pPr>
      <w:bookmarkStart w:id="15" w:name="_Toc9222186"/>
      <w:r w:rsidRPr="00BB1DC9">
        <w:rPr>
          <w:rFonts w:ascii="Times New Roman" w:hAnsi="Times New Roman" w:cs="Times New Roman"/>
          <w:color w:val="auto"/>
          <w:sz w:val="24"/>
          <w:szCs w:val="24"/>
        </w:rPr>
        <w:t>Disclosure requirements</w:t>
      </w:r>
      <w:bookmarkEnd w:id="15"/>
    </w:p>
    <w:p w14:paraId="2C7DF6D0" w14:textId="77777777" w:rsidR="0018553F" w:rsidRPr="00BB1DC9" w:rsidRDefault="0058648A" w:rsidP="00F51D1D">
      <w:pPr>
        <w:tabs>
          <w:tab w:val="left" w:pos="6588"/>
        </w:tabs>
        <w:spacing w:line="480" w:lineRule="auto"/>
        <w:ind w:firstLine="810"/>
        <w:rPr>
          <w:rFonts w:ascii="Times New Roman" w:hAnsi="Times New Roman" w:cs="Times New Roman"/>
          <w:sz w:val="24"/>
          <w:szCs w:val="24"/>
        </w:rPr>
      </w:pPr>
      <w:r w:rsidRPr="00BB1DC9">
        <w:rPr>
          <w:rFonts w:ascii="Times New Roman" w:hAnsi="Times New Roman" w:cs="Times New Roman"/>
          <w:sz w:val="24"/>
          <w:szCs w:val="24"/>
        </w:rPr>
        <w:t>The total of minimum future lease payments for less than one year, for 1 to 5 years and for more than 5 years are disclosed separately.</w:t>
      </w:r>
    </w:p>
    <w:p w14:paraId="77724E92" w14:textId="77777777" w:rsidR="002628AA" w:rsidRPr="00BB1DC9" w:rsidRDefault="0058648A" w:rsidP="0061224A">
      <w:pPr>
        <w:pStyle w:val="Heading1"/>
        <w:rPr>
          <w:rFonts w:ascii="Times New Roman" w:hAnsi="Times New Roman" w:cs="Times New Roman"/>
          <w:color w:val="auto"/>
          <w:sz w:val="24"/>
          <w:szCs w:val="24"/>
        </w:rPr>
      </w:pPr>
      <w:bookmarkStart w:id="16" w:name="_Toc9222187"/>
      <w:r w:rsidRPr="00BB1DC9">
        <w:rPr>
          <w:rFonts w:ascii="Times New Roman" w:hAnsi="Times New Roman" w:cs="Times New Roman"/>
          <w:color w:val="auto"/>
          <w:sz w:val="24"/>
          <w:szCs w:val="24"/>
        </w:rPr>
        <w:t>New Standard IFRS 16</w:t>
      </w:r>
      <w:bookmarkEnd w:id="16"/>
    </w:p>
    <w:p w14:paraId="773D1C0A" w14:textId="7C6DF8D8" w:rsidR="00B5342A" w:rsidRPr="00BB1DC9" w:rsidRDefault="0058648A" w:rsidP="00F51D1D">
      <w:pPr>
        <w:tabs>
          <w:tab w:val="left" w:pos="6588"/>
        </w:tabs>
        <w:spacing w:line="480" w:lineRule="auto"/>
        <w:ind w:firstLine="900"/>
        <w:rPr>
          <w:rFonts w:ascii="Times New Roman" w:hAnsi="Times New Roman" w:cs="Times New Roman"/>
          <w:sz w:val="24"/>
          <w:szCs w:val="24"/>
        </w:rPr>
      </w:pPr>
      <w:r w:rsidRPr="00BB1DC9">
        <w:rPr>
          <w:rFonts w:ascii="Times New Roman" w:hAnsi="Times New Roman" w:cs="Times New Roman"/>
          <w:sz w:val="24"/>
          <w:szCs w:val="24"/>
        </w:rPr>
        <w:t xml:space="preserve">The old standard has now been replaced by the IFRS 16 with effect from January 1, 2018. The first and foremost </w:t>
      </w:r>
      <w:r w:rsidR="00641B2B" w:rsidRPr="00BB1DC9">
        <w:rPr>
          <w:rFonts w:ascii="Times New Roman" w:hAnsi="Times New Roman" w:cs="Times New Roman"/>
          <w:sz w:val="24"/>
          <w:szCs w:val="24"/>
        </w:rPr>
        <w:t xml:space="preserve">distinction </w:t>
      </w:r>
      <w:r w:rsidR="008719BD" w:rsidRPr="00BB1DC9">
        <w:rPr>
          <w:rFonts w:ascii="Times New Roman" w:hAnsi="Times New Roman" w:cs="Times New Roman"/>
          <w:sz w:val="24"/>
          <w:szCs w:val="24"/>
        </w:rPr>
        <w:t xml:space="preserve">between the two is the way in which operating leases will be brought into the balance sheet. Previously the </w:t>
      </w:r>
      <w:r w:rsidR="009373E7">
        <w:rPr>
          <w:rFonts w:ascii="Times New Roman" w:hAnsi="Times New Roman" w:cs="Times New Roman"/>
          <w:sz w:val="24"/>
          <w:szCs w:val="24"/>
        </w:rPr>
        <w:t>party that takes on lease</w:t>
      </w:r>
      <w:r w:rsidR="008719BD" w:rsidRPr="00BB1DC9">
        <w:rPr>
          <w:rFonts w:ascii="Times New Roman" w:hAnsi="Times New Roman" w:cs="Times New Roman"/>
          <w:sz w:val="24"/>
          <w:szCs w:val="24"/>
        </w:rPr>
        <w:t xml:space="preserve"> was allowed to show the </w:t>
      </w:r>
      <w:r w:rsidR="009373E7">
        <w:rPr>
          <w:rFonts w:ascii="Times New Roman" w:hAnsi="Times New Roman" w:cs="Times New Roman"/>
          <w:sz w:val="24"/>
          <w:szCs w:val="24"/>
        </w:rPr>
        <w:t>resource</w:t>
      </w:r>
      <w:r w:rsidR="008719BD" w:rsidRPr="00BB1DC9">
        <w:rPr>
          <w:rFonts w:ascii="Times New Roman" w:hAnsi="Times New Roman" w:cs="Times New Roman"/>
          <w:sz w:val="24"/>
          <w:szCs w:val="24"/>
        </w:rPr>
        <w:t xml:space="preserve">s and liabilities from the operating lease as a footnote to the balance sheet. This caused a certain level of inaccuracy regarding the financial statements in the eyes of external users. </w:t>
      </w:r>
      <w:r w:rsidR="008427B0" w:rsidRPr="00BB1DC9">
        <w:rPr>
          <w:rFonts w:ascii="Times New Roman" w:hAnsi="Times New Roman" w:cs="Times New Roman"/>
          <w:sz w:val="24"/>
          <w:szCs w:val="24"/>
        </w:rPr>
        <w:t xml:space="preserve"> Particularly this aspect is related to the expenses that are outstanding on part of the organization. users have to ascertain the </w:t>
      </w:r>
      <w:r w:rsidR="00BA2336" w:rsidRPr="00BB1DC9">
        <w:rPr>
          <w:rFonts w:ascii="Times New Roman" w:hAnsi="Times New Roman" w:cs="Times New Roman"/>
          <w:sz w:val="24"/>
          <w:szCs w:val="24"/>
        </w:rPr>
        <w:t xml:space="preserve">off-balance sheet liabilities of the </w:t>
      </w:r>
      <w:r w:rsidR="00305512" w:rsidRPr="00BB1DC9">
        <w:rPr>
          <w:rFonts w:ascii="Times New Roman" w:hAnsi="Times New Roman" w:cs="Times New Roman"/>
          <w:sz w:val="24"/>
          <w:szCs w:val="24"/>
        </w:rPr>
        <w:t xml:space="preserve">organization failing which will overestimate the value of the organization. </w:t>
      </w:r>
      <w:r w:rsidR="00C36652" w:rsidRPr="00BB1DC9">
        <w:rPr>
          <w:rFonts w:ascii="Times New Roman" w:hAnsi="Times New Roman" w:cs="Times New Roman"/>
          <w:sz w:val="24"/>
          <w:szCs w:val="24"/>
        </w:rPr>
        <w:t xml:space="preserve">The users will not be able to </w:t>
      </w:r>
      <w:r w:rsidR="00E77FBC" w:rsidRPr="00BB1DC9">
        <w:rPr>
          <w:rFonts w:ascii="Times New Roman" w:hAnsi="Times New Roman" w:cs="Times New Roman"/>
          <w:sz w:val="24"/>
          <w:szCs w:val="24"/>
        </w:rPr>
        <w:t xml:space="preserve">compare the organizations that buy </w:t>
      </w:r>
      <w:r w:rsidR="009373E7">
        <w:rPr>
          <w:rFonts w:ascii="Times New Roman" w:hAnsi="Times New Roman" w:cs="Times New Roman"/>
          <w:sz w:val="24"/>
          <w:szCs w:val="24"/>
        </w:rPr>
        <w:t>resource</w:t>
      </w:r>
      <w:r w:rsidR="00E77FBC" w:rsidRPr="00BB1DC9">
        <w:rPr>
          <w:rFonts w:ascii="Times New Roman" w:hAnsi="Times New Roman" w:cs="Times New Roman"/>
          <w:sz w:val="24"/>
          <w:szCs w:val="24"/>
        </w:rPr>
        <w:t>s to those which lease them if the leased aspects are shown off the balance sheet.</w:t>
      </w:r>
      <w:r w:rsidR="001D17E6" w:rsidRPr="00BB1DC9">
        <w:rPr>
          <w:rFonts w:ascii="Times New Roman" w:hAnsi="Times New Roman" w:cs="Times New Roman"/>
          <w:sz w:val="24"/>
          <w:szCs w:val="24"/>
        </w:rPr>
        <w:t xml:space="preserve"> </w:t>
      </w:r>
      <w:r w:rsidR="00BE7774" w:rsidRPr="00BB1DC9">
        <w:rPr>
          <w:rFonts w:ascii="Times New Roman" w:hAnsi="Times New Roman" w:cs="Times New Roman"/>
          <w:sz w:val="24"/>
          <w:szCs w:val="24"/>
        </w:rPr>
        <w:t xml:space="preserve">The current standard changes the scenario by requiring a </w:t>
      </w:r>
      <w:r w:rsidR="009373E7">
        <w:rPr>
          <w:rFonts w:ascii="Times New Roman" w:hAnsi="Times New Roman" w:cs="Times New Roman"/>
          <w:sz w:val="24"/>
          <w:szCs w:val="24"/>
        </w:rPr>
        <w:t>party that takes on lease</w:t>
      </w:r>
      <w:r w:rsidR="00BE7774" w:rsidRPr="00BB1DC9">
        <w:rPr>
          <w:rFonts w:ascii="Times New Roman" w:hAnsi="Times New Roman" w:cs="Times New Roman"/>
          <w:sz w:val="24"/>
          <w:szCs w:val="24"/>
        </w:rPr>
        <w:t xml:space="preserve"> to recognize the </w:t>
      </w:r>
      <w:r w:rsidR="009373E7">
        <w:rPr>
          <w:rFonts w:ascii="Times New Roman" w:hAnsi="Times New Roman" w:cs="Times New Roman"/>
          <w:sz w:val="24"/>
          <w:szCs w:val="24"/>
        </w:rPr>
        <w:t>resource</w:t>
      </w:r>
      <w:r w:rsidR="00BE7774" w:rsidRPr="00BB1DC9">
        <w:rPr>
          <w:rFonts w:ascii="Times New Roman" w:hAnsi="Times New Roman" w:cs="Times New Roman"/>
          <w:sz w:val="24"/>
          <w:szCs w:val="24"/>
        </w:rPr>
        <w:t xml:space="preserve">s related to the </w:t>
      </w:r>
      <w:r w:rsidR="00247E3A" w:rsidRPr="00BB1DC9">
        <w:rPr>
          <w:rFonts w:ascii="Times New Roman" w:hAnsi="Times New Roman" w:cs="Times New Roman"/>
          <w:sz w:val="24"/>
          <w:szCs w:val="24"/>
        </w:rPr>
        <w:t xml:space="preserve">lease on the balance sheet. This includes both the </w:t>
      </w:r>
      <w:r w:rsidR="009373E7">
        <w:rPr>
          <w:rFonts w:ascii="Times New Roman" w:hAnsi="Times New Roman" w:cs="Times New Roman"/>
          <w:sz w:val="24"/>
          <w:szCs w:val="24"/>
        </w:rPr>
        <w:t>resource</w:t>
      </w:r>
      <w:r w:rsidR="00247E3A" w:rsidRPr="00BB1DC9">
        <w:rPr>
          <w:rFonts w:ascii="Times New Roman" w:hAnsi="Times New Roman" w:cs="Times New Roman"/>
          <w:sz w:val="24"/>
          <w:szCs w:val="24"/>
        </w:rPr>
        <w:t>s as well as the liabilities associated with the lease agreement.</w:t>
      </w:r>
      <w:r w:rsidR="00EB7953" w:rsidRPr="00BB1DC9">
        <w:rPr>
          <w:rFonts w:ascii="Times New Roman" w:hAnsi="Times New Roman" w:cs="Times New Roman"/>
          <w:sz w:val="24"/>
          <w:szCs w:val="24"/>
        </w:rPr>
        <w:t xml:space="preserve"> This difference will see a large difference related to various financial metrics when leases are considered.</w:t>
      </w:r>
    </w:p>
    <w:p w14:paraId="7E69A623" w14:textId="1AAA4E0B" w:rsidR="006278C3"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lastRenderedPageBreak/>
        <w:t xml:space="preserve">In the past financial leases were considered as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and operating leases were considered expenses. The new standard considers all leases as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w:t>
      </w:r>
    </w:p>
    <w:p w14:paraId="36178C52" w14:textId="77777777" w:rsidR="003A3201" w:rsidRPr="00BB1DC9" w:rsidRDefault="0058648A" w:rsidP="0061224A">
      <w:pPr>
        <w:pStyle w:val="Heading2"/>
        <w:rPr>
          <w:rFonts w:ascii="Times New Roman" w:hAnsi="Times New Roman" w:cs="Times New Roman"/>
          <w:color w:val="auto"/>
          <w:sz w:val="24"/>
          <w:szCs w:val="24"/>
        </w:rPr>
      </w:pPr>
      <w:bookmarkStart w:id="17" w:name="_Toc9222188"/>
      <w:r w:rsidRPr="00BB1DC9">
        <w:rPr>
          <w:rFonts w:ascii="Times New Roman" w:hAnsi="Times New Roman" w:cs="Times New Roman"/>
          <w:color w:val="auto"/>
          <w:sz w:val="24"/>
          <w:szCs w:val="24"/>
        </w:rPr>
        <w:t>Why is it necessary to differentiate?</w:t>
      </w:r>
      <w:bookmarkEnd w:id="17"/>
    </w:p>
    <w:p w14:paraId="406EE627" w14:textId="727031BB" w:rsidR="003A3201" w:rsidRPr="00BB1DC9" w:rsidRDefault="0058648A" w:rsidP="00F51D1D">
      <w:pPr>
        <w:tabs>
          <w:tab w:val="left" w:pos="6588"/>
        </w:tabs>
        <w:spacing w:line="480" w:lineRule="auto"/>
        <w:ind w:firstLine="990"/>
        <w:rPr>
          <w:rFonts w:ascii="Times New Roman" w:hAnsi="Times New Roman" w:cs="Times New Roman"/>
          <w:sz w:val="24"/>
          <w:szCs w:val="24"/>
        </w:rPr>
      </w:pPr>
      <w:r w:rsidRPr="00BB1DC9">
        <w:rPr>
          <w:rFonts w:ascii="Times New Roman" w:hAnsi="Times New Roman" w:cs="Times New Roman"/>
          <w:sz w:val="24"/>
          <w:szCs w:val="24"/>
        </w:rPr>
        <w:t xml:space="preserve">The changes will allow the users to improve the comparability of the financial statements between organizations that buy an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 and those who take it on lease.</w:t>
      </w:r>
      <w:r w:rsidR="008454DA" w:rsidRPr="00BB1DC9">
        <w:rPr>
          <w:rFonts w:ascii="Times New Roman" w:hAnsi="Times New Roman" w:cs="Times New Roman"/>
          <w:sz w:val="24"/>
          <w:szCs w:val="24"/>
        </w:rPr>
        <w:t xml:space="preserve"> </w:t>
      </w:r>
    </w:p>
    <w:p w14:paraId="79804121" w14:textId="77777777" w:rsidR="008454DA" w:rsidRPr="00BB1DC9" w:rsidRDefault="0058648A" w:rsidP="0061224A">
      <w:pPr>
        <w:pStyle w:val="Heading1"/>
        <w:rPr>
          <w:rFonts w:ascii="Times New Roman" w:hAnsi="Times New Roman" w:cs="Times New Roman"/>
          <w:color w:val="auto"/>
          <w:sz w:val="24"/>
          <w:szCs w:val="24"/>
        </w:rPr>
      </w:pPr>
      <w:bookmarkStart w:id="18" w:name="_Toc9222189"/>
      <w:r w:rsidRPr="00BB1DC9">
        <w:rPr>
          <w:rFonts w:ascii="Times New Roman" w:hAnsi="Times New Roman" w:cs="Times New Roman"/>
          <w:color w:val="auto"/>
          <w:sz w:val="24"/>
          <w:szCs w:val="24"/>
        </w:rPr>
        <w:t>Impacts</w:t>
      </w:r>
      <w:bookmarkEnd w:id="18"/>
    </w:p>
    <w:p w14:paraId="484F7C75" w14:textId="77777777" w:rsidR="008454DA" w:rsidRPr="00BB1DC9" w:rsidRDefault="0058648A" w:rsidP="0061224A">
      <w:pPr>
        <w:pStyle w:val="Heading2"/>
        <w:rPr>
          <w:rFonts w:ascii="Times New Roman" w:hAnsi="Times New Roman" w:cs="Times New Roman"/>
          <w:color w:val="auto"/>
          <w:sz w:val="24"/>
          <w:szCs w:val="24"/>
        </w:rPr>
      </w:pPr>
      <w:bookmarkStart w:id="19" w:name="_Toc9222190"/>
      <w:r w:rsidRPr="00BB1DC9">
        <w:rPr>
          <w:rFonts w:ascii="Times New Roman" w:hAnsi="Times New Roman" w:cs="Times New Roman"/>
          <w:color w:val="auto"/>
          <w:sz w:val="24"/>
          <w:szCs w:val="24"/>
        </w:rPr>
        <w:t>Financial report impact</w:t>
      </w:r>
      <w:bookmarkEnd w:id="19"/>
    </w:p>
    <w:p w14:paraId="2C667CE1" w14:textId="4D6E540B" w:rsidR="00931FFB" w:rsidRPr="00BB1DC9" w:rsidRDefault="0058648A" w:rsidP="00F51D1D">
      <w:pPr>
        <w:tabs>
          <w:tab w:val="left" w:pos="6588"/>
        </w:tabs>
        <w:spacing w:line="480" w:lineRule="auto"/>
        <w:ind w:firstLine="1080"/>
        <w:rPr>
          <w:rFonts w:ascii="Times New Roman" w:hAnsi="Times New Roman" w:cs="Times New Roman"/>
          <w:sz w:val="24"/>
          <w:szCs w:val="24"/>
        </w:rPr>
      </w:pPr>
      <w:r w:rsidRPr="00BB1DC9">
        <w:rPr>
          <w:rFonts w:ascii="Times New Roman" w:hAnsi="Times New Roman" w:cs="Times New Roman"/>
          <w:sz w:val="24"/>
          <w:szCs w:val="24"/>
        </w:rPr>
        <w:t xml:space="preserve">The operating leases will be capitalized and the businesses which use more of these leases, the financial metrics for such businesses will change. Various ratios such as </w:t>
      </w:r>
      <w:r w:rsidR="009373E7">
        <w:rPr>
          <w:rFonts w:ascii="Times New Roman" w:hAnsi="Times New Roman" w:cs="Times New Roman"/>
          <w:sz w:val="24"/>
          <w:szCs w:val="24"/>
        </w:rPr>
        <w:t>resource</w:t>
      </w:r>
      <w:r w:rsidRPr="00BB1DC9">
        <w:rPr>
          <w:rFonts w:ascii="Times New Roman" w:hAnsi="Times New Roman" w:cs="Times New Roman"/>
          <w:sz w:val="24"/>
          <w:szCs w:val="24"/>
        </w:rPr>
        <w:t>s turnover, equity and operating expenses are likely to see a decrease.</w:t>
      </w:r>
      <w:r w:rsidR="00522A8B" w:rsidRPr="00BB1DC9">
        <w:rPr>
          <w:rFonts w:ascii="Times New Roman" w:hAnsi="Times New Roman" w:cs="Times New Roman"/>
          <w:sz w:val="24"/>
          <w:szCs w:val="24"/>
        </w:rPr>
        <w:t xml:space="preserve"> </w:t>
      </w:r>
    </w:p>
    <w:p w14:paraId="72D19E8C" w14:textId="77777777" w:rsidR="00522A8B"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The change in the metrics and ratios will mea</w:t>
      </w:r>
      <w:r w:rsidR="00ED5A83" w:rsidRPr="00BB1DC9">
        <w:rPr>
          <w:rFonts w:ascii="Times New Roman" w:hAnsi="Times New Roman" w:cs="Times New Roman"/>
          <w:sz w:val="24"/>
          <w:szCs w:val="24"/>
        </w:rPr>
        <w:t>n that the company will have to take some extra care while explaining the changes in figures.</w:t>
      </w:r>
      <w:r w:rsidR="001B25F7" w:rsidRPr="00BB1DC9">
        <w:rPr>
          <w:rFonts w:ascii="Times New Roman" w:hAnsi="Times New Roman" w:cs="Times New Roman"/>
          <w:sz w:val="24"/>
          <w:szCs w:val="24"/>
        </w:rPr>
        <w:t xml:space="preserve"> The change may bring out some breaking of agreements and contract whether they are internal or external in nature. This may include the payment to some employees </w:t>
      </w:r>
      <w:r w:rsidR="003C08A5" w:rsidRPr="00BB1DC9">
        <w:rPr>
          <w:rFonts w:ascii="Times New Roman" w:hAnsi="Times New Roman" w:cs="Times New Roman"/>
          <w:sz w:val="24"/>
          <w:szCs w:val="24"/>
        </w:rPr>
        <w:t>if they achieve some minimum criteria for some ratio. With the change, it may not be possible for them to achieve such minimum criteria.</w:t>
      </w:r>
      <w:r w:rsidR="00E11720" w:rsidRPr="00BB1DC9">
        <w:rPr>
          <w:rFonts w:ascii="Times New Roman" w:hAnsi="Times New Roman" w:cs="Times New Roman"/>
          <w:sz w:val="24"/>
          <w:szCs w:val="24"/>
        </w:rPr>
        <w:t xml:space="preserve"> </w:t>
      </w:r>
      <w:r w:rsidR="00007DE4" w:rsidRPr="00BB1DC9">
        <w:rPr>
          <w:rFonts w:ascii="Times New Roman" w:hAnsi="Times New Roman" w:cs="Times New Roman"/>
          <w:sz w:val="24"/>
          <w:szCs w:val="24"/>
        </w:rPr>
        <w:t xml:space="preserve">Similar considerations can be made in </w:t>
      </w:r>
      <w:r w:rsidR="002459AF" w:rsidRPr="00BB1DC9">
        <w:rPr>
          <w:rFonts w:ascii="Times New Roman" w:hAnsi="Times New Roman" w:cs="Times New Roman"/>
          <w:sz w:val="24"/>
          <w:szCs w:val="24"/>
        </w:rPr>
        <w:t xml:space="preserve">the </w:t>
      </w:r>
      <w:r w:rsidR="00007DE4" w:rsidRPr="00BB1DC9">
        <w:rPr>
          <w:rFonts w:ascii="Times New Roman" w:hAnsi="Times New Roman" w:cs="Times New Roman"/>
          <w:sz w:val="24"/>
          <w:szCs w:val="24"/>
        </w:rPr>
        <w:t>case of shareholders and investors.</w:t>
      </w:r>
    </w:p>
    <w:p w14:paraId="6EBC66C1" w14:textId="77777777" w:rsidR="00007DE4" w:rsidRPr="00BB1DC9" w:rsidRDefault="0058648A" w:rsidP="00793674">
      <w:pPr>
        <w:pStyle w:val="Heading2"/>
        <w:rPr>
          <w:rFonts w:ascii="Times New Roman" w:hAnsi="Times New Roman" w:cs="Times New Roman"/>
          <w:color w:val="auto"/>
          <w:sz w:val="24"/>
          <w:szCs w:val="24"/>
        </w:rPr>
      </w:pPr>
      <w:bookmarkStart w:id="20" w:name="_Toc9222191"/>
      <w:r w:rsidRPr="00BB1DC9">
        <w:rPr>
          <w:rFonts w:ascii="Times New Roman" w:hAnsi="Times New Roman" w:cs="Times New Roman"/>
          <w:color w:val="auto"/>
          <w:sz w:val="24"/>
          <w:szCs w:val="24"/>
        </w:rPr>
        <w:t>Accountant involvement</w:t>
      </w:r>
      <w:bookmarkEnd w:id="20"/>
    </w:p>
    <w:p w14:paraId="4CBEEABB" w14:textId="77777777" w:rsidR="00007DE4" w:rsidRPr="00BB1DC9" w:rsidRDefault="0058648A" w:rsidP="00F51D1D">
      <w:pPr>
        <w:tabs>
          <w:tab w:val="left" w:pos="6588"/>
        </w:tabs>
        <w:spacing w:line="480" w:lineRule="auto"/>
        <w:ind w:firstLine="1170"/>
        <w:rPr>
          <w:rFonts w:ascii="Times New Roman" w:hAnsi="Times New Roman" w:cs="Times New Roman"/>
          <w:sz w:val="24"/>
          <w:szCs w:val="24"/>
        </w:rPr>
      </w:pPr>
      <w:r w:rsidRPr="00BB1DC9">
        <w:rPr>
          <w:rFonts w:ascii="Times New Roman" w:hAnsi="Times New Roman" w:cs="Times New Roman"/>
          <w:sz w:val="24"/>
          <w:szCs w:val="24"/>
        </w:rPr>
        <w:t xml:space="preserve">There will be a considerable impact on changes in the accounting department and </w:t>
      </w:r>
      <w:r w:rsidR="002459AF" w:rsidRPr="00BB1DC9">
        <w:rPr>
          <w:rFonts w:ascii="Times New Roman" w:hAnsi="Times New Roman" w:cs="Times New Roman"/>
          <w:sz w:val="24"/>
          <w:szCs w:val="24"/>
        </w:rPr>
        <w:t xml:space="preserve">those related to </w:t>
      </w:r>
      <w:r w:rsidRPr="00BB1DC9">
        <w:rPr>
          <w:rFonts w:ascii="Times New Roman" w:hAnsi="Times New Roman" w:cs="Times New Roman"/>
          <w:sz w:val="24"/>
          <w:szCs w:val="24"/>
        </w:rPr>
        <w:t>accountants.</w:t>
      </w:r>
      <w:r w:rsidR="0079224A" w:rsidRPr="00BB1DC9">
        <w:rPr>
          <w:rFonts w:ascii="Times New Roman" w:hAnsi="Times New Roman" w:cs="Times New Roman"/>
          <w:sz w:val="24"/>
          <w:szCs w:val="24"/>
        </w:rPr>
        <w:t xml:space="preserve"> This impact will be more prominent in the first year of reporting after the change.</w:t>
      </w:r>
      <w:r w:rsidR="002726C0" w:rsidRPr="00BB1DC9">
        <w:rPr>
          <w:rFonts w:ascii="Times New Roman" w:hAnsi="Times New Roman" w:cs="Times New Roman"/>
          <w:sz w:val="24"/>
          <w:szCs w:val="24"/>
        </w:rPr>
        <w:t xml:space="preserve"> The internal attitude towards leasing will change as they will need to know more about the </w:t>
      </w:r>
      <w:r w:rsidR="004D34F3" w:rsidRPr="00BB1DC9">
        <w:rPr>
          <w:rFonts w:ascii="Times New Roman" w:hAnsi="Times New Roman" w:cs="Times New Roman"/>
          <w:sz w:val="24"/>
          <w:szCs w:val="24"/>
        </w:rPr>
        <w:t>leases and their treatment in financial statements.</w:t>
      </w:r>
    </w:p>
    <w:p w14:paraId="533FE212" w14:textId="77777777" w:rsidR="002E2630"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In the old standard, accountants did not have any complex transactions to handle. The volume of operating leases was significantly higher as compared to the finance leases. Thus, </w:t>
      </w:r>
      <w:r w:rsidR="002459AF" w:rsidRPr="00BB1DC9">
        <w:rPr>
          <w:rFonts w:ascii="Times New Roman" w:hAnsi="Times New Roman" w:cs="Times New Roman"/>
          <w:sz w:val="24"/>
          <w:szCs w:val="24"/>
        </w:rPr>
        <w:t xml:space="preserve">a </w:t>
      </w:r>
      <w:r w:rsidRPr="00BB1DC9">
        <w:rPr>
          <w:rFonts w:ascii="Times New Roman" w:hAnsi="Times New Roman" w:cs="Times New Roman"/>
          <w:sz w:val="24"/>
          <w:szCs w:val="24"/>
        </w:rPr>
        <w:t>number and complexity of transactions related to leases were low.</w:t>
      </w:r>
    </w:p>
    <w:p w14:paraId="54D0BA15" w14:textId="77777777" w:rsidR="002E2630" w:rsidRPr="00BB1DC9" w:rsidRDefault="002459AF"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lastRenderedPageBreak/>
        <w:t>According to the</w:t>
      </w:r>
      <w:r w:rsidR="0058648A" w:rsidRPr="00BB1DC9">
        <w:rPr>
          <w:rFonts w:ascii="Times New Roman" w:hAnsi="Times New Roman" w:cs="Times New Roman"/>
          <w:sz w:val="24"/>
          <w:szCs w:val="24"/>
        </w:rPr>
        <w:t xml:space="preserve"> new standard, the company has to show all the lea</w:t>
      </w:r>
      <w:r w:rsidR="000B7D6E" w:rsidRPr="00BB1DC9">
        <w:rPr>
          <w:rFonts w:ascii="Times New Roman" w:hAnsi="Times New Roman" w:cs="Times New Roman"/>
          <w:sz w:val="24"/>
          <w:szCs w:val="24"/>
        </w:rPr>
        <w:t>ses on the balance sheets. Thus</w:t>
      </w:r>
      <w:r w:rsidR="0058648A" w:rsidRPr="00BB1DC9">
        <w:rPr>
          <w:rFonts w:ascii="Times New Roman" w:hAnsi="Times New Roman" w:cs="Times New Roman"/>
          <w:sz w:val="24"/>
          <w:szCs w:val="24"/>
        </w:rPr>
        <w:t xml:space="preserve">, the company will have to get involved in a large number of complex transactions regarding </w:t>
      </w:r>
      <w:r w:rsidR="000B7D6E" w:rsidRPr="00BB1DC9">
        <w:rPr>
          <w:rFonts w:ascii="Times New Roman" w:hAnsi="Times New Roman" w:cs="Times New Roman"/>
          <w:sz w:val="24"/>
          <w:szCs w:val="24"/>
        </w:rPr>
        <w:t>amortizations</w:t>
      </w:r>
      <w:r w:rsidR="0058648A" w:rsidRPr="00BB1DC9">
        <w:rPr>
          <w:rFonts w:ascii="Times New Roman" w:hAnsi="Times New Roman" w:cs="Times New Roman"/>
          <w:sz w:val="24"/>
          <w:szCs w:val="24"/>
        </w:rPr>
        <w:t>.</w:t>
      </w:r>
    </w:p>
    <w:p w14:paraId="667FA6E5" w14:textId="77777777" w:rsidR="00D76B34" w:rsidRPr="00BB1DC9" w:rsidRDefault="0058648A" w:rsidP="00793674">
      <w:pPr>
        <w:pStyle w:val="Heading1"/>
        <w:rPr>
          <w:rFonts w:ascii="Times New Roman" w:hAnsi="Times New Roman" w:cs="Times New Roman"/>
          <w:color w:val="auto"/>
          <w:sz w:val="24"/>
          <w:szCs w:val="24"/>
        </w:rPr>
      </w:pPr>
      <w:bookmarkStart w:id="21" w:name="_Toc9222192"/>
      <w:r w:rsidRPr="00BB1DC9">
        <w:rPr>
          <w:rFonts w:ascii="Times New Roman" w:hAnsi="Times New Roman" w:cs="Times New Roman"/>
          <w:color w:val="auto"/>
          <w:sz w:val="24"/>
          <w:szCs w:val="24"/>
        </w:rPr>
        <w:t>Company Chosen</w:t>
      </w:r>
      <w:bookmarkEnd w:id="21"/>
    </w:p>
    <w:p w14:paraId="4A329547" w14:textId="77777777" w:rsidR="00667198"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The company that we have chosen is Walmart.</w:t>
      </w:r>
    </w:p>
    <w:p w14:paraId="1195A8D3" w14:textId="2B71DD9F" w:rsidR="00CC2D32"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Walmart is involved in the leasing of various </w:t>
      </w:r>
      <w:r w:rsidR="009373E7">
        <w:rPr>
          <w:rFonts w:ascii="Times New Roman" w:hAnsi="Times New Roman" w:cs="Times New Roman"/>
          <w:sz w:val="24"/>
          <w:szCs w:val="24"/>
        </w:rPr>
        <w:t>resource</w:t>
      </w:r>
      <w:r w:rsidRPr="00BB1DC9">
        <w:rPr>
          <w:rFonts w:ascii="Times New Roman" w:hAnsi="Times New Roman" w:cs="Times New Roman"/>
          <w:sz w:val="24"/>
          <w:szCs w:val="24"/>
        </w:rPr>
        <w:t>s including land, buildings, etc. The valuation of the lease term is done by keeping in view a renewal option where some fine or other punishment</w:t>
      </w:r>
      <w:r w:rsidR="000364C1" w:rsidRPr="00BB1DC9">
        <w:rPr>
          <w:rFonts w:ascii="Times New Roman" w:hAnsi="Times New Roman" w:cs="Times New Roman"/>
          <w:sz w:val="24"/>
          <w:szCs w:val="24"/>
        </w:rPr>
        <w:t>s</w:t>
      </w:r>
      <w:r w:rsidRPr="00BB1DC9">
        <w:rPr>
          <w:rFonts w:ascii="Times New Roman" w:hAnsi="Times New Roman" w:cs="Times New Roman"/>
          <w:sz w:val="24"/>
          <w:szCs w:val="24"/>
        </w:rPr>
        <w:t xml:space="preserve"> exist </w:t>
      </w:r>
      <w:r w:rsidR="00983B83" w:rsidRPr="00BB1DC9">
        <w:rPr>
          <w:rFonts w:ascii="Times New Roman" w:hAnsi="Times New Roman" w:cs="Times New Roman"/>
          <w:sz w:val="24"/>
          <w:szCs w:val="24"/>
        </w:rPr>
        <w:t>if the lease is abandoned other than cancellation</w:t>
      </w:r>
      <w:sdt>
        <w:sdtPr>
          <w:rPr>
            <w:rFonts w:ascii="Times New Roman" w:hAnsi="Times New Roman" w:cs="Times New Roman"/>
            <w:sz w:val="24"/>
            <w:szCs w:val="24"/>
          </w:rPr>
          <w:id w:val="-1337460873"/>
          <w:citation/>
        </w:sdtPr>
        <w:sdtEndPr/>
        <w:sdtContent>
          <w:r w:rsidR="00546DCF" w:rsidRPr="00BB1DC9">
            <w:rPr>
              <w:rFonts w:ascii="Times New Roman" w:hAnsi="Times New Roman" w:cs="Times New Roman"/>
              <w:sz w:val="24"/>
              <w:szCs w:val="24"/>
            </w:rPr>
            <w:fldChar w:fldCharType="begin"/>
          </w:r>
          <w:r w:rsidR="00546DCF" w:rsidRPr="00BB1DC9">
            <w:rPr>
              <w:rFonts w:ascii="Times New Roman" w:hAnsi="Times New Roman" w:cs="Times New Roman"/>
              <w:sz w:val="24"/>
              <w:szCs w:val="24"/>
            </w:rPr>
            <w:instrText xml:space="preserve"> CITATION Sto19 \l 1033 </w:instrText>
          </w:r>
          <w:r w:rsidR="00546DCF" w:rsidRPr="00BB1DC9">
            <w:rPr>
              <w:rFonts w:ascii="Times New Roman" w:hAnsi="Times New Roman" w:cs="Times New Roman"/>
              <w:sz w:val="24"/>
              <w:szCs w:val="24"/>
            </w:rPr>
            <w:fldChar w:fldCharType="separate"/>
          </w:r>
          <w:r w:rsidR="00546DCF" w:rsidRPr="00BB1DC9">
            <w:rPr>
              <w:rFonts w:ascii="Times New Roman" w:hAnsi="Times New Roman" w:cs="Times New Roman"/>
              <w:noProof/>
              <w:sz w:val="24"/>
              <w:szCs w:val="24"/>
            </w:rPr>
            <w:t xml:space="preserve"> (Stock-analysis-on-net, 2019)</w:t>
          </w:r>
          <w:r w:rsidR="00546DCF" w:rsidRPr="00BB1DC9">
            <w:rPr>
              <w:rFonts w:ascii="Times New Roman" w:hAnsi="Times New Roman" w:cs="Times New Roman"/>
              <w:sz w:val="24"/>
              <w:szCs w:val="24"/>
            </w:rPr>
            <w:fldChar w:fldCharType="end"/>
          </w:r>
        </w:sdtContent>
      </w:sdt>
      <w:r w:rsidR="00983B83" w:rsidRPr="00BB1DC9">
        <w:rPr>
          <w:rFonts w:ascii="Times New Roman" w:hAnsi="Times New Roman" w:cs="Times New Roman"/>
          <w:sz w:val="24"/>
          <w:szCs w:val="24"/>
        </w:rPr>
        <w:t>.</w:t>
      </w:r>
      <w:r w:rsidR="00617018" w:rsidRPr="00BB1DC9">
        <w:rPr>
          <w:rFonts w:ascii="Times New Roman" w:hAnsi="Times New Roman" w:cs="Times New Roman"/>
          <w:sz w:val="24"/>
          <w:szCs w:val="24"/>
        </w:rPr>
        <w:t xml:space="preserve"> The company reserves the right of such renewal.</w:t>
      </w:r>
      <w:r w:rsidR="00846B36" w:rsidRPr="00BB1DC9">
        <w:rPr>
          <w:rFonts w:ascii="Times New Roman" w:hAnsi="Times New Roman" w:cs="Times New Roman"/>
          <w:sz w:val="24"/>
          <w:szCs w:val="24"/>
        </w:rPr>
        <w:t xml:space="preserve"> time involved in any lease will determine whether it is to be treated as a capital lease or operating lease.</w:t>
      </w:r>
      <w:r w:rsidR="00134643" w:rsidRPr="00BB1DC9">
        <w:rPr>
          <w:rFonts w:ascii="Times New Roman" w:hAnsi="Times New Roman" w:cs="Times New Roman"/>
          <w:sz w:val="24"/>
          <w:szCs w:val="24"/>
        </w:rPr>
        <w:t xml:space="preserve"> useful life of the lease is determined by comparing the lease term and economic life of the </w:t>
      </w:r>
      <w:r w:rsidR="009373E7">
        <w:rPr>
          <w:rFonts w:ascii="Times New Roman" w:hAnsi="Times New Roman" w:cs="Times New Roman"/>
          <w:sz w:val="24"/>
          <w:szCs w:val="24"/>
        </w:rPr>
        <w:t>resource</w:t>
      </w:r>
      <w:r w:rsidR="005A33E1" w:rsidRPr="00BB1DC9">
        <w:rPr>
          <w:rFonts w:ascii="Times New Roman" w:hAnsi="Times New Roman" w:cs="Times New Roman"/>
          <w:sz w:val="24"/>
          <w:szCs w:val="24"/>
        </w:rPr>
        <w:t>, whichever is lower.</w:t>
      </w:r>
      <w:r w:rsidR="002254C2" w:rsidRPr="00BB1DC9">
        <w:rPr>
          <w:rFonts w:ascii="Times New Roman" w:hAnsi="Times New Roman" w:cs="Times New Roman"/>
          <w:sz w:val="24"/>
          <w:szCs w:val="24"/>
        </w:rPr>
        <w:t xml:space="preserve"> changes in rent payments are considered while calculating minimum lease payments.</w:t>
      </w:r>
    </w:p>
    <w:p w14:paraId="357A6CF0" w14:textId="5B9A99F7" w:rsidR="008D6AF1"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The company is often involved in constructing </w:t>
      </w:r>
      <w:r w:rsidR="000364C1" w:rsidRPr="00BB1DC9">
        <w:rPr>
          <w:rFonts w:ascii="Times New Roman" w:hAnsi="Times New Roman" w:cs="Times New Roman"/>
          <w:sz w:val="24"/>
          <w:szCs w:val="24"/>
        </w:rPr>
        <w:t>required</w:t>
      </w:r>
      <w:r w:rsidRPr="00BB1DC9">
        <w:rPr>
          <w:rFonts w:ascii="Times New Roman" w:hAnsi="Times New Roman" w:cs="Times New Roman"/>
          <w:sz w:val="24"/>
          <w:szCs w:val="24"/>
        </w:rPr>
        <w:t xml:space="preserve"> leased stores. Certain payments during the projects show as if Walmart is</w:t>
      </w:r>
      <w:r w:rsidR="00A579C3" w:rsidRPr="00BB1DC9">
        <w:rPr>
          <w:rFonts w:ascii="Times New Roman" w:hAnsi="Times New Roman" w:cs="Times New Roman"/>
          <w:sz w:val="24"/>
          <w:szCs w:val="24"/>
        </w:rPr>
        <w:t xml:space="preserve"> the owner of the leased </w:t>
      </w:r>
      <w:r w:rsidR="009373E7">
        <w:rPr>
          <w:rFonts w:ascii="Times New Roman" w:hAnsi="Times New Roman" w:cs="Times New Roman"/>
          <w:sz w:val="24"/>
          <w:szCs w:val="24"/>
        </w:rPr>
        <w:t>resource</w:t>
      </w:r>
      <w:r w:rsidR="00A579C3" w:rsidRPr="00BB1DC9">
        <w:rPr>
          <w:rFonts w:ascii="Times New Roman" w:hAnsi="Times New Roman" w:cs="Times New Roman"/>
          <w:sz w:val="24"/>
          <w:szCs w:val="24"/>
        </w:rPr>
        <w:t xml:space="preserve">s for accounting purposes. These payments are automatic indicators of ownership regardless of their </w:t>
      </w:r>
      <w:r w:rsidR="007E3101" w:rsidRPr="00BB1DC9">
        <w:rPr>
          <w:rFonts w:ascii="Times New Roman" w:hAnsi="Times New Roman" w:cs="Times New Roman"/>
          <w:sz w:val="24"/>
          <w:szCs w:val="24"/>
        </w:rPr>
        <w:t xml:space="preserve">size and Walmart must capitalize the total costs to the </w:t>
      </w:r>
      <w:r w:rsidR="009373E7">
        <w:rPr>
          <w:rFonts w:ascii="Times New Roman" w:hAnsi="Times New Roman" w:cs="Times New Roman"/>
          <w:sz w:val="24"/>
          <w:szCs w:val="24"/>
        </w:rPr>
        <w:t>party that takes on lease</w:t>
      </w:r>
      <w:r w:rsidR="007E3101" w:rsidRPr="00BB1DC9">
        <w:rPr>
          <w:rFonts w:ascii="Times New Roman" w:hAnsi="Times New Roman" w:cs="Times New Roman"/>
          <w:sz w:val="24"/>
          <w:szCs w:val="24"/>
        </w:rPr>
        <w:t xml:space="preserve"> with financial liability. At the end of the </w:t>
      </w:r>
      <w:r w:rsidR="000364C1" w:rsidRPr="00BB1DC9">
        <w:rPr>
          <w:rFonts w:ascii="Times New Roman" w:hAnsi="Times New Roman" w:cs="Times New Roman"/>
          <w:sz w:val="24"/>
          <w:szCs w:val="24"/>
        </w:rPr>
        <w:t>lease term</w:t>
      </w:r>
      <w:r w:rsidR="007E3101" w:rsidRPr="00BB1DC9">
        <w:rPr>
          <w:rFonts w:ascii="Times New Roman" w:hAnsi="Times New Roman" w:cs="Times New Roman"/>
          <w:sz w:val="24"/>
          <w:szCs w:val="24"/>
        </w:rPr>
        <w:t xml:space="preserve">, the company performs an analysis to determine whether the said </w:t>
      </w:r>
      <w:r w:rsidR="009373E7">
        <w:rPr>
          <w:rFonts w:ascii="Times New Roman" w:hAnsi="Times New Roman" w:cs="Times New Roman"/>
          <w:sz w:val="24"/>
          <w:szCs w:val="24"/>
        </w:rPr>
        <w:t>resource</w:t>
      </w:r>
      <w:r w:rsidR="007E3101" w:rsidRPr="00BB1DC9">
        <w:rPr>
          <w:rFonts w:ascii="Times New Roman" w:hAnsi="Times New Roman" w:cs="Times New Roman"/>
          <w:sz w:val="24"/>
          <w:szCs w:val="24"/>
        </w:rPr>
        <w:t xml:space="preserve">s can be written off from the company balance sheet. </w:t>
      </w:r>
      <w:r w:rsidR="00865AB2" w:rsidRPr="00BB1DC9">
        <w:rPr>
          <w:rFonts w:ascii="Times New Roman" w:hAnsi="Times New Roman" w:cs="Times New Roman"/>
          <w:sz w:val="24"/>
          <w:szCs w:val="24"/>
        </w:rPr>
        <w:t xml:space="preserve">This is decided </w:t>
      </w:r>
      <w:r w:rsidR="000364C1" w:rsidRPr="00BB1DC9">
        <w:rPr>
          <w:rFonts w:ascii="Times New Roman" w:hAnsi="Times New Roman" w:cs="Times New Roman"/>
          <w:sz w:val="24"/>
          <w:szCs w:val="24"/>
        </w:rPr>
        <w:t>based on an</w:t>
      </w:r>
      <w:r w:rsidR="00865AB2" w:rsidRPr="00BB1DC9">
        <w:rPr>
          <w:rFonts w:ascii="Times New Roman" w:hAnsi="Times New Roman" w:cs="Times New Roman"/>
          <w:sz w:val="24"/>
          <w:szCs w:val="24"/>
        </w:rPr>
        <w:t xml:space="preserve"> </w:t>
      </w:r>
      <w:r w:rsidR="00F34130" w:rsidRPr="00BB1DC9">
        <w:rPr>
          <w:rFonts w:ascii="Times New Roman" w:hAnsi="Times New Roman" w:cs="Times New Roman"/>
          <w:sz w:val="24"/>
          <w:szCs w:val="24"/>
        </w:rPr>
        <w:t xml:space="preserve">assessment if the company sees that it will have a </w:t>
      </w:r>
      <w:r w:rsidR="00E85CC7" w:rsidRPr="00BB1DC9">
        <w:rPr>
          <w:rFonts w:ascii="Times New Roman" w:hAnsi="Times New Roman" w:cs="Times New Roman"/>
          <w:sz w:val="24"/>
          <w:szCs w:val="24"/>
        </w:rPr>
        <w:t xml:space="preserve">long term concern in the </w:t>
      </w:r>
      <w:r w:rsidR="00E50AA0" w:rsidRPr="00BB1DC9">
        <w:rPr>
          <w:rFonts w:ascii="Times New Roman" w:hAnsi="Times New Roman" w:cs="Times New Roman"/>
          <w:sz w:val="24"/>
          <w:szCs w:val="24"/>
        </w:rPr>
        <w:t>scenario.</w:t>
      </w:r>
      <w:r w:rsidR="009A42E9" w:rsidRPr="00BB1DC9">
        <w:rPr>
          <w:rFonts w:ascii="Times New Roman" w:hAnsi="Times New Roman" w:cs="Times New Roman"/>
          <w:sz w:val="24"/>
          <w:szCs w:val="24"/>
        </w:rPr>
        <w:t xml:space="preserve"> These </w:t>
      </w:r>
      <w:r w:rsidR="009373E7">
        <w:rPr>
          <w:rFonts w:ascii="Times New Roman" w:hAnsi="Times New Roman" w:cs="Times New Roman"/>
          <w:sz w:val="24"/>
          <w:szCs w:val="24"/>
        </w:rPr>
        <w:t>resource</w:t>
      </w:r>
      <w:r w:rsidR="009A42E9" w:rsidRPr="00BB1DC9">
        <w:rPr>
          <w:rFonts w:ascii="Times New Roman" w:hAnsi="Times New Roman" w:cs="Times New Roman"/>
          <w:sz w:val="24"/>
          <w:szCs w:val="24"/>
        </w:rPr>
        <w:t>s are amortized over the lease term.</w:t>
      </w:r>
      <w:r w:rsidR="004F12A6" w:rsidRPr="00BB1DC9">
        <w:rPr>
          <w:rFonts w:ascii="Times New Roman" w:hAnsi="Times New Roman" w:cs="Times New Roman"/>
          <w:sz w:val="24"/>
          <w:szCs w:val="24"/>
        </w:rPr>
        <w:t xml:space="preserve"> At the end of the lease arrangements and any renewal period, the net liability over the net value of the </w:t>
      </w:r>
      <w:r w:rsidR="009373E7">
        <w:rPr>
          <w:rFonts w:ascii="Times New Roman" w:hAnsi="Times New Roman" w:cs="Times New Roman"/>
          <w:sz w:val="24"/>
          <w:szCs w:val="24"/>
        </w:rPr>
        <w:t>resource</w:t>
      </w:r>
      <w:r w:rsidR="004F12A6" w:rsidRPr="00BB1DC9">
        <w:rPr>
          <w:rFonts w:ascii="Times New Roman" w:hAnsi="Times New Roman" w:cs="Times New Roman"/>
          <w:sz w:val="24"/>
          <w:szCs w:val="24"/>
        </w:rPr>
        <w:t>s is considered as a profit that will not be paid in cash.</w:t>
      </w:r>
      <w:r w:rsidRPr="00BB1DC9">
        <w:rPr>
          <w:rFonts w:ascii="Times New Roman" w:hAnsi="Times New Roman" w:cs="Times New Roman"/>
          <w:sz w:val="24"/>
          <w:szCs w:val="24"/>
        </w:rPr>
        <w:t xml:space="preserve"> </w:t>
      </w:r>
    </w:p>
    <w:p w14:paraId="34B1F533" w14:textId="77777777" w:rsidR="000B7D6E"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6147788A" wp14:editId="0DE82572">
            <wp:simplePos x="0" y="0"/>
            <wp:positionH relativeFrom="column">
              <wp:posOffset>0</wp:posOffset>
            </wp:positionH>
            <wp:positionV relativeFrom="paragraph">
              <wp:posOffset>-3175</wp:posOffset>
            </wp:positionV>
            <wp:extent cx="5943600" cy="2444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23262"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444115"/>
                    </a:xfrm>
                    <a:prstGeom prst="rect">
                      <a:avLst/>
                    </a:prstGeom>
                  </pic:spPr>
                </pic:pic>
              </a:graphicData>
            </a:graphic>
            <wp14:sizeRelH relativeFrom="page">
              <wp14:pctWidth>0</wp14:pctWidth>
            </wp14:sizeRelH>
            <wp14:sizeRelV relativeFrom="page">
              <wp14:pctHeight>0</wp14:pctHeight>
            </wp14:sizeRelV>
          </wp:anchor>
        </w:drawing>
      </w:r>
      <w:r w:rsidR="009A42E9" w:rsidRPr="00BB1DC9">
        <w:rPr>
          <w:rFonts w:ascii="Times New Roman" w:hAnsi="Times New Roman" w:cs="Times New Roman"/>
          <w:sz w:val="24"/>
          <w:szCs w:val="24"/>
        </w:rPr>
        <w:t xml:space="preserve"> </w:t>
      </w:r>
    </w:p>
    <w:p w14:paraId="2A188058" w14:textId="77777777" w:rsidR="0018553F" w:rsidRPr="00BB1DC9" w:rsidRDefault="0058648A" w:rsidP="00793674">
      <w:pPr>
        <w:pStyle w:val="Heading2"/>
        <w:rPr>
          <w:rFonts w:ascii="Times New Roman" w:hAnsi="Times New Roman" w:cs="Times New Roman"/>
          <w:color w:val="auto"/>
          <w:sz w:val="24"/>
          <w:szCs w:val="24"/>
        </w:rPr>
      </w:pPr>
      <w:bookmarkStart w:id="22" w:name="_Toc9222193"/>
      <w:r w:rsidRPr="00BB1DC9">
        <w:rPr>
          <w:rFonts w:ascii="Times New Roman" w:hAnsi="Times New Roman" w:cs="Times New Roman"/>
          <w:color w:val="auto"/>
          <w:sz w:val="24"/>
          <w:szCs w:val="24"/>
        </w:rPr>
        <w:t>Impact on Walmart</w:t>
      </w:r>
      <w:bookmarkEnd w:id="22"/>
    </w:p>
    <w:p w14:paraId="09006925" w14:textId="77777777" w:rsidR="00B50509" w:rsidRPr="00BB1DC9" w:rsidRDefault="0058648A" w:rsidP="00163939">
      <w:pPr>
        <w:tabs>
          <w:tab w:val="left" w:pos="6588"/>
        </w:tabs>
        <w:spacing w:line="480" w:lineRule="auto"/>
        <w:ind w:firstLine="1170"/>
        <w:rPr>
          <w:rFonts w:ascii="Times New Roman" w:hAnsi="Times New Roman" w:cs="Times New Roman"/>
          <w:sz w:val="24"/>
          <w:szCs w:val="24"/>
        </w:rPr>
      </w:pPr>
      <w:r w:rsidRPr="00BB1DC9">
        <w:rPr>
          <w:rFonts w:ascii="Times New Roman" w:hAnsi="Times New Roman" w:cs="Times New Roman"/>
          <w:sz w:val="24"/>
          <w:szCs w:val="24"/>
        </w:rPr>
        <w:t>The company had a considerable impact on various ratios after the implementation of the accounting standard.</w:t>
      </w:r>
      <w:r w:rsidR="000774F3" w:rsidRPr="00BB1DC9">
        <w:rPr>
          <w:rFonts w:ascii="Times New Roman" w:hAnsi="Times New Roman" w:cs="Times New Roman"/>
          <w:sz w:val="24"/>
          <w:szCs w:val="24"/>
        </w:rPr>
        <w:t xml:space="preserve"> The assessment of the impact is shown in the following table</w:t>
      </w:r>
    </w:p>
    <w:tbl>
      <w:tblPr>
        <w:tblStyle w:val="TableGrid"/>
        <w:tblW w:w="0" w:type="auto"/>
        <w:tblLook w:val="04A0" w:firstRow="1" w:lastRow="0" w:firstColumn="1" w:lastColumn="0" w:noHBand="0" w:noVBand="1"/>
      </w:tblPr>
      <w:tblGrid>
        <w:gridCol w:w="3116"/>
        <w:gridCol w:w="3117"/>
        <w:gridCol w:w="3117"/>
      </w:tblGrid>
      <w:tr w:rsidR="007F354B" w:rsidRPr="00BB1DC9" w14:paraId="70AB2CAE" w14:textId="77777777" w:rsidTr="000D108F">
        <w:tc>
          <w:tcPr>
            <w:tcW w:w="3116" w:type="dxa"/>
          </w:tcPr>
          <w:p w14:paraId="6FCE5441"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Ratio</w:t>
            </w:r>
          </w:p>
        </w:tc>
        <w:tc>
          <w:tcPr>
            <w:tcW w:w="3117" w:type="dxa"/>
          </w:tcPr>
          <w:p w14:paraId="59833B12"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Description</w:t>
            </w:r>
          </w:p>
        </w:tc>
        <w:tc>
          <w:tcPr>
            <w:tcW w:w="3117" w:type="dxa"/>
          </w:tcPr>
          <w:p w14:paraId="1A7E0C51"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Impact</w:t>
            </w:r>
          </w:p>
        </w:tc>
      </w:tr>
      <w:tr w:rsidR="007F354B" w:rsidRPr="00BB1DC9" w14:paraId="3E17447F" w14:textId="77777777" w:rsidTr="000D108F">
        <w:tc>
          <w:tcPr>
            <w:tcW w:w="3116" w:type="dxa"/>
          </w:tcPr>
          <w:p w14:paraId="71DE0452" w14:textId="0F75910F"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 Turnover</w:t>
            </w:r>
          </w:p>
        </w:tc>
        <w:tc>
          <w:tcPr>
            <w:tcW w:w="3117" w:type="dxa"/>
          </w:tcPr>
          <w:p w14:paraId="6D58BA64" w14:textId="44F4A3A2"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This ration is found by dividing the </w:t>
            </w:r>
            <w:r w:rsidR="00127A2C" w:rsidRPr="00BB1DC9">
              <w:rPr>
                <w:rFonts w:ascii="Times New Roman" w:hAnsi="Times New Roman" w:cs="Times New Roman"/>
                <w:sz w:val="24"/>
                <w:szCs w:val="24"/>
              </w:rPr>
              <w:t xml:space="preserve">total revenue by the adjusted value of total </w:t>
            </w:r>
            <w:r w:rsidR="009373E7">
              <w:rPr>
                <w:rFonts w:ascii="Times New Roman" w:hAnsi="Times New Roman" w:cs="Times New Roman"/>
                <w:sz w:val="24"/>
                <w:szCs w:val="24"/>
              </w:rPr>
              <w:t>resource</w:t>
            </w:r>
            <w:r w:rsidR="00127A2C" w:rsidRPr="00BB1DC9">
              <w:rPr>
                <w:rFonts w:ascii="Times New Roman" w:hAnsi="Times New Roman" w:cs="Times New Roman"/>
                <w:sz w:val="24"/>
                <w:szCs w:val="24"/>
              </w:rPr>
              <w:t>s</w:t>
            </w:r>
          </w:p>
        </w:tc>
        <w:tc>
          <w:tcPr>
            <w:tcW w:w="3117" w:type="dxa"/>
          </w:tcPr>
          <w:p w14:paraId="7FF39139"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The ratio </w:t>
            </w:r>
            <w:r w:rsidR="00D6563B" w:rsidRPr="00BB1DC9">
              <w:rPr>
                <w:rFonts w:ascii="Times New Roman" w:hAnsi="Times New Roman" w:cs="Times New Roman"/>
                <w:sz w:val="24"/>
                <w:szCs w:val="24"/>
              </w:rPr>
              <w:t>had improved for the company from 2017 to 2018 but the same figure has a decline</w:t>
            </w:r>
          </w:p>
        </w:tc>
      </w:tr>
      <w:tr w:rsidR="007F354B" w:rsidRPr="00BB1DC9" w14:paraId="4F41591D" w14:textId="77777777" w:rsidTr="000D108F">
        <w:tc>
          <w:tcPr>
            <w:tcW w:w="3116" w:type="dxa"/>
          </w:tcPr>
          <w:p w14:paraId="1DABA1AB"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Debt to Equity</w:t>
            </w:r>
          </w:p>
        </w:tc>
        <w:tc>
          <w:tcPr>
            <w:tcW w:w="3117" w:type="dxa"/>
          </w:tcPr>
          <w:p w14:paraId="5C65D551"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This is calculated by dividing the total debt by total equity. </w:t>
            </w:r>
          </w:p>
        </w:tc>
        <w:tc>
          <w:tcPr>
            <w:tcW w:w="3117" w:type="dxa"/>
          </w:tcPr>
          <w:p w14:paraId="49B5671B"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This ratio for the company improved from 2017 to 2018 but it again went down from the year 2018 to 2019</w:t>
            </w:r>
          </w:p>
        </w:tc>
      </w:tr>
      <w:tr w:rsidR="007F354B" w:rsidRPr="00BB1DC9" w14:paraId="00D900EC" w14:textId="77777777" w:rsidTr="000D108F">
        <w:tc>
          <w:tcPr>
            <w:tcW w:w="3116" w:type="dxa"/>
          </w:tcPr>
          <w:p w14:paraId="1904935E" w14:textId="57E03232"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Return on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3117" w:type="dxa"/>
          </w:tcPr>
          <w:p w14:paraId="5F962ADA" w14:textId="4A6C1B46"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This is a profitability ratio that is calculated by dividing </w:t>
            </w:r>
            <w:r w:rsidRPr="00BB1DC9">
              <w:rPr>
                <w:rFonts w:ascii="Times New Roman" w:hAnsi="Times New Roman" w:cs="Times New Roman"/>
                <w:sz w:val="24"/>
                <w:szCs w:val="24"/>
              </w:rPr>
              <w:lastRenderedPageBreak/>
              <w:t xml:space="preserve">the net income by total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3117" w:type="dxa"/>
          </w:tcPr>
          <w:p w14:paraId="1EF6E5C2"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lastRenderedPageBreak/>
              <w:t>This ratio had declined for the company from 2017 to 2018 and from 2018 to 2019</w:t>
            </w:r>
          </w:p>
        </w:tc>
      </w:tr>
      <w:tr w:rsidR="007F354B" w:rsidRPr="00BB1DC9" w14:paraId="489B383D" w14:textId="77777777" w:rsidTr="000D108F">
        <w:tc>
          <w:tcPr>
            <w:tcW w:w="3116" w:type="dxa"/>
          </w:tcPr>
          <w:p w14:paraId="20050F1D"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lastRenderedPageBreak/>
              <w:t xml:space="preserve">Interest coverage </w:t>
            </w:r>
          </w:p>
        </w:tc>
        <w:tc>
          <w:tcPr>
            <w:tcW w:w="3117" w:type="dxa"/>
          </w:tcPr>
          <w:p w14:paraId="7D2199E8"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This is calculated as the EBIT divided by payments in terms of interest.</w:t>
            </w:r>
          </w:p>
        </w:tc>
        <w:tc>
          <w:tcPr>
            <w:tcW w:w="3117" w:type="dxa"/>
          </w:tcPr>
          <w:p w14:paraId="0D1A64D7" w14:textId="77777777" w:rsidR="000D108F" w:rsidRPr="00BB1DC9" w:rsidRDefault="0058648A" w:rsidP="00EE6F7B">
            <w:pPr>
              <w:tabs>
                <w:tab w:val="left" w:pos="6588"/>
              </w:tabs>
              <w:spacing w:line="480" w:lineRule="auto"/>
              <w:rPr>
                <w:rFonts w:ascii="Times New Roman" w:hAnsi="Times New Roman" w:cs="Times New Roman"/>
                <w:sz w:val="24"/>
                <w:szCs w:val="24"/>
              </w:rPr>
            </w:pPr>
            <w:r w:rsidRPr="00BB1DC9">
              <w:rPr>
                <w:rFonts w:ascii="Times New Roman" w:hAnsi="Times New Roman" w:cs="Times New Roman"/>
                <w:sz w:val="24"/>
                <w:szCs w:val="24"/>
              </w:rPr>
              <w:t>This ratio has declined for the company from the year 2017 to 2018 and 2018 to 2019.</w:t>
            </w:r>
          </w:p>
        </w:tc>
      </w:tr>
    </w:tbl>
    <w:p w14:paraId="05C9557B" w14:textId="77777777" w:rsidR="000774F3" w:rsidRPr="00BB1DC9" w:rsidRDefault="000774F3" w:rsidP="00EE6F7B">
      <w:pPr>
        <w:tabs>
          <w:tab w:val="left" w:pos="6588"/>
        </w:tabs>
        <w:spacing w:line="480" w:lineRule="auto"/>
        <w:rPr>
          <w:rFonts w:ascii="Times New Roman" w:hAnsi="Times New Roman" w:cs="Times New Roman"/>
          <w:sz w:val="24"/>
          <w:szCs w:val="24"/>
        </w:rPr>
      </w:pPr>
    </w:p>
    <w:p w14:paraId="17E0F094" w14:textId="77777777" w:rsidR="000774F3" w:rsidRPr="00BB1DC9" w:rsidRDefault="000774F3" w:rsidP="00EE6F7B">
      <w:pPr>
        <w:tabs>
          <w:tab w:val="left" w:pos="6588"/>
        </w:tabs>
        <w:spacing w:line="480" w:lineRule="auto"/>
        <w:rPr>
          <w:rFonts w:ascii="Times New Roman" w:hAnsi="Times New Roman" w:cs="Times New Roman"/>
          <w:sz w:val="24"/>
          <w:szCs w:val="24"/>
        </w:rPr>
      </w:pPr>
    </w:p>
    <w:p w14:paraId="2B7A2DA4" w14:textId="77777777" w:rsidR="009169D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Below, the figures have been presented to justify the statements in the above table.</w:t>
      </w:r>
    </w:p>
    <w:p w14:paraId="0935B82F" w14:textId="4DC4B14E" w:rsidR="00F01DB0"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 Turnover</w:t>
      </w:r>
    </w:p>
    <w:p w14:paraId="6CE7A11D" w14:textId="77777777" w:rsidR="007A369A" w:rsidRPr="00BB1DC9" w:rsidRDefault="007A369A" w:rsidP="00EE6F7B">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3BED8B09" w14:textId="77777777" w:rsidTr="007A369A">
        <w:tc>
          <w:tcPr>
            <w:tcW w:w="1558" w:type="dxa"/>
          </w:tcPr>
          <w:p w14:paraId="0D1CBEAA" w14:textId="77777777" w:rsidR="007A369A" w:rsidRPr="00BB1DC9" w:rsidRDefault="007A369A" w:rsidP="00EE6F7B">
            <w:pPr>
              <w:spacing w:line="480" w:lineRule="auto"/>
              <w:rPr>
                <w:rFonts w:ascii="Times New Roman" w:hAnsi="Times New Roman" w:cs="Times New Roman"/>
                <w:b/>
                <w:sz w:val="24"/>
                <w:szCs w:val="24"/>
              </w:rPr>
            </w:pPr>
          </w:p>
        </w:tc>
        <w:tc>
          <w:tcPr>
            <w:tcW w:w="1558" w:type="dxa"/>
          </w:tcPr>
          <w:p w14:paraId="22CB2D3E"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679360D0"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1BF5FBBC"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46C70B8D"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5D12F929"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352CC2EA" w14:textId="77777777" w:rsidTr="007A369A">
        <w:tc>
          <w:tcPr>
            <w:tcW w:w="1558" w:type="dxa"/>
          </w:tcPr>
          <w:p w14:paraId="22FBBCC0"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Net Sales</w:t>
            </w:r>
          </w:p>
        </w:tc>
        <w:tc>
          <w:tcPr>
            <w:tcW w:w="1558" w:type="dxa"/>
          </w:tcPr>
          <w:p w14:paraId="2E84DB7B"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510329</w:t>
            </w:r>
          </w:p>
        </w:tc>
        <w:tc>
          <w:tcPr>
            <w:tcW w:w="1558" w:type="dxa"/>
          </w:tcPr>
          <w:p w14:paraId="39E4CD55"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495761</w:t>
            </w:r>
          </w:p>
        </w:tc>
        <w:tc>
          <w:tcPr>
            <w:tcW w:w="1558" w:type="dxa"/>
          </w:tcPr>
          <w:p w14:paraId="19A612F1"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481317</w:t>
            </w:r>
          </w:p>
        </w:tc>
        <w:tc>
          <w:tcPr>
            <w:tcW w:w="1559" w:type="dxa"/>
          </w:tcPr>
          <w:p w14:paraId="133171F5"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478614</w:t>
            </w:r>
          </w:p>
        </w:tc>
        <w:tc>
          <w:tcPr>
            <w:tcW w:w="1559" w:type="dxa"/>
          </w:tcPr>
          <w:p w14:paraId="6AED85A4"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482229</w:t>
            </w:r>
          </w:p>
        </w:tc>
      </w:tr>
      <w:tr w:rsidR="007F354B" w:rsidRPr="00BB1DC9" w14:paraId="70A018B9" w14:textId="77777777" w:rsidTr="007A369A">
        <w:tc>
          <w:tcPr>
            <w:tcW w:w="1558" w:type="dxa"/>
          </w:tcPr>
          <w:p w14:paraId="113E58DD" w14:textId="6F530B76"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1558" w:type="dxa"/>
          </w:tcPr>
          <w:p w14:paraId="1FE3BF33"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219295</w:t>
            </w:r>
          </w:p>
        </w:tc>
        <w:tc>
          <w:tcPr>
            <w:tcW w:w="1558" w:type="dxa"/>
          </w:tcPr>
          <w:p w14:paraId="7F2AC1BE"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204522</w:t>
            </w:r>
          </w:p>
        </w:tc>
        <w:tc>
          <w:tcPr>
            <w:tcW w:w="1558" w:type="dxa"/>
          </w:tcPr>
          <w:p w14:paraId="26579B66"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198825</w:t>
            </w:r>
          </w:p>
        </w:tc>
        <w:tc>
          <w:tcPr>
            <w:tcW w:w="1559" w:type="dxa"/>
          </w:tcPr>
          <w:p w14:paraId="09F157D3"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199581</w:t>
            </w:r>
          </w:p>
        </w:tc>
        <w:tc>
          <w:tcPr>
            <w:tcW w:w="1559" w:type="dxa"/>
          </w:tcPr>
          <w:p w14:paraId="0AC2DCDF" w14:textId="77777777" w:rsidR="007A369A"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203706</w:t>
            </w:r>
          </w:p>
        </w:tc>
      </w:tr>
      <w:tr w:rsidR="007F354B" w:rsidRPr="00BB1DC9" w14:paraId="736FF40C" w14:textId="77777777" w:rsidTr="007A369A">
        <w:tc>
          <w:tcPr>
            <w:tcW w:w="1558" w:type="dxa"/>
          </w:tcPr>
          <w:p w14:paraId="48E15683" w14:textId="6E3A0907" w:rsidR="007A369A" w:rsidRPr="00BB1DC9" w:rsidRDefault="009373E7" w:rsidP="00EE6F7B">
            <w:pPr>
              <w:spacing w:line="480" w:lineRule="auto"/>
              <w:rPr>
                <w:rFonts w:ascii="Times New Roman" w:hAnsi="Times New Roman" w:cs="Times New Roman"/>
                <w:b/>
                <w:sz w:val="24"/>
                <w:szCs w:val="24"/>
              </w:rPr>
            </w:pPr>
            <w:r>
              <w:rPr>
                <w:rFonts w:ascii="Times New Roman" w:hAnsi="Times New Roman" w:cs="Times New Roman"/>
                <w:b/>
                <w:sz w:val="24"/>
                <w:szCs w:val="24"/>
              </w:rPr>
              <w:t>Resource</w:t>
            </w:r>
            <w:r w:rsidR="0058648A" w:rsidRPr="00BB1DC9">
              <w:rPr>
                <w:rFonts w:ascii="Times New Roman" w:hAnsi="Times New Roman" w:cs="Times New Roman"/>
                <w:b/>
                <w:sz w:val="24"/>
                <w:szCs w:val="24"/>
              </w:rPr>
              <w:t xml:space="preserve">s Turnover </w:t>
            </w:r>
            <w:r w:rsidR="00235C33" w:rsidRPr="00BB1DC9">
              <w:rPr>
                <w:rFonts w:ascii="Times New Roman" w:hAnsi="Times New Roman" w:cs="Times New Roman"/>
                <w:b/>
                <w:sz w:val="24"/>
                <w:szCs w:val="24"/>
              </w:rPr>
              <w:t>Before</w:t>
            </w:r>
          </w:p>
        </w:tc>
        <w:tc>
          <w:tcPr>
            <w:tcW w:w="1558" w:type="dxa"/>
          </w:tcPr>
          <w:p w14:paraId="07C0A940"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2.33</w:t>
            </w:r>
          </w:p>
        </w:tc>
        <w:tc>
          <w:tcPr>
            <w:tcW w:w="1558" w:type="dxa"/>
          </w:tcPr>
          <w:p w14:paraId="05299E92"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2.42</w:t>
            </w:r>
          </w:p>
        </w:tc>
        <w:tc>
          <w:tcPr>
            <w:tcW w:w="1558" w:type="dxa"/>
          </w:tcPr>
          <w:p w14:paraId="28B501DC"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2.42</w:t>
            </w:r>
          </w:p>
        </w:tc>
        <w:tc>
          <w:tcPr>
            <w:tcW w:w="1559" w:type="dxa"/>
          </w:tcPr>
          <w:p w14:paraId="43151EF3"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2.40</w:t>
            </w:r>
          </w:p>
        </w:tc>
        <w:tc>
          <w:tcPr>
            <w:tcW w:w="1559" w:type="dxa"/>
          </w:tcPr>
          <w:p w14:paraId="1C513BCD" w14:textId="77777777" w:rsidR="007A369A"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2.37</w:t>
            </w:r>
          </w:p>
        </w:tc>
      </w:tr>
    </w:tbl>
    <w:p w14:paraId="28F262A0" w14:textId="77777777" w:rsidR="007A369A" w:rsidRPr="00BB1DC9" w:rsidRDefault="007A369A" w:rsidP="00EE6F7B">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5040F5AD" w14:textId="77777777" w:rsidTr="00F62431">
        <w:tc>
          <w:tcPr>
            <w:tcW w:w="1558" w:type="dxa"/>
          </w:tcPr>
          <w:p w14:paraId="75BE6E1C" w14:textId="77777777" w:rsidR="00235C33" w:rsidRPr="00BB1DC9" w:rsidRDefault="00235C33" w:rsidP="00EE6F7B">
            <w:pPr>
              <w:spacing w:line="480" w:lineRule="auto"/>
              <w:rPr>
                <w:rFonts w:ascii="Times New Roman" w:hAnsi="Times New Roman" w:cs="Times New Roman"/>
                <w:b/>
                <w:sz w:val="24"/>
                <w:szCs w:val="24"/>
              </w:rPr>
            </w:pPr>
          </w:p>
        </w:tc>
        <w:tc>
          <w:tcPr>
            <w:tcW w:w="1558" w:type="dxa"/>
          </w:tcPr>
          <w:p w14:paraId="25932E25"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1A5E1297"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25FBF9D5"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4EAC2516"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3D17AC7C"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7D10C3F3" w14:textId="77777777" w:rsidTr="00F62431">
        <w:tc>
          <w:tcPr>
            <w:tcW w:w="1558" w:type="dxa"/>
          </w:tcPr>
          <w:p w14:paraId="671DC583"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Net Sales</w:t>
            </w:r>
          </w:p>
        </w:tc>
        <w:tc>
          <w:tcPr>
            <w:tcW w:w="1558" w:type="dxa"/>
          </w:tcPr>
          <w:p w14:paraId="7C2F205B"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510329</w:t>
            </w:r>
          </w:p>
        </w:tc>
        <w:tc>
          <w:tcPr>
            <w:tcW w:w="1558" w:type="dxa"/>
          </w:tcPr>
          <w:p w14:paraId="36F9473C"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495761</w:t>
            </w:r>
          </w:p>
        </w:tc>
        <w:tc>
          <w:tcPr>
            <w:tcW w:w="1558" w:type="dxa"/>
          </w:tcPr>
          <w:p w14:paraId="142E8C29"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481317</w:t>
            </w:r>
          </w:p>
        </w:tc>
        <w:tc>
          <w:tcPr>
            <w:tcW w:w="1559" w:type="dxa"/>
          </w:tcPr>
          <w:p w14:paraId="58C3BFAF"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478614</w:t>
            </w:r>
          </w:p>
        </w:tc>
        <w:tc>
          <w:tcPr>
            <w:tcW w:w="1559" w:type="dxa"/>
          </w:tcPr>
          <w:p w14:paraId="689D7EA7"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482229</w:t>
            </w:r>
          </w:p>
        </w:tc>
      </w:tr>
      <w:tr w:rsidR="007F354B" w:rsidRPr="00BB1DC9" w14:paraId="5626ADC1" w14:textId="77777777" w:rsidTr="00F62431">
        <w:tc>
          <w:tcPr>
            <w:tcW w:w="1558" w:type="dxa"/>
          </w:tcPr>
          <w:p w14:paraId="073A4814" w14:textId="1CE664BB"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lastRenderedPageBreak/>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1558" w:type="dxa"/>
          </w:tcPr>
          <w:p w14:paraId="61EBD20C"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227828</w:t>
            </w:r>
          </w:p>
        </w:tc>
        <w:tc>
          <w:tcPr>
            <w:tcW w:w="1558" w:type="dxa"/>
          </w:tcPr>
          <w:p w14:paraId="2EE60BB3"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214789</w:t>
            </w:r>
          </w:p>
        </w:tc>
        <w:tc>
          <w:tcPr>
            <w:tcW w:w="1558" w:type="dxa"/>
          </w:tcPr>
          <w:p w14:paraId="4A5B96BC"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210451</w:t>
            </w:r>
          </w:p>
        </w:tc>
        <w:tc>
          <w:tcPr>
            <w:tcW w:w="1559" w:type="dxa"/>
          </w:tcPr>
          <w:p w14:paraId="36B299CB"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212920</w:t>
            </w:r>
          </w:p>
        </w:tc>
        <w:tc>
          <w:tcPr>
            <w:tcW w:w="1559" w:type="dxa"/>
          </w:tcPr>
          <w:p w14:paraId="7CC2BF02"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213394</w:t>
            </w:r>
          </w:p>
        </w:tc>
      </w:tr>
      <w:tr w:rsidR="007F354B" w:rsidRPr="00BB1DC9" w14:paraId="691647AB" w14:textId="77777777" w:rsidTr="00F62431">
        <w:tc>
          <w:tcPr>
            <w:tcW w:w="1558" w:type="dxa"/>
          </w:tcPr>
          <w:p w14:paraId="24E4B309" w14:textId="69B45FB4" w:rsidR="00235C33" w:rsidRPr="00BB1DC9" w:rsidRDefault="009373E7" w:rsidP="00EE6F7B">
            <w:pPr>
              <w:spacing w:line="480" w:lineRule="auto"/>
              <w:rPr>
                <w:rFonts w:ascii="Times New Roman" w:hAnsi="Times New Roman" w:cs="Times New Roman"/>
                <w:b/>
                <w:sz w:val="24"/>
                <w:szCs w:val="24"/>
              </w:rPr>
            </w:pPr>
            <w:r>
              <w:rPr>
                <w:rFonts w:ascii="Times New Roman" w:hAnsi="Times New Roman" w:cs="Times New Roman"/>
                <w:b/>
                <w:sz w:val="24"/>
                <w:szCs w:val="24"/>
              </w:rPr>
              <w:t>Resource</w:t>
            </w:r>
            <w:r w:rsidR="0058648A" w:rsidRPr="00BB1DC9">
              <w:rPr>
                <w:rFonts w:ascii="Times New Roman" w:hAnsi="Times New Roman" w:cs="Times New Roman"/>
                <w:b/>
                <w:sz w:val="24"/>
                <w:szCs w:val="24"/>
              </w:rPr>
              <w:t>s Turnover After</w:t>
            </w:r>
          </w:p>
        </w:tc>
        <w:tc>
          <w:tcPr>
            <w:tcW w:w="1558" w:type="dxa"/>
          </w:tcPr>
          <w:p w14:paraId="74B525A6"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2.24</w:t>
            </w:r>
          </w:p>
        </w:tc>
        <w:tc>
          <w:tcPr>
            <w:tcW w:w="1558" w:type="dxa"/>
          </w:tcPr>
          <w:p w14:paraId="64725926"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2.31</w:t>
            </w:r>
          </w:p>
        </w:tc>
        <w:tc>
          <w:tcPr>
            <w:tcW w:w="1558" w:type="dxa"/>
          </w:tcPr>
          <w:p w14:paraId="11D2ECC9"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2.29</w:t>
            </w:r>
          </w:p>
        </w:tc>
        <w:tc>
          <w:tcPr>
            <w:tcW w:w="1559" w:type="dxa"/>
          </w:tcPr>
          <w:p w14:paraId="63D296A9"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2.25</w:t>
            </w:r>
          </w:p>
        </w:tc>
        <w:tc>
          <w:tcPr>
            <w:tcW w:w="1559" w:type="dxa"/>
          </w:tcPr>
          <w:p w14:paraId="20EAC1B7" w14:textId="77777777" w:rsidR="00235C33"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2.26</w:t>
            </w:r>
          </w:p>
        </w:tc>
      </w:tr>
    </w:tbl>
    <w:p w14:paraId="16C8622F" w14:textId="77777777" w:rsidR="00235C33" w:rsidRPr="00BB1DC9" w:rsidRDefault="00235C33" w:rsidP="00EE6F7B">
      <w:pPr>
        <w:spacing w:line="480" w:lineRule="auto"/>
        <w:rPr>
          <w:rFonts w:ascii="Times New Roman" w:hAnsi="Times New Roman" w:cs="Times New Roman"/>
          <w:sz w:val="24"/>
          <w:szCs w:val="24"/>
        </w:rPr>
      </w:pPr>
    </w:p>
    <w:p w14:paraId="206B709B" w14:textId="77777777" w:rsidR="00235C33" w:rsidRPr="00BB1DC9" w:rsidRDefault="00235C33" w:rsidP="00EE6F7B">
      <w:pPr>
        <w:spacing w:line="480" w:lineRule="auto"/>
        <w:rPr>
          <w:rFonts w:ascii="Times New Roman" w:hAnsi="Times New Roman" w:cs="Times New Roman"/>
          <w:sz w:val="24"/>
          <w:szCs w:val="24"/>
        </w:rPr>
      </w:pPr>
    </w:p>
    <w:p w14:paraId="54CBA161" w14:textId="1E4EDB38" w:rsidR="0081236E"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The above tables show a considerable decrease in </w:t>
      </w:r>
      <w:r w:rsidR="000364C1" w:rsidRPr="00BB1DC9">
        <w:rPr>
          <w:rFonts w:ascii="Times New Roman" w:hAnsi="Times New Roman" w:cs="Times New Roman"/>
          <w:sz w:val="24"/>
          <w:szCs w:val="24"/>
        </w:rPr>
        <w:t xml:space="preserve">turnover ratios of total </w:t>
      </w:r>
      <w:r w:rsidR="009373E7">
        <w:rPr>
          <w:rFonts w:ascii="Times New Roman" w:hAnsi="Times New Roman" w:cs="Times New Roman"/>
          <w:sz w:val="24"/>
          <w:szCs w:val="24"/>
        </w:rPr>
        <w:t>resource</w:t>
      </w:r>
      <w:r w:rsidR="000364C1" w:rsidRPr="00BB1DC9">
        <w:rPr>
          <w:rFonts w:ascii="Times New Roman" w:hAnsi="Times New Roman" w:cs="Times New Roman"/>
          <w:sz w:val="24"/>
          <w:szCs w:val="24"/>
        </w:rPr>
        <w:t xml:space="preserve">s </w:t>
      </w:r>
      <w:r w:rsidRPr="00BB1DC9">
        <w:rPr>
          <w:rFonts w:ascii="Times New Roman" w:hAnsi="Times New Roman" w:cs="Times New Roman"/>
          <w:sz w:val="24"/>
          <w:szCs w:val="24"/>
        </w:rPr>
        <w:t xml:space="preserve">in the years 2015 till 2019 when the impact of the lease agreements has been applied. We see that the amount of </w:t>
      </w:r>
      <w:r w:rsidR="009373E7">
        <w:rPr>
          <w:rFonts w:ascii="Times New Roman" w:hAnsi="Times New Roman" w:cs="Times New Roman"/>
          <w:sz w:val="24"/>
          <w:szCs w:val="24"/>
        </w:rPr>
        <w:t>resource</w:t>
      </w:r>
      <w:r w:rsidRPr="00BB1DC9">
        <w:rPr>
          <w:rFonts w:ascii="Times New Roman" w:hAnsi="Times New Roman" w:cs="Times New Roman"/>
          <w:sz w:val="24"/>
          <w:szCs w:val="24"/>
        </w:rPr>
        <w:t xml:space="preserve">s has increased and the ratio has declined in all the years. This shows that the company was having considerable amounts of </w:t>
      </w:r>
      <w:r w:rsidR="00931972" w:rsidRPr="00BB1DC9">
        <w:rPr>
          <w:rFonts w:ascii="Times New Roman" w:hAnsi="Times New Roman" w:cs="Times New Roman"/>
          <w:sz w:val="24"/>
          <w:szCs w:val="24"/>
        </w:rPr>
        <w:t>off-balance sheet items before this standard was in practice.</w:t>
      </w:r>
    </w:p>
    <w:p w14:paraId="22FAF37C"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Debt to Equity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2F1381EA" w14:textId="77777777" w:rsidTr="00A81D0B">
        <w:tc>
          <w:tcPr>
            <w:tcW w:w="1558" w:type="dxa"/>
          </w:tcPr>
          <w:p w14:paraId="105BAF72" w14:textId="77777777" w:rsidR="00A81D0B" w:rsidRPr="00BB1DC9" w:rsidRDefault="00A81D0B" w:rsidP="00EE6F7B">
            <w:pPr>
              <w:spacing w:line="480" w:lineRule="auto"/>
              <w:rPr>
                <w:rFonts w:ascii="Times New Roman" w:hAnsi="Times New Roman" w:cs="Times New Roman"/>
                <w:b/>
                <w:sz w:val="24"/>
                <w:szCs w:val="24"/>
              </w:rPr>
            </w:pPr>
          </w:p>
        </w:tc>
        <w:tc>
          <w:tcPr>
            <w:tcW w:w="1558" w:type="dxa"/>
          </w:tcPr>
          <w:p w14:paraId="28666243"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7AD46081"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40872F99"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1D39C871"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4CCB51F2"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6EA2694F" w14:textId="77777777" w:rsidTr="00A81D0B">
        <w:tc>
          <w:tcPr>
            <w:tcW w:w="1558" w:type="dxa"/>
          </w:tcPr>
          <w:p w14:paraId="1A6BAF0C"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Total Debt</w:t>
            </w:r>
          </w:p>
        </w:tc>
        <w:tc>
          <w:tcPr>
            <w:tcW w:w="1558" w:type="dxa"/>
          </w:tcPr>
          <w:p w14:paraId="30272C50"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58033</w:t>
            </w:r>
          </w:p>
        </w:tc>
        <w:tc>
          <w:tcPr>
            <w:tcW w:w="1558" w:type="dxa"/>
          </w:tcPr>
          <w:p w14:paraId="69DBC171"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46487</w:t>
            </w:r>
          </w:p>
        </w:tc>
        <w:tc>
          <w:tcPr>
            <w:tcW w:w="1558" w:type="dxa"/>
          </w:tcPr>
          <w:p w14:paraId="2E98F7B9"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45938</w:t>
            </w:r>
          </w:p>
        </w:tc>
        <w:tc>
          <w:tcPr>
            <w:tcW w:w="1559" w:type="dxa"/>
          </w:tcPr>
          <w:p w14:paraId="3D644EB9"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50034</w:t>
            </w:r>
          </w:p>
        </w:tc>
        <w:tc>
          <w:tcPr>
            <w:tcW w:w="1559" w:type="dxa"/>
          </w:tcPr>
          <w:p w14:paraId="4C2CD2DE"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50381</w:t>
            </w:r>
          </w:p>
        </w:tc>
      </w:tr>
      <w:tr w:rsidR="007F354B" w:rsidRPr="00BB1DC9" w14:paraId="533B8EF4" w14:textId="77777777" w:rsidTr="00A81D0B">
        <w:tc>
          <w:tcPr>
            <w:tcW w:w="1558" w:type="dxa"/>
          </w:tcPr>
          <w:p w14:paraId="67AEF3A8"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Total Equity</w:t>
            </w:r>
          </w:p>
        </w:tc>
        <w:tc>
          <w:tcPr>
            <w:tcW w:w="1558" w:type="dxa"/>
          </w:tcPr>
          <w:p w14:paraId="3DC66CE4"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72496</w:t>
            </w:r>
          </w:p>
        </w:tc>
        <w:tc>
          <w:tcPr>
            <w:tcW w:w="1558" w:type="dxa"/>
          </w:tcPr>
          <w:p w14:paraId="004C4026"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77869</w:t>
            </w:r>
          </w:p>
        </w:tc>
        <w:tc>
          <w:tcPr>
            <w:tcW w:w="1558" w:type="dxa"/>
          </w:tcPr>
          <w:p w14:paraId="084592B4"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77798</w:t>
            </w:r>
          </w:p>
        </w:tc>
        <w:tc>
          <w:tcPr>
            <w:tcW w:w="1559" w:type="dxa"/>
          </w:tcPr>
          <w:p w14:paraId="7019ACE6"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80546</w:t>
            </w:r>
          </w:p>
        </w:tc>
        <w:tc>
          <w:tcPr>
            <w:tcW w:w="1559" w:type="dxa"/>
          </w:tcPr>
          <w:p w14:paraId="240AF3E6" w14:textId="77777777" w:rsidR="00A81D0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81394</w:t>
            </w:r>
          </w:p>
        </w:tc>
      </w:tr>
      <w:tr w:rsidR="007F354B" w:rsidRPr="00BB1DC9" w14:paraId="7FA3D361" w14:textId="77777777" w:rsidTr="00A81D0B">
        <w:tc>
          <w:tcPr>
            <w:tcW w:w="1558" w:type="dxa"/>
          </w:tcPr>
          <w:p w14:paraId="2EE7FCA9"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Ratio Before</w:t>
            </w:r>
          </w:p>
        </w:tc>
        <w:tc>
          <w:tcPr>
            <w:tcW w:w="1558" w:type="dxa"/>
          </w:tcPr>
          <w:p w14:paraId="14D4A6F4"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0.80</w:t>
            </w:r>
          </w:p>
        </w:tc>
        <w:tc>
          <w:tcPr>
            <w:tcW w:w="1558" w:type="dxa"/>
          </w:tcPr>
          <w:p w14:paraId="3D15A406"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0.60</w:t>
            </w:r>
          </w:p>
        </w:tc>
        <w:tc>
          <w:tcPr>
            <w:tcW w:w="1558" w:type="dxa"/>
          </w:tcPr>
          <w:p w14:paraId="02425BAA"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0.59</w:t>
            </w:r>
          </w:p>
        </w:tc>
        <w:tc>
          <w:tcPr>
            <w:tcW w:w="1559" w:type="dxa"/>
          </w:tcPr>
          <w:p w14:paraId="46C3484C"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0.62</w:t>
            </w:r>
          </w:p>
        </w:tc>
        <w:tc>
          <w:tcPr>
            <w:tcW w:w="1559" w:type="dxa"/>
          </w:tcPr>
          <w:p w14:paraId="4CB966A6" w14:textId="77777777" w:rsidR="00A81D0B"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0.62</w:t>
            </w:r>
          </w:p>
        </w:tc>
      </w:tr>
    </w:tbl>
    <w:p w14:paraId="4AF131B7" w14:textId="77777777" w:rsidR="00C60339" w:rsidRPr="00BB1DC9" w:rsidRDefault="00C60339" w:rsidP="00EE6F7B">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3B36815E" w14:textId="77777777" w:rsidTr="00F62431">
        <w:tc>
          <w:tcPr>
            <w:tcW w:w="1558" w:type="dxa"/>
          </w:tcPr>
          <w:p w14:paraId="220D0E87" w14:textId="77777777" w:rsidR="00C60339" w:rsidRPr="00BB1DC9" w:rsidRDefault="00C60339" w:rsidP="00EE6F7B">
            <w:pPr>
              <w:spacing w:line="480" w:lineRule="auto"/>
              <w:rPr>
                <w:rFonts w:ascii="Times New Roman" w:hAnsi="Times New Roman" w:cs="Times New Roman"/>
                <w:b/>
                <w:sz w:val="24"/>
                <w:szCs w:val="24"/>
              </w:rPr>
            </w:pPr>
          </w:p>
        </w:tc>
        <w:tc>
          <w:tcPr>
            <w:tcW w:w="1558" w:type="dxa"/>
          </w:tcPr>
          <w:p w14:paraId="69F30ABC"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2BEFC941"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29089F3A"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4AD13B07"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57D255E8"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5F92101F" w14:textId="77777777" w:rsidTr="00F62431">
        <w:tc>
          <w:tcPr>
            <w:tcW w:w="1558" w:type="dxa"/>
          </w:tcPr>
          <w:p w14:paraId="350DD60E"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Total Debt</w:t>
            </w:r>
          </w:p>
        </w:tc>
        <w:tc>
          <w:tcPr>
            <w:tcW w:w="1558" w:type="dxa"/>
          </w:tcPr>
          <w:p w14:paraId="6ED9A7EE"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66566</w:t>
            </w:r>
          </w:p>
        </w:tc>
        <w:tc>
          <w:tcPr>
            <w:tcW w:w="1558" w:type="dxa"/>
          </w:tcPr>
          <w:p w14:paraId="2F0C554A"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56754</w:t>
            </w:r>
          </w:p>
        </w:tc>
        <w:tc>
          <w:tcPr>
            <w:tcW w:w="1558" w:type="dxa"/>
          </w:tcPr>
          <w:p w14:paraId="0730CD3B"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57564</w:t>
            </w:r>
          </w:p>
        </w:tc>
        <w:tc>
          <w:tcPr>
            <w:tcW w:w="1559" w:type="dxa"/>
          </w:tcPr>
          <w:p w14:paraId="763DFFA3"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63373</w:t>
            </w:r>
          </w:p>
        </w:tc>
        <w:tc>
          <w:tcPr>
            <w:tcW w:w="1559" w:type="dxa"/>
          </w:tcPr>
          <w:p w14:paraId="4384FAB0"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60069</w:t>
            </w:r>
          </w:p>
        </w:tc>
      </w:tr>
      <w:tr w:rsidR="007F354B" w:rsidRPr="00BB1DC9" w14:paraId="7F398A29" w14:textId="77777777" w:rsidTr="00F62431">
        <w:tc>
          <w:tcPr>
            <w:tcW w:w="1558" w:type="dxa"/>
          </w:tcPr>
          <w:p w14:paraId="01815B78"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Total Equity</w:t>
            </w:r>
          </w:p>
        </w:tc>
        <w:tc>
          <w:tcPr>
            <w:tcW w:w="1558" w:type="dxa"/>
          </w:tcPr>
          <w:p w14:paraId="5A9EB4C7"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72496</w:t>
            </w:r>
          </w:p>
        </w:tc>
        <w:tc>
          <w:tcPr>
            <w:tcW w:w="1558" w:type="dxa"/>
          </w:tcPr>
          <w:p w14:paraId="158A1A40"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77869</w:t>
            </w:r>
          </w:p>
        </w:tc>
        <w:tc>
          <w:tcPr>
            <w:tcW w:w="1558" w:type="dxa"/>
          </w:tcPr>
          <w:p w14:paraId="6E1DD407"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77798</w:t>
            </w:r>
          </w:p>
        </w:tc>
        <w:tc>
          <w:tcPr>
            <w:tcW w:w="1559" w:type="dxa"/>
          </w:tcPr>
          <w:p w14:paraId="095BF507"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80546</w:t>
            </w:r>
          </w:p>
        </w:tc>
        <w:tc>
          <w:tcPr>
            <w:tcW w:w="1559" w:type="dxa"/>
          </w:tcPr>
          <w:p w14:paraId="27D3B0FC" w14:textId="77777777" w:rsidR="00C60339"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81394</w:t>
            </w:r>
          </w:p>
        </w:tc>
      </w:tr>
      <w:tr w:rsidR="007F354B" w:rsidRPr="00BB1DC9" w14:paraId="458E8AD1" w14:textId="77777777" w:rsidTr="00F62431">
        <w:tc>
          <w:tcPr>
            <w:tcW w:w="1558" w:type="dxa"/>
          </w:tcPr>
          <w:p w14:paraId="5D764632"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lastRenderedPageBreak/>
              <w:t>Ratio After</w:t>
            </w:r>
          </w:p>
        </w:tc>
        <w:tc>
          <w:tcPr>
            <w:tcW w:w="1558" w:type="dxa"/>
          </w:tcPr>
          <w:p w14:paraId="1D6FDD62"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0.92</w:t>
            </w:r>
          </w:p>
        </w:tc>
        <w:tc>
          <w:tcPr>
            <w:tcW w:w="1558" w:type="dxa"/>
          </w:tcPr>
          <w:p w14:paraId="678CBDAF"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0.73</w:t>
            </w:r>
          </w:p>
        </w:tc>
        <w:tc>
          <w:tcPr>
            <w:tcW w:w="1558" w:type="dxa"/>
          </w:tcPr>
          <w:p w14:paraId="1D55CE8C"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0.74</w:t>
            </w:r>
          </w:p>
        </w:tc>
        <w:tc>
          <w:tcPr>
            <w:tcW w:w="1559" w:type="dxa"/>
          </w:tcPr>
          <w:p w14:paraId="7FE1A0E1"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0.79</w:t>
            </w:r>
          </w:p>
        </w:tc>
        <w:tc>
          <w:tcPr>
            <w:tcW w:w="1559" w:type="dxa"/>
          </w:tcPr>
          <w:p w14:paraId="0DE5D7A5" w14:textId="77777777" w:rsidR="00C60339"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0.74</w:t>
            </w:r>
          </w:p>
        </w:tc>
      </w:tr>
    </w:tbl>
    <w:p w14:paraId="08703E69" w14:textId="77777777" w:rsidR="00235C33"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 </w:t>
      </w:r>
    </w:p>
    <w:p w14:paraId="5516E463" w14:textId="77777777" w:rsidR="00960E32"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The above tables show the impact of adoption of </w:t>
      </w:r>
      <w:r w:rsidR="00D3492A" w:rsidRPr="00BB1DC9">
        <w:rPr>
          <w:rFonts w:ascii="Times New Roman" w:hAnsi="Times New Roman" w:cs="Times New Roman"/>
          <w:sz w:val="24"/>
          <w:szCs w:val="24"/>
        </w:rPr>
        <w:t xml:space="preserve">the accounting standard. figures show that the ratio has been impacted </w:t>
      </w:r>
      <w:r w:rsidR="00102C7E" w:rsidRPr="00BB1DC9">
        <w:rPr>
          <w:rFonts w:ascii="Times New Roman" w:hAnsi="Times New Roman" w:cs="Times New Roman"/>
          <w:sz w:val="24"/>
          <w:szCs w:val="24"/>
        </w:rPr>
        <w:t>significantly by adoption of the standard. This also shows that before adoption of the standard</w:t>
      </w:r>
      <w:r w:rsidR="000364C1" w:rsidRPr="00BB1DC9">
        <w:rPr>
          <w:rFonts w:ascii="Times New Roman" w:hAnsi="Times New Roman" w:cs="Times New Roman"/>
          <w:sz w:val="24"/>
          <w:szCs w:val="24"/>
        </w:rPr>
        <w:t>s</w:t>
      </w:r>
      <w:r w:rsidR="00102C7E" w:rsidRPr="00BB1DC9">
        <w:rPr>
          <w:rFonts w:ascii="Times New Roman" w:hAnsi="Times New Roman" w:cs="Times New Roman"/>
          <w:sz w:val="24"/>
          <w:szCs w:val="24"/>
        </w:rPr>
        <w:t xml:space="preserve">, </w:t>
      </w:r>
      <w:r w:rsidR="000364C1" w:rsidRPr="00BB1DC9">
        <w:rPr>
          <w:rFonts w:ascii="Times New Roman" w:hAnsi="Times New Roman" w:cs="Times New Roman"/>
          <w:sz w:val="24"/>
          <w:szCs w:val="24"/>
        </w:rPr>
        <w:t>C</w:t>
      </w:r>
      <w:r w:rsidR="00102C7E" w:rsidRPr="00BB1DC9">
        <w:rPr>
          <w:rFonts w:ascii="Times New Roman" w:hAnsi="Times New Roman" w:cs="Times New Roman"/>
          <w:sz w:val="24"/>
          <w:szCs w:val="24"/>
        </w:rPr>
        <w:t xml:space="preserve">ompany had a considerable amount of liabilities which were not shown on the balance sheet of the company. </w:t>
      </w:r>
      <w:r w:rsidR="00651A51" w:rsidRPr="00BB1DC9">
        <w:rPr>
          <w:rFonts w:ascii="Times New Roman" w:hAnsi="Times New Roman" w:cs="Times New Roman"/>
          <w:sz w:val="24"/>
          <w:szCs w:val="24"/>
        </w:rPr>
        <w:t>This is shown by the increase in liabilities or debt in the second table.</w:t>
      </w:r>
      <w:r w:rsidR="00995FFA" w:rsidRPr="00BB1DC9">
        <w:rPr>
          <w:rFonts w:ascii="Times New Roman" w:hAnsi="Times New Roman" w:cs="Times New Roman"/>
          <w:sz w:val="24"/>
          <w:szCs w:val="24"/>
        </w:rPr>
        <w:t xml:space="preserve"> One difference in the first or second table is that in the first table there is an increase for the ratio from the year 2017 to 2018 whereas in the second table the ratio from the year 2017 to 2018 has decreased.</w:t>
      </w:r>
      <w:r w:rsidR="00660728" w:rsidRPr="00BB1DC9">
        <w:rPr>
          <w:rFonts w:ascii="Times New Roman" w:hAnsi="Times New Roman" w:cs="Times New Roman"/>
          <w:sz w:val="24"/>
          <w:szCs w:val="24"/>
        </w:rPr>
        <w:t xml:space="preserve"> Similarly, the ratio in the years 2015 &amp; 2016 have remained the same</w:t>
      </w:r>
      <w:r w:rsidR="00B27537" w:rsidRPr="00BB1DC9">
        <w:rPr>
          <w:rFonts w:ascii="Times New Roman" w:hAnsi="Times New Roman" w:cs="Times New Roman"/>
          <w:sz w:val="24"/>
          <w:szCs w:val="24"/>
        </w:rPr>
        <w:t xml:space="preserve"> but in the second table, the ratio has increased over the two years.</w:t>
      </w:r>
    </w:p>
    <w:p w14:paraId="6A44842D" w14:textId="7D2EA891" w:rsidR="003623C0"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Return on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1289EFEC" w14:textId="77777777" w:rsidTr="00F62431">
        <w:tc>
          <w:tcPr>
            <w:tcW w:w="1558" w:type="dxa"/>
          </w:tcPr>
          <w:p w14:paraId="618FA6DC" w14:textId="77777777" w:rsidR="00334301" w:rsidRPr="00BB1DC9" w:rsidRDefault="00334301" w:rsidP="00EE6F7B">
            <w:pPr>
              <w:spacing w:line="480" w:lineRule="auto"/>
              <w:rPr>
                <w:rFonts w:ascii="Times New Roman" w:hAnsi="Times New Roman" w:cs="Times New Roman"/>
                <w:b/>
                <w:sz w:val="24"/>
                <w:szCs w:val="24"/>
              </w:rPr>
            </w:pPr>
          </w:p>
        </w:tc>
        <w:tc>
          <w:tcPr>
            <w:tcW w:w="1558" w:type="dxa"/>
          </w:tcPr>
          <w:p w14:paraId="5F013111"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4BC44FA3"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453000B9"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5D98913F"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41090823"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62D61620" w14:textId="77777777" w:rsidTr="00F62431">
        <w:tc>
          <w:tcPr>
            <w:tcW w:w="1558" w:type="dxa"/>
          </w:tcPr>
          <w:p w14:paraId="50C5F5F8"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Net income</w:t>
            </w:r>
          </w:p>
        </w:tc>
        <w:tc>
          <w:tcPr>
            <w:tcW w:w="1558" w:type="dxa"/>
          </w:tcPr>
          <w:p w14:paraId="5579FEA3"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6670</w:t>
            </w:r>
          </w:p>
        </w:tc>
        <w:tc>
          <w:tcPr>
            <w:tcW w:w="1558" w:type="dxa"/>
          </w:tcPr>
          <w:p w14:paraId="442AA15C"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9862</w:t>
            </w:r>
          </w:p>
        </w:tc>
        <w:tc>
          <w:tcPr>
            <w:tcW w:w="1558" w:type="dxa"/>
          </w:tcPr>
          <w:p w14:paraId="327D20B6"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13643</w:t>
            </w:r>
          </w:p>
        </w:tc>
        <w:tc>
          <w:tcPr>
            <w:tcW w:w="1559" w:type="dxa"/>
          </w:tcPr>
          <w:p w14:paraId="055CBB3D"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14694</w:t>
            </w:r>
          </w:p>
        </w:tc>
        <w:tc>
          <w:tcPr>
            <w:tcW w:w="1559" w:type="dxa"/>
          </w:tcPr>
          <w:p w14:paraId="5187D3D3"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16363</w:t>
            </w:r>
          </w:p>
        </w:tc>
      </w:tr>
      <w:tr w:rsidR="007F354B" w:rsidRPr="00BB1DC9" w14:paraId="4F91355A" w14:textId="77777777" w:rsidTr="00F62431">
        <w:tc>
          <w:tcPr>
            <w:tcW w:w="1558" w:type="dxa"/>
          </w:tcPr>
          <w:p w14:paraId="4A1BA69C" w14:textId="333FD5D5"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1558" w:type="dxa"/>
          </w:tcPr>
          <w:p w14:paraId="21D39879"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219295</w:t>
            </w:r>
          </w:p>
        </w:tc>
        <w:tc>
          <w:tcPr>
            <w:tcW w:w="1558" w:type="dxa"/>
          </w:tcPr>
          <w:p w14:paraId="4D8D1FB7"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204522</w:t>
            </w:r>
          </w:p>
        </w:tc>
        <w:tc>
          <w:tcPr>
            <w:tcW w:w="1558" w:type="dxa"/>
          </w:tcPr>
          <w:p w14:paraId="3A068D71"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198825</w:t>
            </w:r>
          </w:p>
        </w:tc>
        <w:tc>
          <w:tcPr>
            <w:tcW w:w="1559" w:type="dxa"/>
          </w:tcPr>
          <w:p w14:paraId="286CF95A"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199581</w:t>
            </w:r>
          </w:p>
        </w:tc>
        <w:tc>
          <w:tcPr>
            <w:tcW w:w="1559" w:type="dxa"/>
          </w:tcPr>
          <w:p w14:paraId="77A6A83D"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203706</w:t>
            </w:r>
          </w:p>
        </w:tc>
      </w:tr>
      <w:tr w:rsidR="007F354B" w:rsidRPr="00BB1DC9" w14:paraId="6B7752F6" w14:textId="77777777" w:rsidTr="00F62431">
        <w:tc>
          <w:tcPr>
            <w:tcW w:w="1558" w:type="dxa"/>
          </w:tcPr>
          <w:p w14:paraId="10B8AE04"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Ratio Before</w:t>
            </w:r>
          </w:p>
        </w:tc>
        <w:tc>
          <w:tcPr>
            <w:tcW w:w="1558" w:type="dxa"/>
          </w:tcPr>
          <w:p w14:paraId="17F88DA5"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3.04%</w:t>
            </w:r>
          </w:p>
        </w:tc>
        <w:tc>
          <w:tcPr>
            <w:tcW w:w="1558" w:type="dxa"/>
          </w:tcPr>
          <w:p w14:paraId="355EC3A4"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4.82%</w:t>
            </w:r>
          </w:p>
        </w:tc>
        <w:tc>
          <w:tcPr>
            <w:tcW w:w="1558" w:type="dxa"/>
          </w:tcPr>
          <w:p w14:paraId="0F84361C"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6.86%</w:t>
            </w:r>
          </w:p>
        </w:tc>
        <w:tc>
          <w:tcPr>
            <w:tcW w:w="1559" w:type="dxa"/>
          </w:tcPr>
          <w:p w14:paraId="5E1C873E"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7.36%</w:t>
            </w:r>
          </w:p>
        </w:tc>
        <w:tc>
          <w:tcPr>
            <w:tcW w:w="1559" w:type="dxa"/>
          </w:tcPr>
          <w:p w14:paraId="077D42C6"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8.03%</w:t>
            </w:r>
          </w:p>
        </w:tc>
      </w:tr>
    </w:tbl>
    <w:p w14:paraId="5BB68793" w14:textId="77777777" w:rsidR="00334301" w:rsidRPr="00BB1DC9" w:rsidRDefault="00334301" w:rsidP="00EE6F7B">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54B" w:rsidRPr="00BB1DC9" w14:paraId="357C8C38" w14:textId="77777777" w:rsidTr="00F62431">
        <w:tc>
          <w:tcPr>
            <w:tcW w:w="1558" w:type="dxa"/>
          </w:tcPr>
          <w:p w14:paraId="047BF4F0" w14:textId="77777777" w:rsidR="00334301" w:rsidRPr="00BB1DC9" w:rsidRDefault="00334301" w:rsidP="00EE6F7B">
            <w:pPr>
              <w:spacing w:line="480" w:lineRule="auto"/>
              <w:rPr>
                <w:rFonts w:ascii="Times New Roman" w:hAnsi="Times New Roman" w:cs="Times New Roman"/>
                <w:b/>
                <w:sz w:val="24"/>
                <w:szCs w:val="24"/>
              </w:rPr>
            </w:pPr>
          </w:p>
        </w:tc>
        <w:tc>
          <w:tcPr>
            <w:tcW w:w="1558" w:type="dxa"/>
          </w:tcPr>
          <w:p w14:paraId="22704932"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2019</w:t>
            </w:r>
          </w:p>
        </w:tc>
        <w:tc>
          <w:tcPr>
            <w:tcW w:w="1558" w:type="dxa"/>
          </w:tcPr>
          <w:p w14:paraId="48B4CADF"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2018</w:t>
            </w:r>
          </w:p>
        </w:tc>
        <w:tc>
          <w:tcPr>
            <w:tcW w:w="1558" w:type="dxa"/>
          </w:tcPr>
          <w:p w14:paraId="5AD7A055"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2017</w:t>
            </w:r>
          </w:p>
        </w:tc>
        <w:tc>
          <w:tcPr>
            <w:tcW w:w="1559" w:type="dxa"/>
          </w:tcPr>
          <w:p w14:paraId="1D2EB61F"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2016</w:t>
            </w:r>
          </w:p>
        </w:tc>
        <w:tc>
          <w:tcPr>
            <w:tcW w:w="1559" w:type="dxa"/>
          </w:tcPr>
          <w:p w14:paraId="240D838D"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2015</w:t>
            </w:r>
          </w:p>
        </w:tc>
      </w:tr>
      <w:tr w:rsidR="007F354B" w:rsidRPr="00BB1DC9" w14:paraId="6E0D091F" w14:textId="77777777" w:rsidTr="00F62431">
        <w:tc>
          <w:tcPr>
            <w:tcW w:w="1558" w:type="dxa"/>
          </w:tcPr>
          <w:p w14:paraId="061C0B93"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Net Income</w:t>
            </w:r>
          </w:p>
        </w:tc>
        <w:tc>
          <w:tcPr>
            <w:tcW w:w="1558" w:type="dxa"/>
          </w:tcPr>
          <w:p w14:paraId="7CF4C7F6"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6670</w:t>
            </w:r>
          </w:p>
        </w:tc>
        <w:tc>
          <w:tcPr>
            <w:tcW w:w="1558" w:type="dxa"/>
          </w:tcPr>
          <w:p w14:paraId="55A82619"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9862</w:t>
            </w:r>
          </w:p>
        </w:tc>
        <w:tc>
          <w:tcPr>
            <w:tcW w:w="1558" w:type="dxa"/>
          </w:tcPr>
          <w:p w14:paraId="2ECA5F21"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13643</w:t>
            </w:r>
          </w:p>
        </w:tc>
        <w:tc>
          <w:tcPr>
            <w:tcW w:w="1559" w:type="dxa"/>
          </w:tcPr>
          <w:p w14:paraId="24B04ADC"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14694</w:t>
            </w:r>
          </w:p>
        </w:tc>
        <w:tc>
          <w:tcPr>
            <w:tcW w:w="1559" w:type="dxa"/>
          </w:tcPr>
          <w:p w14:paraId="1A34938B"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16363</w:t>
            </w:r>
          </w:p>
        </w:tc>
      </w:tr>
      <w:tr w:rsidR="007F354B" w:rsidRPr="00BB1DC9" w14:paraId="59039FE6" w14:textId="77777777" w:rsidTr="00F62431">
        <w:tc>
          <w:tcPr>
            <w:tcW w:w="1558" w:type="dxa"/>
          </w:tcPr>
          <w:p w14:paraId="0523CB00" w14:textId="6649CE49"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 xml:space="preserve">Total </w:t>
            </w:r>
            <w:r w:rsidR="009373E7">
              <w:rPr>
                <w:rFonts w:ascii="Times New Roman" w:hAnsi="Times New Roman" w:cs="Times New Roman"/>
                <w:sz w:val="24"/>
                <w:szCs w:val="24"/>
              </w:rPr>
              <w:t>Resource</w:t>
            </w:r>
            <w:r w:rsidRPr="00BB1DC9">
              <w:rPr>
                <w:rFonts w:ascii="Times New Roman" w:hAnsi="Times New Roman" w:cs="Times New Roman"/>
                <w:sz w:val="24"/>
                <w:szCs w:val="24"/>
              </w:rPr>
              <w:t>s</w:t>
            </w:r>
          </w:p>
        </w:tc>
        <w:tc>
          <w:tcPr>
            <w:tcW w:w="1558" w:type="dxa"/>
          </w:tcPr>
          <w:p w14:paraId="492F5F4B"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227828</w:t>
            </w:r>
          </w:p>
        </w:tc>
        <w:tc>
          <w:tcPr>
            <w:tcW w:w="1558" w:type="dxa"/>
          </w:tcPr>
          <w:p w14:paraId="3967A51A"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214789</w:t>
            </w:r>
          </w:p>
        </w:tc>
        <w:tc>
          <w:tcPr>
            <w:tcW w:w="1558" w:type="dxa"/>
          </w:tcPr>
          <w:p w14:paraId="58359CA7"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210451</w:t>
            </w:r>
          </w:p>
        </w:tc>
        <w:tc>
          <w:tcPr>
            <w:tcW w:w="1559" w:type="dxa"/>
          </w:tcPr>
          <w:p w14:paraId="1BC79414"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212920</w:t>
            </w:r>
          </w:p>
        </w:tc>
        <w:tc>
          <w:tcPr>
            <w:tcW w:w="1559" w:type="dxa"/>
          </w:tcPr>
          <w:p w14:paraId="52887BD6" w14:textId="77777777" w:rsidR="00334301"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213394</w:t>
            </w:r>
          </w:p>
        </w:tc>
      </w:tr>
      <w:tr w:rsidR="007F354B" w:rsidRPr="00BB1DC9" w14:paraId="3CC8CC2B" w14:textId="77777777" w:rsidTr="00F62431">
        <w:tc>
          <w:tcPr>
            <w:tcW w:w="1558" w:type="dxa"/>
          </w:tcPr>
          <w:p w14:paraId="7B1A2E9E"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Ratio After</w:t>
            </w:r>
          </w:p>
        </w:tc>
        <w:tc>
          <w:tcPr>
            <w:tcW w:w="1558" w:type="dxa"/>
          </w:tcPr>
          <w:p w14:paraId="367B4B1A"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2.93%</w:t>
            </w:r>
          </w:p>
        </w:tc>
        <w:tc>
          <w:tcPr>
            <w:tcW w:w="1558" w:type="dxa"/>
          </w:tcPr>
          <w:p w14:paraId="32FCE6E8"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4.59%</w:t>
            </w:r>
          </w:p>
        </w:tc>
        <w:tc>
          <w:tcPr>
            <w:tcW w:w="1558" w:type="dxa"/>
          </w:tcPr>
          <w:p w14:paraId="2B33308B"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6.48%</w:t>
            </w:r>
          </w:p>
        </w:tc>
        <w:tc>
          <w:tcPr>
            <w:tcW w:w="1559" w:type="dxa"/>
          </w:tcPr>
          <w:p w14:paraId="65DA0B4D"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6.9%</w:t>
            </w:r>
          </w:p>
        </w:tc>
        <w:tc>
          <w:tcPr>
            <w:tcW w:w="1559" w:type="dxa"/>
          </w:tcPr>
          <w:p w14:paraId="78F07BC2" w14:textId="77777777" w:rsidR="00334301" w:rsidRPr="00BB1DC9" w:rsidRDefault="0058648A" w:rsidP="00EE6F7B">
            <w:pPr>
              <w:spacing w:line="480" w:lineRule="auto"/>
              <w:rPr>
                <w:rFonts w:ascii="Times New Roman" w:hAnsi="Times New Roman" w:cs="Times New Roman"/>
                <w:b/>
                <w:sz w:val="24"/>
                <w:szCs w:val="24"/>
              </w:rPr>
            </w:pPr>
            <w:r w:rsidRPr="00BB1DC9">
              <w:rPr>
                <w:rFonts w:ascii="Times New Roman" w:hAnsi="Times New Roman" w:cs="Times New Roman"/>
                <w:b/>
                <w:sz w:val="24"/>
                <w:szCs w:val="24"/>
              </w:rPr>
              <w:t>7.67%</w:t>
            </w:r>
          </w:p>
        </w:tc>
      </w:tr>
    </w:tbl>
    <w:p w14:paraId="7E4D6FD9" w14:textId="77777777" w:rsidR="00334301" w:rsidRPr="00BB1DC9" w:rsidRDefault="00334301" w:rsidP="00EE6F7B">
      <w:pPr>
        <w:spacing w:line="480" w:lineRule="auto"/>
        <w:rPr>
          <w:rFonts w:ascii="Times New Roman" w:hAnsi="Times New Roman" w:cs="Times New Roman"/>
          <w:sz w:val="24"/>
          <w:szCs w:val="24"/>
        </w:rPr>
      </w:pPr>
    </w:p>
    <w:p w14:paraId="7BC8DD0D" w14:textId="755ECBC4" w:rsidR="004E79F2" w:rsidRPr="00BB1DC9" w:rsidRDefault="000364C1" w:rsidP="00EE6F7B">
      <w:pPr>
        <w:spacing w:line="480" w:lineRule="auto"/>
        <w:rPr>
          <w:rFonts w:ascii="Times New Roman" w:hAnsi="Times New Roman" w:cs="Times New Roman"/>
          <w:sz w:val="24"/>
          <w:szCs w:val="24"/>
        </w:rPr>
      </w:pPr>
      <w:r w:rsidRPr="00BB1DC9">
        <w:rPr>
          <w:rFonts w:ascii="Times New Roman" w:hAnsi="Times New Roman" w:cs="Times New Roman"/>
          <w:sz w:val="24"/>
          <w:szCs w:val="24"/>
        </w:rPr>
        <w:t>A</w:t>
      </w:r>
      <w:r w:rsidR="0058648A" w:rsidRPr="00BB1DC9">
        <w:rPr>
          <w:rFonts w:ascii="Times New Roman" w:hAnsi="Times New Roman" w:cs="Times New Roman"/>
          <w:sz w:val="24"/>
          <w:szCs w:val="24"/>
        </w:rPr>
        <w:t xml:space="preserve">bove tables show the impact of the adoption of the standard on Walmart in terms of the return on </w:t>
      </w:r>
      <w:r w:rsidR="009373E7">
        <w:rPr>
          <w:rFonts w:ascii="Times New Roman" w:hAnsi="Times New Roman" w:cs="Times New Roman"/>
          <w:sz w:val="24"/>
          <w:szCs w:val="24"/>
        </w:rPr>
        <w:t>resource</w:t>
      </w:r>
      <w:r w:rsidR="0058648A" w:rsidRPr="00BB1DC9">
        <w:rPr>
          <w:rFonts w:ascii="Times New Roman" w:hAnsi="Times New Roman" w:cs="Times New Roman"/>
          <w:sz w:val="24"/>
          <w:szCs w:val="24"/>
        </w:rPr>
        <w:t>s.</w:t>
      </w:r>
      <w:r w:rsidR="00157B82" w:rsidRPr="00BB1DC9">
        <w:rPr>
          <w:rFonts w:ascii="Times New Roman" w:hAnsi="Times New Roman" w:cs="Times New Roman"/>
          <w:sz w:val="24"/>
          <w:szCs w:val="24"/>
        </w:rPr>
        <w:t xml:space="preserve"> We can notice a clear decline in the return on </w:t>
      </w:r>
      <w:r w:rsidR="009373E7">
        <w:rPr>
          <w:rFonts w:ascii="Times New Roman" w:hAnsi="Times New Roman" w:cs="Times New Roman"/>
          <w:sz w:val="24"/>
          <w:szCs w:val="24"/>
        </w:rPr>
        <w:t>resource</w:t>
      </w:r>
      <w:r w:rsidR="00157B82" w:rsidRPr="00BB1DC9">
        <w:rPr>
          <w:rFonts w:ascii="Times New Roman" w:hAnsi="Times New Roman" w:cs="Times New Roman"/>
          <w:sz w:val="24"/>
          <w:szCs w:val="24"/>
        </w:rPr>
        <w:t xml:space="preserve">s when the standard was adopted. This decline is attributable to the </w:t>
      </w:r>
      <w:r w:rsidR="00D70649" w:rsidRPr="00BB1DC9">
        <w:rPr>
          <w:rFonts w:ascii="Times New Roman" w:hAnsi="Times New Roman" w:cs="Times New Roman"/>
          <w:sz w:val="24"/>
          <w:szCs w:val="24"/>
        </w:rPr>
        <w:t xml:space="preserve">increase in </w:t>
      </w:r>
      <w:r w:rsidR="009373E7">
        <w:rPr>
          <w:rFonts w:ascii="Times New Roman" w:hAnsi="Times New Roman" w:cs="Times New Roman"/>
          <w:sz w:val="24"/>
          <w:szCs w:val="24"/>
        </w:rPr>
        <w:t>resource</w:t>
      </w:r>
      <w:r w:rsidR="00D70649" w:rsidRPr="00BB1DC9">
        <w:rPr>
          <w:rFonts w:ascii="Times New Roman" w:hAnsi="Times New Roman" w:cs="Times New Roman"/>
          <w:sz w:val="24"/>
          <w:szCs w:val="24"/>
        </w:rPr>
        <w:t xml:space="preserve">s which were previously shown off balance Sheet by the company. </w:t>
      </w:r>
    </w:p>
    <w:p w14:paraId="63D53A6D" w14:textId="77777777" w:rsidR="00D70649" w:rsidRPr="00BB1DC9" w:rsidRDefault="0058648A" w:rsidP="00793674">
      <w:pPr>
        <w:pStyle w:val="Heading1"/>
        <w:rPr>
          <w:rFonts w:ascii="Times New Roman" w:hAnsi="Times New Roman" w:cs="Times New Roman"/>
          <w:color w:val="auto"/>
          <w:sz w:val="24"/>
          <w:szCs w:val="24"/>
        </w:rPr>
      </w:pPr>
      <w:bookmarkStart w:id="23" w:name="_Toc9222194"/>
      <w:r w:rsidRPr="00BB1DC9">
        <w:rPr>
          <w:rFonts w:ascii="Times New Roman" w:hAnsi="Times New Roman" w:cs="Times New Roman"/>
          <w:color w:val="auto"/>
          <w:sz w:val="24"/>
          <w:szCs w:val="24"/>
        </w:rPr>
        <w:t>Conclusion</w:t>
      </w:r>
      <w:bookmarkEnd w:id="23"/>
    </w:p>
    <w:p w14:paraId="062F476F" w14:textId="77777777" w:rsidR="002067FC" w:rsidRPr="00BB1DC9" w:rsidRDefault="0058648A" w:rsidP="00163939">
      <w:pPr>
        <w:spacing w:line="480" w:lineRule="auto"/>
        <w:ind w:firstLine="1260"/>
        <w:rPr>
          <w:rFonts w:ascii="Times New Roman" w:hAnsi="Times New Roman" w:cs="Times New Roman"/>
          <w:sz w:val="24"/>
          <w:szCs w:val="24"/>
        </w:rPr>
      </w:pPr>
      <w:r w:rsidRPr="00BB1DC9">
        <w:rPr>
          <w:rFonts w:ascii="Times New Roman" w:hAnsi="Times New Roman" w:cs="Times New Roman"/>
          <w:sz w:val="24"/>
          <w:szCs w:val="24"/>
        </w:rPr>
        <w:t xml:space="preserve">The standard has had a significant impact on the way the companies report the various leases in the balance sheets. This has forced companies to improve completeness of the information presented in the financial statements. This has also allowed users of the information to have better insights in the financial statements especially with reference to certain ratios related to profitability, activity, and solvency. Before the </w:t>
      </w:r>
      <w:r w:rsidR="00497FA5" w:rsidRPr="00BB1DC9">
        <w:rPr>
          <w:rFonts w:ascii="Times New Roman" w:hAnsi="Times New Roman" w:cs="Times New Roman"/>
          <w:sz w:val="24"/>
          <w:szCs w:val="24"/>
        </w:rPr>
        <w:t>adoption of this standard, certain frauds were reported which were based on the practice of keeping items off balance sheet. This standard will help to avoid such fraud.</w:t>
      </w:r>
    </w:p>
    <w:p w14:paraId="5ED42D03" w14:textId="77777777" w:rsidR="00EE6F7B" w:rsidRPr="00BB1DC9" w:rsidRDefault="00EE6F7B" w:rsidP="00EE6F7B">
      <w:pPr>
        <w:spacing w:line="480" w:lineRule="auto"/>
        <w:rPr>
          <w:rFonts w:ascii="Times New Roman" w:hAnsi="Times New Roman" w:cs="Times New Roman"/>
          <w:sz w:val="24"/>
          <w:szCs w:val="24"/>
        </w:rPr>
      </w:pPr>
    </w:p>
    <w:bookmarkStart w:id="24" w:name="_Toc9222195" w:displacedByCustomXml="next"/>
    <w:sdt>
      <w:sdtPr>
        <w:rPr>
          <w:rFonts w:ascii="Times New Roman" w:eastAsiaTheme="minorHAnsi" w:hAnsi="Times New Roman" w:cs="Times New Roman"/>
          <w:color w:val="auto"/>
          <w:sz w:val="24"/>
          <w:szCs w:val="24"/>
        </w:rPr>
        <w:id w:val="715087462"/>
        <w:docPartObj>
          <w:docPartGallery w:val="Bibliographies"/>
          <w:docPartUnique/>
        </w:docPartObj>
      </w:sdtPr>
      <w:sdtEndPr/>
      <w:sdtContent>
        <w:p w14:paraId="0CCFB511" w14:textId="77777777" w:rsidR="00EE6F7B" w:rsidRPr="00BB1DC9" w:rsidRDefault="0058648A" w:rsidP="00EE6F7B">
          <w:pPr>
            <w:pStyle w:val="Heading1"/>
            <w:spacing w:line="480" w:lineRule="auto"/>
            <w:rPr>
              <w:rFonts w:ascii="Times New Roman" w:hAnsi="Times New Roman" w:cs="Times New Roman"/>
              <w:color w:val="auto"/>
              <w:sz w:val="24"/>
              <w:szCs w:val="24"/>
            </w:rPr>
          </w:pPr>
          <w:r w:rsidRPr="00BB1DC9">
            <w:rPr>
              <w:rFonts w:ascii="Times New Roman" w:hAnsi="Times New Roman" w:cs="Times New Roman"/>
              <w:color w:val="auto"/>
              <w:sz w:val="24"/>
              <w:szCs w:val="24"/>
            </w:rPr>
            <w:t>References</w:t>
          </w:r>
          <w:bookmarkEnd w:id="24"/>
        </w:p>
        <w:sdt>
          <w:sdtPr>
            <w:rPr>
              <w:rFonts w:ascii="Times New Roman" w:hAnsi="Times New Roman" w:cs="Times New Roman"/>
              <w:sz w:val="24"/>
              <w:szCs w:val="24"/>
            </w:rPr>
            <w:id w:val="-573587230"/>
            <w:bibliography/>
          </w:sdtPr>
          <w:sdtEndPr/>
          <w:sdtContent>
            <w:p w14:paraId="17621303" w14:textId="77777777" w:rsidR="00EE6F7B" w:rsidRPr="00BB1DC9" w:rsidRDefault="0058648A" w:rsidP="00EE6F7B">
              <w:pPr>
                <w:pStyle w:val="Bibliography"/>
                <w:spacing w:line="480" w:lineRule="auto"/>
                <w:rPr>
                  <w:rFonts w:ascii="Times New Roman" w:hAnsi="Times New Roman" w:cs="Times New Roman"/>
                  <w:noProof/>
                  <w:sz w:val="24"/>
                  <w:szCs w:val="24"/>
                </w:rPr>
              </w:pPr>
              <w:r w:rsidRPr="00BB1DC9">
                <w:rPr>
                  <w:rFonts w:ascii="Times New Roman" w:hAnsi="Times New Roman" w:cs="Times New Roman"/>
                  <w:sz w:val="24"/>
                  <w:szCs w:val="24"/>
                </w:rPr>
                <w:fldChar w:fldCharType="begin"/>
              </w:r>
              <w:r w:rsidRPr="00BB1DC9">
                <w:rPr>
                  <w:rFonts w:ascii="Times New Roman" w:hAnsi="Times New Roman" w:cs="Times New Roman"/>
                  <w:sz w:val="24"/>
                  <w:szCs w:val="24"/>
                </w:rPr>
                <w:instrText xml:space="preserve"> BIBLIOGRAPHY </w:instrText>
              </w:r>
              <w:r w:rsidRPr="00BB1DC9">
                <w:rPr>
                  <w:rFonts w:ascii="Times New Roman" w:hAnsi="Times New Roman" w:cs="Times New Roman"/>
                  <w:sz w:val="24"/>
                  <w:szCs w:val="24"/>
                </w:rPr>
                <w:fldChar w:fldCharType="separate"/>
              </w:r>
              <w:r w:rsidRPr="00BB1DC9">
                <w:rPr>
                  <w:rFonts w:ascii="Times New Roman" w:hAnsi="Times New Roman" w:cs="Times New Roman"/>
                  <w:noProof/>
                  <w:sz w:val="24"/>
                  <w:szCs w:val="24"/>
                </w:rPr>
                <w:t xml:space="preserve">Stock-analysis-on-net, 2019. </w:t>
              </w:r>
              <w:r w:rsidRPr="00BB1DC9">
                <w:rPr>
                  <w:rFonts w:ascii="Times New Roman" w:hAnsi="Times New Roman" w:cs="Times New Roman"/>
                  <w:i/>
                  <w:iCs/>
                  <w:noProof/>
                  <w:sz w:val="24"/>
                  <w:szCs w:val="24"/>
                </w:rPr>
                <w:t xml:space="preserve">https://www.stock-analysis-on.net/NYSE/Company/Walmart-Inc/Analysis/Operating-Leases. </w:t>
              </w:r>
              <w:r w:rsidRPr="00BB1DC9">
                <w:rPr>
                  <w:rFonts w:ascii="Times New Roman" w:hAnsi="Times New Roman" w:cs="Times New Roman"/>
                  <w:noProof/>
                  <w:sz w:val="24"/>
                  <w:szCs w:val="24"/>
                </w:rPr>
                <w:t xml:space="preserve">[Online] </w:t>
              </w:r>
              <w:r w:rsidRPr="00BB1DC9">
                <w:rPr>
                  <w:rFonts w:ascii="Times New Roman" w:hAnsi="Times New Roman" w:cs="Times New Roman"/>
                  <w:noProof/>
                  <w:sz w:val="24"/>
                  <w:szCs w:val="24"/>
                </w:rPr>
                <w:br/>
                <w:t xml:space="preserve">Available at: </w:t>
              </w:r>
              <w:r w:rsidRPr="00BB1DC9">
                <w:rPr>
                  <w:rFonts w:ascii="Times New Roman" w:hAnsi="Times New Roman" w:cs="Times New Roman"/>
                  <w:noProof/>
                  <w:sz w:val="24"/>
                  <w:szCs w:val="24"/>
                  <w:u w:val="single"/>
                </w:rPr>
                <w:t>https://www.stock-analysis-on.net/NYSE/Company/Walmart-Inc/Analysis/Operating-Leases</w:t>
              </w:r>
              <w:r w:rsidRPr="00BB1DC9">
                <w:rPr>
                  <w:rFonts w:ascii="Times New Roman" w:hAnsi="Times New Roman" w:cs="Times New Roman"/>
                  <w:noProof/>
                  <w:sz w:val="24"/>
                  <w:szCs w:val="24"/>
                </w:rPr>
                <w:br/>
                <w:t>[Accessed 19 May 2019].</w:t>
              </w:r>
            </w:p>
            <w:p w14:paraId="288018A8" w14:textId="77777777" w:rsidR="00EE6F7B" w:rsidRPr="00BB1DC9" w:rsidRDefault="0058648A" w:rsidP="00EE6F7B">
              <w:pPr>
                <w:spacing w:line="480" w:lineRule="auto"/>
                <w:rPr>
                  <w:rFonts w:ascii="Times New Roman" w:hAnsi="Times New Roman" w:cs="Times New Roman"/>
                  <w:sz w:val="24"/>
                  <w:szCs w:val="24"/>
                </w:rPr>
              </w:pPr>
              <w:r w:rsidRPr="00BB1DC9">
                <w:rPr>
                  <w:rFonts w:ascii="Times New Roman" w:hAnsi="Times New Roman" w:cs="Times New Roman"/>
                  <w:b/>
                  <w:bCs/>
                  <w:noProof/>
                  <w:sz w:val="24"/>
                  <w:szCs w:val="24"/>
                </w:rPr>
                <w:fldChar w:fldCharType="end"/>
              </w:r>
            </w:p>
          </w:sdtContent>
        </w:sdt>
      </w:sdtContent>
    </w:sdt>
    <w:p w14:paraId="553EB235" w14:textId="77777777" w:rsidR="00EE6F7B" w:rsidRPr="00BB1DC9" w:rsidRDefault="00EE6F7B" w:rsidP="00EE6F7B">
      <w:pPr>
        <w:spacing w:line="480" w:lineRule="auto"/>
        <w:rPr>
          <w:rFonts w:ascii="Times New Roman" w:hAnsi="Times New Roman" w:cs="Times New Roman"/>
          <w:sz w:val="24"/>
          <w:szCs w:val="24"/>
        </w:rPr>
      </w:pPr>
    </w:p>
    <w:sectPr w:rsidR="00EE6F7B" w:rsidRPr="00BB1DC9" w:rsidSect="00632388">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E4243" w16cid:durableId="208CA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7392" w14:textId="77777777" w:rsidR="00C91412" w:rsidRDefault="00C91412">
      <w:pPr>
        <w:spacing w:after="0" w:line="240" w:lineRule="auto"/>
      </w:pPr>
      <w:r>
        <w:separator/>
      </w:r>
    </w:p>
  </w:endnote>
  <w:endnote w:type="continuationSeparator" w:id="0">
    <w:p w14:paraId="6B901A99" w14:textId="77777777" w:rsidR="00C91412" w:rsidRDefault="00C9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98CA" w14:textId="77777777" w:rsidR="00C91412" w:rsidRDefault="00C91412">
      <w:pPr>
        <w:spacing w:after="0" w:line="240" w:lineRule="auto"/>
      </w:pPr>
      <w:r>
        <w:separator/>
      </w:r>
    </w:p>
  </w:footnote>
  <w:footnote w:type="continuationSeparator" w:id="0">
    <w:p w14:paraId="24F40D0D" w14:textId="77777777" w:rsidR="00C91412" w:rsidRDefault="00C9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1FE8" w14:textId="77777777" w:rsidR="002311AB" w:rsidRPr="00E40C34" w:rsidRDefault="0058648A">
    <w:pPr>
      <w:pStyle w:val="Header"/>
      <w:jc w:val="right"/>
      <w:rPr>
        <w:rFonts w:ascii="Times New Roman" w:hAnsi="Times New Roman" w:cs="Times New Roman"/>
        <w:sz w:val="24"/>
        <w:szCs w:val="24"/>
      </w:rPr>
    </w:pPr>
    <w:r w:rsidRPr="00E40C34">
      <w:rPr>
        <w:rFonts w:ascii="Times New Roman" w:hAnsi="Times New Roman" w:cs="Times New Roman"/>
        <w:sz w:val="24"/>
        <w:szCs w:val="24"/>
      </w:rPr>
      <w:t xml:space="preserve">AASB 16 </w:t>
    </w:r>
    <w:sdt>
      <w:sdtPr>
        <w:rPr>
          <w:rFonts w:ascii="Times New Roman" w:hAnsi="Times New Roman" w:cs="Times New Roman"/>
          <w:sz w:val="24"/>
          <w:szCs w:val="24"/>
        </w:rPr>
        <w:id w:val="-1424555375"/>
        <w:docPartObj>
          <w:docPartGallery w:val="Page Numbers (Top of Page)"/>
          <w:docPartUnique/>
        </w:docPartObj>
      </w:sdtPr>
      <w:sdtEndPr>
        <w:rPr>
          <w:noProof/>
        </w:rPr>
      </w:sdtEndPr>
      <w:sdtContent>
        <w:r w:rsidRPr="00E40C34">
          <w:rPr>
            <w:rFonts w:ascii="Times New Roman" w:hAnsi="Times New Roman" w:cs="Times New Roman"/>
            <w:sz w:val="24"/>
            <w:szCs w:val="24"/>
          </w:rPr>
          <w:fldChar w:fldCharType="begin"/>
        </w:r>
        <w:r w:rsidRPr="00E40C34">
          <w:rPr>
            <w:rFonts w:ascii="Times New Roman" w:hAnsi="Times New Roman" w:cs="Times New Roman"/>
            <w:sz w:val="24"/>
            <w:szCs w:val="24"/>
          </w:rPr>
          <w:instrText xml:space="preserve"> PAGE   \* MERGEFORMAT </w:instrText>
        </w:r>
        <w:r w:rsidRPr="00E40C34">
          <w:rPr>
            <w:rFonts w:ascii="Times New Roman" w:hAnsi="Times New Roman" w:cs="Times New Roman"/>
            <w:sz w:val="24"/>
            <w:szCs w:val="24"/>
          </w:rPr>
          <w:fldChar w:fldCharType="separate"/>
        </w:r>
        <w:r w:rsidR="009373E7">
          <w:rPr>
            <w:rFonts w:ascii="Times New Roman" w:hAnsi="Times New Roman" w:cs="Times New Roman"/>
            <w:noProof/>
            <w:sz w:val="24"/>
            <w:szCs w:val="24"/>
          </w:rPr>
          <w:t>15</w:t>
        </w:r>
        <w:r w:rsidRPr="00E40C34">
          <w:rPr>
            <w:rFonts w:ascii="Times New Roman" w:hAnsi="Times New Roman" w:cs="Times New Roman"/>
            <w:noProof/>
            <w:sz w:val="24"/>
            <w:szCs w:val="24"/>
          </w:rPr>
          <w:fldChar w:fldCharType="end"/>
        </w:r>
      </w:sdtContent>
    </w:sdt>
  </w:p>
  <w:p w14:paraId="1A90EDB6" w14:textId="77777777" w:rsidR="00632388" w:rsidRDefault="00632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29580448"/>
      <w:docPartObj>
        <w:docPartGallery w:val="Page Numbers (Top of Page)"/>
        <w:docPartUnique/>
      </w:docPartObj>
    </w:sdtPr>
    <w:sdtEndPr>
      <w:rPr>
        <w:noProof/>
      </w:rPr>
    </w:sdtEndPr>
    <w:sdtContent>
      <w:p w14:paraId="171FAED9" w14:textId="77777777" w:rsidR="00632388" w:rsidRPr="00E40C34" w:rsidRDefault="0058648A">
        <w:pPr>
          <w:pStyle w:val="Header"/>
          <w:jc w:val="right"/>
          <w:rPr>
            <w:rFonts w:ascii="Times New Roman" w:hAnsi="Times New Roman" w:cs="Times New Roman"/>
            <w:noProof/>
            <w:sz w:val="24"/>
            <w:szCs w:val="24"/>
          </w:rPr>
        </w:pPr>
        <w:r w:rsidRPr="00E40C34">
          <w:rPr>
            <w:rFonts w:ascii="Times New Roman" w:hAnsi="Times New Roman" w:cs="Times New Roman"/>
            <w:sz w:val="24"/>
            <w:szCs w:val="24"/>
          </w:rPr>
          <w:fldChar w:fldCharType="begin"/>
        </w:r>
        <w:r w:rsidRPr="00E40C34">
          <w:rPr>
            <w:rFonts w:ascii="Times New Roman" w:hAnsi="Times New Roman" w:cs="Times New Roman"/>
            <w:sz w:val="24"/>
            <w:szCs w:val="24"/>
          </w:rPr>
          <w:instrText xml:space="preserve"> PAGE   \* MERGEFORMAT </w:instrText>
        </w:r>
        <w:r w:rsidRPr="00E40C34">
          <w:rPr>
            <w:rFonts w:ascii="Times New Roman" w:hAnsi="Times New Roman" w:cs="Times New Roman"/>
            <w:sz w:val="24"/>
            <w:szCs w:val="24"/>
          </w:rPr>
          <w:fldChar w:fldCharType="separate"/>
        </w:r>
        <w:r w:rsidR="009373E7">
          <w:rPr>
            <w:rFonts w:ascii="Times New Roman" w:hAnsi="Times New Roman" w:cs="Times New Roman"/>
            <w:noProof/>
            <w:sz w:val="24"/>
            <w:szCs w:val="24"/>
          </w:rPr>
          <w:t>1</w:t>
        </w:r>
        <w:r w:rsidRPr="00E40C34">
          <w:rPr>
            <w:rFonts w:ascii="Times New Roman" w:hAnsi="Times New Roman" w:cs="Times New Roman"/>
            <w:noProof/>
            <w:sz w:val="24"/>
            <w:szCs w:val="24"/>
          </w:rPr>
          <w:fldChar w:fldCharType="end"/>
        </w:r>
      </w:p>
      <w:p w14:paraId="35837B45" w14:textId="77777777" w:rsidR="00632388" w:rsidRPr="00E40C34" w:rsidRDefault="0058648A" w:rsidP="00632388">
        <w:pPr>
          <w:pStyle w:val="Header"/>
          <w:rPr>
            <w:rFonts w:ascii="Times New Roman" w:hAnsi="Times New Roman" w:cs="Times New Roman"/>
            <w:sz w:val="24"/>
            <w:szCs w:val="24"/>
          </w:rPr>
        </w:pPr>
        <w:r w:rsidRPr="00E40C34">
          <w:rPr>
            <w:rFonts w:ascii="Times New Roman" w:hAnsi="Times New Roman" w:cs="Times New Roman"/>
            <w:noProof/>
            <w:sz w:val="24"/>
            <w:szCs w:val="24"/>
          </w:rPr>
          <w:t>RUNNING HEAD: AASB 16</w:t>
        </w:r>
      </w:p>
    </w:sdtContent>
  </w:sdt>
  <w:p w14:paraId="101CE800" w14:textId="77777777" w:rsidR="00632388" w:rsidRDefault="00632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61"/>
    <w:rsid w:val="00007DE4"/>
    <w:rsid w:val="000364C1"/>
    <w:rsid w:val="00043832"/>
    <w:rsid w:val="0007367E"/>
    <w:rsid w:val="000774F3"/>
    <w:rsid w:val="000A7D02"/>
    <w:rsid w:val="000B7D6E"/>
    <w:rsid w:val="000C1EEA"/>
    <w:rsid w:val="000D0AE9"/>
    <w:rsid w:val="000D108F"/>
    <w:rsid w:val="000D4168"/>
    <w:rsid w:val="00102C7E"/>
    <w:rsid w:val="00107A2A"/>
    <w:rsid w:val="00127A2C"/>
    <w:rsid w:val="00134643"/>
    <w:rsid w:val="00135530"/>
    <w:rsid w:val="00145A65"/>
    <w:rsid w:val="00157B82"/>
    <w:rsid w:val="001607C3"/>
    <w:rsid w:val="00163939"/>
    <w:rsid w:val="00172539"/>
    <w:rsid w:val="00175C0C"/>
    <w:rsid w:val="0018553F"/>
    <w:rsid w:val="001B13B2"/>
    <w:rsid w:val="001B25F7"/>
    <w:rsid w:val="001B70A9"/>
    <w:rsid w:val="001D17E6"/>
    <w:rsid w:val="0020179B"/>
    <w:rsid w:val="002067FC"/>
    <w:rsid w:val="00207BF2"/>
    <w:rsid w:val="0022409B"/>
    <w:rsid w:val="002254C2"/>
    <w:rsid w:val="002311AB"/>
    <w:rsid w:val="00235C33"/>
    <w:rsid w:val="002459AF"/>
    <w:rsid w:val="00247E3A"/>
    <w:rsid w:val="002526C5"/>
    <w:rsid w:val="002628AA"/>
    <w:rsid w:val="002726C0"/>
    <w:rsid w:val="00282CD7"/>
    <w:rsid w:val="002B207F"/>
    <w:rsid w:val="002B229C"/>
    <w:rsid w:val="002B2D68"/>
    <w:rsid w:val="002B7171"/>
    <w:rsid w:val="002C0A57"/>
    <w:rsid w:val="002E2630"/>
    <w:rsid w:val="002E6170"/>
    <w:rsid w:val="002E683D"/>
    <w:rsid w:val="00305512"/>
    <w:rsid w:val="00306B01"/>
    <w:rsid w:val="00334301"/>
    <w:rsid w:val="0034001D"/>
    <w:rsid w:val="003623C0"/>
    <w:rsid w:val="00374161"/>
    <w:rsid w:val="003774B7"/>
    <w:rsid w:val="003A3201"/>
    <w:rsid w:val="003C08A5"/>
    <w:rsid w:val="003D6843"/>
    <w:rsid w:val="00420734"/>
    <w:rsid w:val="004238BF"/>
    <w:rsid w:val="004732F3"/>
    <w:rsid w:val="00492FF8"/>
    <w:rsid w:val="00497FA5"/>
    <w:rsid w:val="004A4C87"/>
    <w:rsid w:val="004B0272"/>
    <w:rsid w:val="004D2D29"/>
    <w:rsid w:val="004D34F3"/>
    <w:rsid w:val="004E79F2"/>
    <w:rsid w:val="004F0341"/>
    <w:rsid w:val="004F12A6"/>
    <w:rsid w:val="004F36CC"/>
    <w:rsid w:val="00501DD8"/>
    <w:rsid w:val="005224ED"/>
    <w:rsid w:val="00522A8B"/>
    <w:rsid w:val="005240C2"/>
    <w:rsid w:val="00546DCF"/>
    <w:rsid w:val="0058648A"/>
    <w:rsid w:val="005A33E1"/>
    <w:rsid w:val="00601887"/>
    <w:rsid w:val="00603829"/>
    <w:rsid w:val="00605C2A"/>
    <w:rsid w:val="00607947"/>
    <w:rsid w:val="0061224A"/>
    <w:rsid w:val="00617018"/>
    <w:rsid w:val="00623A75"/>
    <w:rsid w:val="006264CC"/>
    <w:rsid w:val="006278C3"/>
    <w:rsid w:val="00632388"/>
    <w:rsid w:val="00641B2B"/>
    <w:rsid w:val="00651A51"/>
    <w:rsid w:val="00660728"/>
    <w:rsid w:val="00661E69"/>
    <w:rsid w:val="00667198"/>
    <w:rsid w:val="006741EC"/>
    <w:rsid w:val="0067461A"/>
    <w:rsid w:val="00676F51"/>
    <w:rsid w:val="00691A5B"/>
    <w:rsid w:val="007115D3"/>
    <w:rsid w:val="00716186"/>
    <w:rsid w:val="00742753"/>
    <w:rsid w:val="00745112"/>
    <w:rsid w:val="00747797"/>
    <w:rsid w:val="007601CA"/>
    <w:rsid w:val="007653EC"/>
    <w:rsid w:val="00770F1D"/>
    <w:rsid w:val="0079224A"/>
    <w:rsid w:val="00793674"/>
    <w:rsid w:val="007A369A"/>
    <w:rsid w:val="007A61F5"/>
    <w:rsid w:val="007A7F8C"/>
    <w:rsid w:val="007C1590"/>
    <w:rsid w:val="007E3101"/>
    <w:rsid w:val="007E3301"/>
    <w:rsid w:val="007E4A0B"/>
    <w:rsid w:val="007F354B"/>
    <w:rsid w:val="0081236E"/>
    <w:rsid w:val="00822A73"/>
    <w:rsid w:val="00827824"/>
    <w:rsid w:val="008365D2"/>
    <w:rsid w:val="008427B0"/>
    <w:rsid w:val="008454DA"/>
    <w:rsid w:val="00846B36"/>
    <w:rsid w:val="00861E88"/>
    <w:rsid w:val="00865AB2"/>
    <w:rsid w:val="008719BD"/>
    <w:rsid w:val="008733F7"/>
    <w:rsid w:val="00875ADB"/>
    <w:rsid w:val="008835F8"/>
    <w:rsid w:val="008A4643"/>
    <w:rsid w:val="008B19C5"/>
    <w:rsid w:val="008D6AF1"/>
    <w:rsid w:val="008E0E0C"/>
    <w:rsid w:val="009020D4"/>
    <w:rsid w:val="009169D1"/>
    <w:rsid w:val="00931972"/>
    <w:rsid w:val="00931FFB"/>
    <w:rsid w:val="00932492"/>
    <w:rsid w:val="009373E7"/>
    <w:rsid w:val="00950F79"/>
    <w:rsid w:val="00960E32"/>
    <w:rsid w:val="009667A7"/>
    <w:rsid w:val="00983B83"/>
    <w:rsid w:val="00984AB3"/>
    <w:rsid w:val="0099225A"/>
    <w:rsid w:val="00995FFA"/>
    <w:rsid w:val="009A42E9"/>
    <w:rsid w:val="009B1B7C"/>
    <w:rsid w:val="00A12A9D"/>
    <w:rsid w:val="00A14655"/>
    <w:rsid w:val="00A14DB7"/>
    <w:rsid w:val="00A27C3D"/>
    <w:rsid w:val="00A402C2"/>
    <w:rsid w:val="00A579C3"/>
    <w:rsid w:val="00A81D0B"/>
    <w:rsid w:val="00A9165C"/>
    <w:rsid w:val="00AA7260"/>
    <w:rsid w:val="00AB0E03"/>
    <w:rsid w:val="00AD288D"/>
    <w:rsid w:val="00B02FFA"/>
    <w:rsid w:val="00B27537"/>
    <w:rsid w:val="00B332FF"/>
    <w:rsid w:val="00B46D53"/>
    <w:rsid w:val="00B5040B"/>
    <w:rsid w:val="00B50509"/>
    <w:rsid w:val="00B530BD"/>
    <w:rsid w:val="00B5342A"/>
    <w:rsid w:val="00B8394E"/>
    <w:rsid w:val="00B85252"/>
    <w:rsid w:val="00B90497"/>
    <w:rsid w:val="00BA2336"/>
    <w:rsid w:val="00BB1DC9"/>
    <w:rsid w:val="00BD09E5"/>
    <w:rsid w:val="00BD6B3C"/>
    <w:rsid w:val="00BE7774"/>
    <w:rsid w:val="00C2079B"/>
    <w:rsid w:val="00C36652"/>
    <w:rsid w:val="00C40019"/>
    <w:rsid w:val="00C41BD6"/>
    <w:rsid w:val="00C60339"/>
    <w:rsid w:val="00C8457F"/>
    <w:rsid w:val="00C91412"/>
    <w:rsid w:val="00C95D50"/>
    <w:rsid w:val="00CA1ED3"/>
    <w:rsid w:val="00CB5C9A"/>
    <w:rsid w:val="00CC2D32"/>
    <w:rsid w:val="00CD6F8B"/>
    <w:rsid w:val="00CE125C"/>
    <w:rsid w:val="00CF0E18"/>
    <w:rsid w:val="00CF2AD7"/>
    <w:rsid w:val="00CF6144"/>
    <w:rsid w:val="00D151A0"/>
    <w:rsid w:val="00D24B5B"/>
    <w:rsid w:val="00D32C83"/>
    <w:rsid w:val="00D3492A"/>
    <w:rsid w:val="00D6563B"/>
    <w:rsid w:val="00D67CE0"/>
    <w:rsid w:val="00D70649"/>
    <w:rsid w:val="00D76B34"/>
    <w:rsid w:val="00D90FDD"/>
    <w:rsid w:val="00D94AED"/>
    <w:rsid w:val="00DB2173"/>
    <w:rsid w:val="00DB346D"/>
    <w:rsid w:val="00DD4B56"/>
    <w:rsid w:val="00DD5DF4"/>
    <w:rsid w:val="00E02FDA"/>
    <w:rsid w:val="00E07ECF"/>
    <w:rsid w:val="00E11720"/>
    <w:rsid w:val="00E34CEE"/>
    <w:rsid w:val="00E40C34"/>
    <w:rsid w:val="00E44A38"/>
    <w:rsid w:val="00E50AA0"/>
    <w:rsid w:val="00E6310B"/>
    <w:rsid w:val="00E72AA7"/>
    <w:rsid w:val="00E77FBC"/>
    <w:rsid w:val="00E85CC7"/>
    <w:rsid w:val="00E95334"/>
    <w:rsid w:val="00E957E7"/>
    <w:rsid w:val="00EA4428"/>
    <w:rsid w:val="00EB7953"/>
    <w:rsid w:val="00EC0752"/>
    <w:rsid w:val="00EC0AE5"/>
    <w:rsid w:val="00ED5A83"/>
    <w:rsid w:val="00EE6F7B"/>
    <w:rsid w:val="00EF7856"/>
    <w:rsid w:val="00F01DB0"/>
    <w:rsid w:val="00F34130"/>
    <w:rsid w:val="00F37164"/>
    <w:rsid w:val="00F45908"/>
    <w:rsid w:val="00F45D33"/>
    <w:rsid w:val="00F51D1D"/>
    <w:rsid w:val="00F551E0"/>
    <w:rsid w:val="00F8123F"/>
    <w:rsid w:val="00FD2C96"/>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EF4"/>
  <w15:chartTrackingRefBased/>
  <w15:docId w15:val="{9172881A-0C71-427E-B3A8-F4352EA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F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7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2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F7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E6F7B"/>
  </w:style>
  <w:style w:type="paragraph" w:styleId="Header">
    <w:name w:val="header"/>
    <w:basedOn w:val="Normal"/>
    <w:link w:val="HeaderChar"/>
    <w:uiPriority w:val="99"/>
    <w:unhideWhenUsed/>
    <w:rsid w:val="0063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88"/>
  </w:style>
  <w:style w:type="paragraph" w:styleId="Footer">
    <w:name w:val="footer"/>
    <w:basedOn w:val="Normal"/>
    <w:link w:val="FooterChar"/>
    <w:uiPriority w:val="99"/>
    <w:unhideWhenUsed/>
    <w:rsid w:val="0063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88"/>
  </w:style>
  <w:style w:type="character" w:styleId="CommentReference">
    <w:name w:val="annotation reference"/>
    <w:basedOn w:val="DefaultParagraphFont"/>
    <w:uiPriority w:val="99"/>
    <w:semiHidden/>
    <w:unhideWhenUsed/>
    <w:rsid w:val="009667A7"/>
    <w:rPr>
      <w:sz w:val="16"/>
      <w:szCs w:val="16"/>
    </w:rPr>
  </w:style>
  <w:style w:type="paragraph" w:styleId="CommentText">
    <w:name w:val="annotation text"/>
    <w:basedOn w:val="Normal"/>
    <w:link w:val="CommentTextChar"/>
    <w:uiPriority w:val="99"/>
    <w:semiHidden/>
    <w:unhideWhenUsed/>
    <w:rsid w:val="009667A7"/>
    <w:pPr>
      <w:spacing w:line="240" w:lineRule="auto"/>
    </w:pPr>
    <w:rPr>
      <w:sz w:val="20"/>
      <w:szCs w:val="20"/>
    </w:rPr>
  </w:style>
  <w:style w:type="character" w:customStyle="1" w:styleId="CommentTextChar">
    <w:name w:val="Comment Text Char"/>
    <w:basedOn w:val="DefaultParagraphFont"/>
    <w:link w:val="CommentText"/>
    <w:uiPriority w:val="99"/>
    <w:semiHidden/>
    <w:rsid w:val="009667A7"/>
    <w:rPr>
      <w:sz w:val="20"/>
      <w:szCs w:val="20"/>
    </w:rPr>
  </w:style>
  <w:style w:type="paragraph" w:styleId="CommentSubject">
    <w:name w:val="annotation subject"/>
    <w:basedOn w:val="CommentText"/>
    <w:next w:val="CommentText"/>
    <w:link w:val="CommentSubjectChar"/>
    <w:uiPriority w:val="99"/>
    <w:semiHidden/>
    <w:unhideWhenUsed/>
    <w:rsid w:val="009667A7"/>
    <w:rPr>
      <w:b/>
      <w:bCs/>
    </w:rPr>
  </w:style>
  <w:style w:type="character" w:customStyle="1" w:styleId="CommentSubjectChar">
    <w:name w:val="Comment Subject Char"/>
    <w:basedOn w:val="CommentTextChar"/>
    <w:link w:val="CommentSubject"/>
    <w:uiPriority w:val="99"/>
    <w:semiHidden/>
    <w:rsid w:val="009667A7"/>
    <w:rPr>
      <w:b/>
      <w:bCs/>
      <w:sz w:val="20"/>
      <w:szCs w:val="20"/>
    </w:rPr>
  </w:style>
  <w:style w:type="paragraph" w:styleId="BalloonText">
    <w:name w:val="Balloon Text"/>
    <w:basedOn w:val="Normal"/>
    <w:link w:val="BalloonTextChar"/>
    <w:uiPriority w:val="99"/>
    <w:semiHidden/>
    <w:unhideWhenUsed/>
    <w:rsid w:val="0096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7"/>
    <w:rPr>
      <w:rFonts w:ascii="Segoe UI" w:hAnsi="Segoe UI" w:cs="Segoe UI"/>
      <w:sz w:val="18"/>
      <w:szCs w:val="18"/>
    </w:rPr>
  </w:style>
  <w:style w:type="character" w:customStyle="1" w:styleId="Heading2Char">
    <w:name w:val="Heading 2 Char"/>
    <w:basedOn w:val="DefaultParagraphFont"/>
    <w:link w:val="Heading2"/>
    <w:uiPriority w:val="9"/>
    <w:rsid w:val="00D67C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224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B1DC9"/>
    <w:pPr>
      <w:outlineLvl w:val="9"/>
    </w:pPr>
  </w:style>
  <w:style w:type="paragraph" w:styleId="TOC1">
    <w:name w:val="toc 1"/>
    <w:basedOn w:val="Normal"/>
    <w:next w:val="Normal"/>
    <w:autoRedefine/>
    <w:uiPriority w:val="39"/>
    <w:unhideWhenUsed/>
    <w:rsid w:val="00BB1DC9"/>
    <w:pPr>
      <w:spacing w:after="100"/>
    </w:pPr>
  </w:style>
  <w:style w:type="paragraph" w:styleId="TOC2">
    <w:name w:val="toc 2"/>
    <w:basedOn w:val="Normal"/>
    <w:next w:val="Normal"/>
    <w:autoRedefine/>
    <w:uiPriority w:val="39"/>
    <w:unhideWhenUsed/>
    <w:rsid w:val="00BB1DC9"/>
    <w:pPr>
      <w:spacing w:after="100"/>
      <w:ind w:left="220"/>
    </w:pPr>
  </w:style>
  <w:style w:type="character" w:styleId="Hyperlink">
    <w:name w:val="Hyperlink"/>
    <w:basedOn w:val="DefaultParagraphFont"/>
    <w:uiPriority w:val="99"/>
    <w:unhideWhenUsed/>
    <w:rsid w:val="00BB1DC9"/>
    <w:rPr>
      <w:color w:val="0563C1" w:themeColor="hyperlink"/>
      <w:u w:val="single"/>
    </w:rPr>
  </w:style>
  <w:style w:type="paragraph" w:styleId="FootnoteText">
    <w:name w:val="footnote text"/>
    <w:basedOn w:val="Normal"/>
    <w:link w:val="FootnoteTextChar"/>
    <w:uiPriority w:val="99"/>
    <w:semiHidden/>
    <w:unhideWhenUsed/>
    <w:rsid w:val="00BD0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9E5"/>
    <w:rPr>
      <w:sz w:val="20"/>
      <w:szCs w:val="20"/>
    </w:rPr>
  </w:style>
  <w:style w:type="character" w:styleId="FootnoteReference">
    <w:name w:val="footnote reference"/>
    <w:basedOn w:val="DefaultParagraphFont"/>
    <w:uiPriority w:val="99"/>
    <w:semiHidden/>
    <w:unhideWhenUsed/>
    <w:rsid w:val="00BD0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Sto19</b:Tag>
    <b:SourceType>DocumentFromInternetSite</b:SourceType>
    <b:Guid>{37437FCD-A916-4B84-8F16-2E5C18D8A652}</b:Guid>
    <b:Author>
      <b:Author>
        <b:Corporate>Stock-analysis-on-net</b:Corporate>
      </b:Author>
    </b:Author>
    <b:Title>https://www.stock-analysis-on.net/NYSE/Company/Walmart-Inc/Analysis/Operating-Leases</b:Title>
    <b:Year>2019</b:Year>
    <b:Month>March</b:Month>
    <b:Day>28</b:Day>
    <b:YearAccessed>2019</b:YearAccessed>
    <b:MonthAccessed>May</b:MonthAccessed>
    <b:DayAccessed>19</b:DayAccessed>
    <b:URL>https://www.stock-analysis-on.net/NYSE/Company/Walmart-Inc/Analysis/Operating-Leases</b:URL>
    <b:RefOrder>1</b:RefOrder>
  </b:Source>
</b:Sources>
</file>

<file path=customXml/itemProps1.xml><?xml version="1.0" encoding="utf-8"?>
<ds:datastoreItem xmlns:ds="http://schemas.openxmlformats.org/officeDocument/2006/customXml" ds:itemID="{7056B945-5FC8-49BE-BC44-7A1F64F5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Gilly</dc:creator>
  <cp:lastModifiedBy>Adam Gilly</cp:lastModifiedBy>
  <cp:revision>12</cp:revision>
  <dcterms:created xsi:type="dcterms:W3CDTF">2019-05-20T12:24:00Z</dcterms:created>
  <dcterms:modified xsi:type="dcterms:W3CDTF">2019-05-21T03:06:00Z</dcterms:modified>
</cp:coreProperties>
</file>