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98AA" w14:textId="77777777" w:rsidR="0086057A" w:rsidRDefault="0086057A">
      <w:pPr>
        <w:pStyle w:val="Title"/>
      </w:pPr>
    </w:p>
    <w:p w14:paraId="7EB792B6" w14:textId="77777777" w:rsidR="0086057A" w:rsidRDefault="0086057A">
      <w:pPr>
        <w:pStyle w:val="Title"/>
      </w:pPr>
    </w:p>
    <w:p w14:paraId="33E982E5" w14:textId="6E3947F1" w:rsidR="00E81978" w:rsidRDefault="005358EA">
      <w:pPr>
        <w:pStyle w:val="Title"/>
      </w:pPr>
      <w:r>
        <w:t>Procedural Law and the Bill of Rights</w:t>
      </w:r>
    </w:p>
    <w:p w14:paraId="204F5273" w14:textId="3C0EC0D4" w:rsidR="00B823AA" w:rsidRDefault="000B50A6" w:rsidP="00B823AA">
      <w:pPr>
        <w:pStyle w:val="Title2"/>
      </w:pPr>
      <w:r>
        <w:t>[Author’s name]</w:t>
      </w:r>
    </w:p>
    <w:p w14:paraId="1D086A05" w14:textId="7CF4AA34" w:rsidR="00D731CA" w:rsidRDefault="00D731CA" w:rsidP="00B823AA">
      <w:pPr>
        <w:pStyle w:val="Title2"/>
      </w:pPr>
      <w:r>
        <w:t>[Institute’s name]</w:t>
      </w:r>
    </w:p>
    <w:p w14:paraId="638451F7" w14:textId="77777777" w:rsidR="0086057A" w:rsidRDefault="0086057A" w:rsidP="00B823AA">
      <w:pPr>
        <w:pStyle w:val="Title2"/>
      </w:pPr>
    </w:p>
    <w:p w14:paraId="664968B0" w14:textId="77777777" w:rsidR="0086057A" w:rsidRDefault="0086057A" w:rsidP="00B823AA">
      <w:pPr>
        <w:pStyle w:val="Title2"/>
      </w:pPr>
    </w:p>
    <w:p w14:paraId="294220B9" w14:textId="77777777" w:rsidR="0086057A" w:rsidRDefault="0086057A" w:rsidP="00B823AA">
      <w:pPr>
        <w:pStyle w:val="Title2"/>
      </w:pPr>
    </w:p>
    <w:p w14:paraId="68EE2B8D" w14:textId="1409B1F8" w:rsidR="0086057A" w:rsidRDefault="0086057A" w:rsidP="00B823AA">
      <w:pPr>
        <w:pStyle w:val="Title2"/>
      </w:pPr>
      <w:r>
        <w:t>Author Note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70D297BE" w:rsidR="00E81978" w:rsidRDefault="00F115B0" w:rsidP="00B823AA">
      <w:pPr>
        <w:pStyle w:val="Title2"/>
      </w:pPr>
      <w:r>
        <w:lastRenderedPageBreak/>
        <w:t>Procedural Law and the Bill of Rights</w:t>
      </w:r>
    </w:p>
    <w:p w14:paraId="71234706" w14:textId="6853DDFB" w:rsidR="00226BEE" w:rsidRDefault="00226BEE" w:rsidP="00C704E1">
      <w:pPr>
        <w:pStyle w:val="Title2"/>
        <w:rPr>
          <w:b/>
          <w:bCs/>
        </w:rPr>
      </w:pPr>
      <w:r w:rsidRPr="00C704E1">
        <w:rPr>
          <w:b/>
          <w:bCs/>
        </w:rPr>
        <w:t>Compare and Contrast Sources</w:t>
      </w:r>
    </w:p>
    <w:p w14:paraId="7477E423" w14:textId="0A27D204" w:rsidR="00674100" w:rsidRDefault="00674100" w:rsidP="00674100">
      <w:pPr>
        <w:pStyle w:val="Title2"/>
        <w:jc w:val="left"/>
      </w:pPr>
      <w:r>
        <w:rPr>
          <w:b/>
          <w:bCs/>
        </w:rPr>
        <w:tab/>
      </w:r>
      <w:r w:rsidR="00682300" w:rsidRPr="00682300">
        <w:t xml:space="preserve">The constitution of the country and case law are characterized as two </w:t>
      </w:r>
      <w:r w:rsidR="00A4587D">
        <w:t>prominent sources of the rights and fundamental principles e</w:t>
      </w:r>
      <w:r w:rsidR="00DF240D">
        <w:t xml:space="preserve">stablished in </w:t>
      </w:r>
      <w:r w:rsidR="00DD2918">
        <w:t xml:space="preserve">the </w:t>
      </w:r>
      <w:r w:rsidR="00DF240D">
        <w:t xml:space="preserve">legal system of the United States. Both these prospects are used to developed legal conditions according to requirements of </w:t>
      </w:r>
      <w:r w:rsidR="00DD2918">
        <w:t xml:space="preserve">the </w:t>
      </w:r>
      <w:r w:rsidR="00DF240D">
        <w:t xml:space="preserve">operating legal system in the country. </w:t>
      </w:r>
      <w:r w:rsidR="006713C2">
        <w:t xml:space="preserve">The approach of </w:t>
      </w:r>
      <w:r w:rsidR="00DD2918">
        <w:t xml:space="preserve">the </w:t>
      </w:r>
      <w:r w:rsidR="006713C2">
        <w:t>country’s constitution is different f</w:t>
      </w:r>
      <w:r w:rsidR="00DD2918">
        <w:t>ro</w:t>
      </w:r>
      <w:r w:rsidR="006713C2">
        <w:t xml:space="preserve">m the source of case law because it provides </w:t>
      </w:r>
      <w:r w:rsidR="00DD2918">
        <w:t xml:space="preserve">a </w:t>
      </w:r>
      <w:r w:rsidR="006713C2">
        <w:t xml:space="preserve">foundation </w:t>
      </w:r>
      <w:r w:rsidR="00DD2918">
        <w:t>for</w:t>
      </w:r>
      <w:r w:rsidR="006713C2">
        <w:t xml:space="preserve"> </w:t>
      </w:r>
      <w:r w:rsidR="00DD2918">
        <w:t xml:space="preserve">the </w:t>
      </w:r>
      <w:r w:rsidR="006713C2">
        <w:t xml:space="preserve">legal system of the United States. </w:t>
      </w:r>
      <w:r w:rsidR="00386292">
        <w:t xml:space="preserve">The implications of </w:t>
      </w:r>
      <w:r w:rsidR="00DD2918">
        <w:t xml:space="preserve">the </w:t>
      </w:r>
      <w:r w:rsidR="00386292">
        <w:t xml:space="preserve">country’s constitution </w:t>
      </w:r>
      <w:r w:rsidR="00B92B96">
        <w:t>are</w:t>
      </w:r>
      <w:r w:rsidR="00386292">
        <w:t xml:space="preserve"> wide-ranging as compare</w:t>
      </w:r>
      <w:r w:rsidR="0086057A">
        <w:t>d</w:t>
      </w:r>
      <w:r w:rsidR="00386292">
        <w:t xml:space="preserve"> to </w:t>
      </w:r>
      <w:r w:rsidR="00DD2918">
        <w:t xml:space="preserve">the </w:t>
      </w:r>
      <w:r w:rsidR="00386292">
        <w:t>enforcement of principles set</w:t>
      </w:r>
      <w:r w:rsidR="007868E1">
        <w:t xml:space="preserve"> through the source of case law. </w:t>
      </w:r>
    </w:p>
    <w:p w14:paraId="6138AC00" w14:textId="776D049E" w:rsidR="00006650" w:rsidRDefault="00006650" w:rsidP="00674100">
      <w:pPr>
        <w:pStyle w:val="Title2"/>
        <w:jc w:val="left"/>
      </w:pPr>
      <w:r>
        <w:tab/>
      </w:r>
      <w:r w:rsidR="00AD3CE0">
        <w:t xml:space="preserve">The constitution of the country developed its position as the charter that provides guidelines of functioning to the government. </w:t>
      </w:r>
      <w:r w:rsidR="001A428C">
        <w:t xml:space="preserve">It is noteworthy to mention that </w:t>
      </w:r>
      <w:r w:rsidR="00FD79CD">
        <w:t xml:space="preserve">the </w:t>
      </w:r>
      <w:r w:rsidR="001A428C">
        <w:t xml:space="preserve">fundamentals of freedom and basic human rights also found in </w:t>
      </w:r>
      <w:r w:rsidR="00DD2918">
        <w:t xml:space="preserve">the </w:t>
      </w:r>
      <w:r w:rsidR="001A428C">
        <w:t xml:space="preserve">case of </w:t>
      </w:r>
      <w:r w:rsidR="00DD2918">
        <w:t xml:space="preserve">the </w:t>
      </w:r>
      <w:r w:rsidR="001A428C">
        <w:t xml:space="preserve">country’s constitution. </w:t>
      </w:r>
      <w:r w:rsidR="00F504A4">
        <w:t xml:space="preserve">The development of </w:t>
      </w:r>
      <w:r w:rsidR="00DD2918">
        <w:t xml:space="preserve">the </w:t>
      </w:r>
      <w:r w:rsidR="00F504A4">
        <w:t xml:space="preserve">first ten amendments in </w:t>
      </w:r>
      <w:r w:rsidR="00DD2918">
        <w:t xml:space="preserve">the </w:t>
      </w:r>
      <w:r w:rsidR="00F504A4">
        <w:t xml:space="preserve">country’s constitution is recognized as </w:t>
      </w:r>
      <w:r w:rsidR="00DD2918">
        <w:t xml:space="preserve">the </w:t>
      </w:r>
      <w:r w:rsidR="00F504A4">
        <w:t>“Bill of Rights.” These amendments</w:t>
      </w:r>
      <w:r w:rsidR="00861689">
        <w:t xml:space="preserve"> are</w:t>
      </w:r>
      <w:r w:rsidR="00F504A4">
        <w:t xml:space="preserve"> play</w:t>
      </w:r>
      <w:r w:rsidR="00861689">
        <w:t>ing</w:t>
      </w:r>
      <w:r w:rsidR="00F504A4">
        <w:t xml:space="preserve"> </w:t>
      </w:r>
      <w:r w:rsidR="00DD2918">
        <w:t xml:space="preserve">an </w:t>
      </w:r>
      <w:r w:rsidR="00F504A4">
        <w:t>important role when it comes to defining and establishing basic human rights of citizens.</w:t>
      </w:r>
      <w:r w:rsidR="00D36246">
        <w:t xml:space="preserve"> The liberties of citizens protected by the document of the United States’ constitution. </w:t>
      </w:r>
      <w:r w:rsidR="005445A6">
        <w:t xml:space="preserve">On the other hand, case law under the broader domain of procedural law played </w:t>
      </w:r>
      <w:r w:rsidR="00DD2918">
        <w:t xml:space="preserve">a </w:t>
      </w:r>
      <w:r w:rsidR="005445A6">
        <w:t xml:space="preserve">vital role to determine common law by judges in </w:t>
      </w:r>
      <w:r w:rsidR="00B3254C">
        <w:t>rulings</w:t>
      </w:r>
      <w:r w:rsidR="00DF42C3">
        <w:t xml:space="preserve"> </w:t>
      </w:r>
      <w:r w:rsidR="00DF42C3">
        <w:fldChar w:fldCharType="begin"/>
      </w:r>
      <w:r w:rsidR="00DF42C3">
        <w:instrText xml:space="preserve"> ADDIN ZOTERO_ITEM CSL_CITATION {"citationID":"Gzo0uNSA","properties":{"formattedCitation":"(Farnsworth, 2010)","plainCitation":"(Farnsworth, 2010)","noteIndex":0},"citationItems":[{"id":1785,"uris":["http://zotero.org/users/local/7Hi3kAOD/items/R3YPZV3H"],"uri":["http://zotero.org/users/local/7Hi3kAOD/items/R3YPZV3H"],"itemData":{"id":1785,"type":"book","ISBN":"0-19-974971-X","publisher":"Oxford University Press","title":"An introduction to the legal system of the United States","author":[{"family":"Farnsworth","given":"E. Allan"}],"issued":{"date-parts":[["2010"]]}}}],"schema":"https://github.com/citation-style-language/schema/raw/master/csl-citation.json"} </w:instrText>
      </w:r>
      <w:r w:rsidR="00DF42C3">
        <w:fldChar w:fldCharType="separate"/>
      </w:r>
      <w:r w:rsidR="00DF42C3" w:rsidRPr="00DF42C3">
        <w:rPr>
          <w:rFonts w:ascii="Times New Roman" w:hAnsi="Times New Roman" w:cs="Times New Roman"/>
        </w:rPr>
        <w:t>(Farnsworth, 2010)</w:t>
      </w:r>
      <w:r w:rsidR="00DF42C3">
        <w:fldChar w:fldCharType="end"/>
      </w:r>
      <w:r w:rsidR="005445A6">
        <w:t xml:space="preserve">. </w:t>
      </w:r>
      <w:r w:rsidR="005B2C72">
        <w:t>It is defined as the important source that ha</w:t>
      </w:r>
      <w:r w:rsidR="00DD2918">
        <w:t>s</w:t>
      </w:r>
      <w:r w:rsidR="005B2C72">
        <w:t xml:space="preserve"> the authority to define </w:t>
      </w:r>
      <w:r w:rsidR="00DD2918">
        <w:t xml:space="preserve">the </w:t>
      </w:r>
      <w:r w:rsidR="005B2C72">
        <w:t xml:space="preserve">legal position of </w:t>
      </w:r>
      <w:r w:rsidR="00DD2918">
        <w:t xml:space="preserve">a </w:t>
      </w:r>
      <w:r w:rsidR="005B2C72">
        <w:t xml:space="preserve">legal system specifically during the procedure of judicial decision-making. </w:t>
      </w:r>
    </w:p>
    <w:p w14:paraId="6398D45C" w14:textId="6A0C3E1A" w:rsidR="005B7A6D" w:rsidRDefault="005B7A6D" w:rsidP="00C704E1">
      <w:pPr>
        <w:pStyle w:val="Title2"/>
        <w:rPr>
          <w:b/>
          <w:bCs/>
        </w:rPr>
      </w:pPr>
      <w:r w:rsidRPr="00C704E1">
        <w:rPr>
          <w:b/>
          <w:bCs/>
        </w:rPr>
        <w:t xml:space="preserve">Three Steps of </w:t>
      </w:r>
      <w:r w:rsidR="00DD2918">
        <w:rPr>
          <w:b/>
          <w:bCs/>
        </w:rPr>
        <w:t xml:space="preserve">the </w:t>
      </w:r>
      <w:r w:rsidRPr="00C704E1">
        <w:rPr>
          <w:b/>
          <w:bCs/>
        </w:rPr>
        <w:t>Criminal Justice Process</w:t>
      </w:r>
    </w:p>
    <w:p w14:paraId="72B76773" w14:textId="29EB85CF" w:rsidR="00DD2918" w:rsidRDefault="000D09A7" w:rsidP="00DD2918">
      <w:pPr>
        <w:pStyle w:val="Title2"/>
        <w:jc w:val="left"/>
      </w:pPr>
      <w:r w:rsidRPr="000D09A7">
        <w:tab/>
      </w:r>
      <w:r>
        <w:t>The systematic procedure of criminal justice comprised</w:t>
      </w:r>
      <w:r w:rsidR="006866E1">
        <w:t xml:space="preserve"> of</w:t>
      </w:r>
      <w:r>
        <w:t xml:space="preserve"> </w:t>
      </w:r>
      <w:r w:rsidR="00FD79CD">
        <w:t xml:space="preserve">a </w:t>
      </w:r>
      <w:r>
        <w:t xml:space="preserve">series of steps or stages that played </w:t>
      </w:r>
      <w:r w:rsidR="00FD79CD">
        <w:t xml:space="preserve">an </w:t>
      </w:r>
      <w:r>
        <w:t xml:space="preserve">important role to achieve the objective of </w:t>
      </w:r>
      <w:r w:rsidR="00FD79CD">
        <w:t xml:space="preserve">the </w:t>
      </w:r>
      <w:r>
        <w:t xml:space="preserve">criminal justice system. </w:t>
      </w:r>
      <w:r w:rsidR="0076094A">
        <w:t xml:space="preserve">The practical approach of </w:t>
      </w:r>
      <w:r w:rsidR="00FD79CD">
        <w:t xml:space="preserve">the </w:t>
      </w:r>
      <w:r w:rsidR="0076094A">
        <w:t xml:space="preserve">criminal justice process starts from the </w:t>
      </w:r>
      <w:r w:rsidR="000976C0">
        <w:t xml:space="preserve">proper criminal assessment and finished </w:t>
      </w:r>
      <w:r w:rsidR="000976C0">
        <w:lastRenderedPageBreak/>
        <w:t xml:space="preserve">with the release of imprisoned individuals. </w:t>
      </w:r>
      <w:r w:rsidR="0022326F">
        <w:t xml:space="preserve">There is </w:t>
      </w:r>
      <w:r w:rsidR="00FD79CD">
        <w:t xml:space="preserve">the </w:t>
      </w:r>
      <w:r w:rsidR="0022326F">
        <w:t xml:space="preserve">existence of different phases during these practical elements that eventually make the entire process </w:t>
      </w:r>
      <w:r w:rsidR="00FD79CD">
        <w:t>o</w:t>
      </w:r>
      <w:r w:rsidR="0022326F">
        <w:t xml:space="preserve">f criminal justice </w:t>
      </w:r>
      <w:r w:rsidR="00051296">
        <w:t xml:space="preserve">valid for all the stakeholders. </w:t>
      </w:r>
      <w:r w:rsidR="001546CA">
        <w:t xml:space="preserve">Arrest and imprisonment are two major phases that describe </w:t>
      </w:r>
      <w:r w:rsidR="00FD79CD">
        <w:t xml:space="preserve">the </w:t>
      </w:r>
      <w:r w:rsidR="001546CA">
        <w:t xml:space="preserve">overall domain of </w:t>
      </w:r>
      <w:r w:rsidR="00FD79CD">
        <w:t xml:space="preserve">the </w:t>
      </w:r>
      <w:r w:rsidR="001546CA">
        <w:t xml:space="preserve">criminal justice system. </w:t>
      </w:r>
      <w:r w:rsidR="002073DC">
        <w:t xml:space="preserve">It is important to apprehend that the existing gap between the stages of arrest and captivity associated with </w:t>
      </w:r>
      <w:r w:rsidR="00FD79CD">
        <w:t xml:space="preserve">the </w:t>
      </w:r>
      <w:r w:rsidR="002073DC">
        <w:t>application of other practical steps that also require necessary attention.</w:t>
      </w:r>
      <w:r w:rsidR="0061012C">
        <w:t xml:space="preserve"> </w:t>
      </w:r>
      <w:r w:rsidR="00A95D3A">
        <w:t xml:space="preserve">Prosecution, Indictment, and Arraignment are characterized as three major phases </w:t>
      </w:r>
      <w:r w:rsidR="00FD79CD">
        <w:t xml:space="preserve">that </w:t>
      </w:r>
      <w:r w:rsidR="00A95D3A">
        <w:t>prevail during the domains of arrest and imprisonment. A brief explanation</w:t>
      </w:r>
      <w:r w:rsidR="00FD79CD">
        <w:t xml:space="preserve"> of</w:t>
      </w:r>
      <w:r w:rsidR="00A95D3A">
        <w:t xml:space="preserve"> all these stages is </w:t>
      </w:r>
      <w:r w:rsidR="00FD79CD">
        <w:t xml:space="preserve">an </w:t>
      </w:r>
      <w:r w:rsidR="00A95D3A">
        <w:t xml:space="preserve">imperative condition to makes better inferences on </w:t>
      </w:r>
      <w:r w:rsidR="00FD79CD">
        <w:t xml:space="preserve">the </w:t>
      </w:r>
      <w:r w:rsidR="00A95D3A">
        <w:t xml:space="preserve">criminal justice system. </w:t>
      </w:r>
    </w:p>
    <w:p w14:paraId="4B590EF8" w14:textId="3F3F1E8B" w:rsidR="0020078D" w:rsidRDefault="0020078D" w:rsidP="00DD2918">
      <w:pPr>
        <w:pStyle w:val="Title2"/>
        <w:jc w:val="left"/>
        <w:rPr>
          <w:b/>
          <w:bCs/>
        </w:rPr>
      </w:pPr>
      <w:r w:rsidRPr="00303544">
        <w:rPr>
          <w:b/>
          <w:bCs/>
        </w:rPr>
        <w:t>Prosecution</w:t>
      </w:r>
    </w:p>
    <w:p w14:paraId="73839109" w14:textId="1DFDE157" w:rsidR="00303544" w:rsidRPr="00785547" w:rsidRDefault="00303544" w:rsidP="00DD2918">
      <w:pPr>
        <w:pStyle w:val="Title2"/>
        <w:jc w:val="left"/>
      </w:pPr>
      <w:r w:rsidRPr="00785547">
        <w:tab/>
      </w:r>
      <w:r w:rsidR="00785547" w:rsidRPr="00785547">
        <w:t xml:space="preserve">The phase of prosecution of an offender </w:t>
      </w:r>
      <w:r w:rsidR="00785547">
        <w:t xml:space="preserve">established by a district attorney. </w:t>
      </w:r>
      <w:r w:rsidR="009814A7">
        <w:t xml:space="preserve">The central objective of this phase of </w:t>
      </w:r>
      <w:r w:rsidR="00FD79CD">
        <w:t xml:space="preserve">the </w:t>
      </w:r>
      <w:r w:rsidR="009814A7">
        <w:t xml:space="preserve">criminal justice system is to </w:t>
      </w:r>
      <w:r w:rsidR="00BA4613">
        <w:t xml:space="preserve">formulate a decision whether to charge an individual for the allegation or not. The phenomenon of prosecution influenced </w:t>
      </w:r>
      <w:r w:rsidR="00FD79CD">
        <w:t>by</w:t>
      </w:r>
      <w:r w:rsidR="00BA4613">
        <w:t xml:space="preserve"> different aspects such as</w:t>
      </w:r>
      <w:r w:rsidR="009A1876">
        <w:t xml:space="preserve"> considering </w:t>
      </w:r>
      <w:r w:rsidR="00FD79CD">
        <w:t xml:space="preserve">the </w:t>
      </w:r>
      <w:r w:rsidR="009A1876">
        <w:t xml:space="preserve">seriousness of the criminal activity and authenticity of the evidence. </w:t>
      </w:r>
    </w:p>
    <w:p w14:paraId="1E833E6A" w14:textId="776F16A7" w:rsidR="0020078D" w:rsidRDefault="0020078D" w:rsidP="00DD2918">
      <w:pPr>
        <w:pStyle w:val="Title2"/>
        <w:jc w:val="left"/>
        <w:rPr>
          <w:b/>
          <w:bCs/>
        </w:rPr>
      </w:pPr>
      <w:r w:rsidRPr="00303544">
        <w:rPr>
          <w:b/>
          <w:bCs/>
        </w:rPr>
        <w:t>Indictment</w:t>
      </w:r>
    </w:p>
    <w:p w14:paraId="7BC50B03" w14:textId="5F333EB1" w:rsidR="00882B80" w:rsidRPr="00975CE8" w:rsidRDefault="00882B80" w:rsidP="00DD2918">
      <w:pPr>
        <w:pStyle w:val="Title2"/>
        <w:jc w:val="left"/>
      </w:pPr>
      <w:r>
        <w:rPr>
          <w:b/>
          <w:bCs/>
        </w:rPr>
        <w:tab/>
      </w:r>
      <w:r w:rsidR="0059361F" w:rsidRPr="00975CE8">
        <w:t>Grand jury is re</w:t>
      </w:r>
      <w:r w:rsidR="0086057A">
        <w:t>sponsible to ensure successful</w:t>
      </w:r>
      <w:r w:rsidR="0059361F" w:rsidRPr="00975CE8">
        <w:t xml:space="preserve"> enforcement of indictment as </w:t>
      </w:r>
      <w:r w:rsidR="00FD79CD">
        <w:t xml:space="preserve">a </w:t>
      </w:r>
      <w:r w:rsidR="0059361F" w:rsidRPr="00975CE8">
        <w:t xml:space="preserve">critical phase of </w:t>
      </w:r>
      <w:r w:rsidR="00FD79CD">
        <w:t xml:space="preserve">the </w:t>
      </w:r>
      <w:r w:rsidR="0059361F" w:rsidRPr="00975CE8">
        <w:t xml:space="preserve">criminal justice process. </w:t>
      </w:r>
      <w:r w:rsidR="00505690">
        <w:t xml:space="preserve">At this stage, members of </w:t>
      </w:r>
      <w:r w:rsidR="00FD79CD">
        <w:t xml:space="preserve">the </w:t>
      </w:r>
      <w:r w:rsidR="00505690">
        <w:t xml:space="preserve">jury </w:t>
      </w:r>
      <w:r w:rsidR="00AD041C">
        <w:t>decide</w:t>
      </w:r>
      <w:r w:rsidR="00505690">
        <w:t xml:space="preserve"> to charge individual</w:t>
      </w:r>
      <w:r w:rsidR="00FD79CD">
        <w:t>s</w:t>
      </w:r>
      <w:r w:rsidR="00505690">
        <w:t xml:space="preserve"> against criminal activity or not. </w:t>
      </w:r>
      <w:r w:rsidR="00AD041C">
        <w:t xml:space="preserve">Probable cause is characterized as the fundamental standard to correctly indicting an individual </w:t>
      </w:r>
      <w:r w:rsidR="004F64CE">
        <w:t xml:space="preserve">according to law. </w:t>
      </w:r>
    </w:p>
    <w:p w14:paraId="1DFF8467" w14:textId="1BEE1EF9" w:rsidR="0020078D" w:rsidRDefault="0020078D" w:rsidP="00DD2918">
      <w:pPr>
        <w:pStyle w:val="Title2"/>
        <w:jc w:val="left"/>
        <w:rPr>
          <w:b/>
          <w:bCs/>
        </w:rPr>
      </w:pPr>
      <w:r w:rsidRPr="00303544">
        <w:rPr>
          <w:b/>
          <w:bCs/>
        </w:rPr>
        <w:t>Arraignment</w:t>
      </w:r>
    </w:p>
    <w:p w14:paraId="1926F660" w14:textId="27681BD4" w:rsidR="00070B53" w:rsidRPr="000B1F0A" w:rsidRDefault="00070B53" w:rsidP="00DD2918">
      <w:pPr>
        <w:pStyle w:val="Title2"/>
        <w:jc w:val="left"/>
      </w:pPr>
      <w:r>
        <w:rPr>
          <w:b/>
          <w:bCs/>
        </w:rPr>
        <w:tab/>
      </w:r>
      <w:r w:rsidR="00C6321B" w:rsidRPr="000B1F0A">
        <w:t xml:space="preserve">The phase of arraignment established by a judge under the principles of </w:t>
      </w:r>
      <w:r w:rsidR="00FD79CD">
        <w:t xml:space="preserve">the </w:t>
      </w:r>
      <w:r w:rsidR="00C6321B" w:rsidRPr="000B1F0A">
        <w:t xml:space="preserve">criminal justice system. </w:t>
      </w:r>
      <w:r w:rsidR="00AB24F9">
        <w:t xml:space="preserve">The time-period of </w:t>
      </w:r>
      <w:r w:rsidR="00EE09D1">
        <w:t xml:space="preserve">arraignment </w:t>
      </w:r>
      <w:r w:rsidR="00A0672E">
        <w:t>is a cha</w:t>
      </w:r>
      <w:r w:rsidR="0086057A">
        <w:t>nce for the defendant to appear</w:t>
      </w:r>
      <w:r w:rsidR="00A0672E">
        <w:t xml:space="preserve"> in court</w:t>
      </w:r>
      <w:r w:rsidR="002C00CA">
        <w:t xml:space="preserve"> </w:t>
      </w:r>
      <w:r w:rsidR="002C00CA">
        <w:lastRenderedPageBreak/>
        <w:fldChar w:fldCharType="begin"/>
      </w:r>
      <w:r w:rsidR="002C00CA">
        <w:instrText xml:space="preserve"> ADDIN ZOTERO_ITEM CSL_CITATION {"citationID":"xcJc4P3B","properties":{"formattedCitation":"(Kohler-Hausmann, 2013)","plainCitation":"(Kohler-Hausmann, 2013)","noteIndex":0},"citationItems":[{"id":1786,"uris":["http://zotero.org/users/local/7Hi3kAOD/items/PL3T76M8"],"uri":["http://zotero.org/users/local/7Hi3kAOD/items/PL3T76M8"],"itemData":{"id":1786,"type":"article-journal","container-title":"American Journal of Sociology","issue":"2","page":"351-393","title":"Misdemeanor justice: Control without conviction","volume":"119","author":[{"family":"Kohler-Hausmann","given":"Issa"}],"issued":{"date-parts":[["2013"]]}}}],"schema":"https://github.com/citation-style-language/schema/raw/master/csl-citation.json"} </w:instrText>
      </w:r>
      <w:r w:rsidR="002C00CA">
        <w:fldChar w:fldCharType="separate"/>
      </w:r>
      <w:r w:rsidR="002C00CA" w:rsidRPr="002C00CA">
        <w:rPr>
          <w:rFonts w:ascii="Times New Roman" w:hAnsi="Times New Roman" w:cs="Times New Roman"/>
        </w:rPr>
        <w:t>(Kohler-Hausmann, 2013)</w:t>
      </w:r>
      <w:r w:rsidR="002C00CA">
        <w:fldChar w:fldCharType="end"/>
      </w:r>
      <w:r w:rsidR="009C3394">
        <w:t>. It is the stage of right for the individual to enter a</w:t>
      </w:r>
      <w:r w:rsidR="00535743">
        <w:t>n</w:t>
      </w:r>
      <w:r w:rsidR="009C3394">
        <w:t xml:space="preserve"> appeal against the allegation. </w:t>
      </w:r>
      <w:r w:rsidR="00535743">
        <w:t xml:space="preserve">In simple words, it is </w:t>
      </w:r>
      <w:r w:rsidR="00FD79CD">
        <w:t xml:space="preserve">a </w:t>
      </w:r>
      <w:r w:rsidR="00535743">
        <w:t xml:space="preserve">practical action to present </w:t>
      </w:r>
      <w:r w:rsidR="00FD79CD">
        <w:t xml:space="preserve">the </w:t>
      </w:r>
      <w:r w:rsidR="00535743">
        <w:t xml:space="preserve">defendant in court. </w:t>
      </w:r>
    </w:p>
    <w:p w14:paraId="775D4946" w14:textId="32084FC7" w:rsidR="005379EF" w:rsidRDefault="005379EF" w:rsidP="00C704E1">
      <w:pPr>
        <w:pStyle w:val="Title2"/>
        <w:rPr>
          <w:b/>
          <w:bCs/>
        </w:rPr>
      </w:pPr>
      <w:r w:rsidRPr="00C704E1">
        <w:rPr>
          <w:b/>
          <w:bCs/>
        </w:rPr>
        <w:t>Amendment Related to Arrest, Search, and Seizures</w:t>
      </w:r>
    </w:p>
    <w:p w14:paraId="03E94775" w14:textId="4B79185C" w:rsidR="00E17B13" w:rsidRDefault="00E17B13" w:rsidP="00E17B13">
      <w:pPr>
        <w:pStyle w:val="Title2"/>
        <w:jc w:val="left"/>
      </w:pPr>
      <w:r w:rsidRPr="00F535C9">
        <w:tab/>
      </w:r>
      <w:r w:rsidR="00F535C9" w:rsidRPr="00F535C9">
        <w:t>4</w:t>
      </w:r>
      <w:r w:rsidR="00F535C9" w:rsidRPr="00F535C9">
        <w:rPr>
          <w:vertAlign w:val="superscript"/>
        </w:rPr>
        <w:t>th</w:t>
      </w:r>
      <w:r w:rsidR="00F535C9" w:rsidRPr="00F535C9">
        <w:t xml:space="preserve"> amendment </w:t>
      </w:r>
      <w:r w:rsidR="00193A80">
        <w:t xml:space="preserve">in the United States’ constitution defined </w:t>
      </w:r>
      <w:r w:rsidR="006866E1">
        <w:t xml:space="preserve">the </w:t>
      </w:r>
      <w:r w:rsidR="00193A80">
        <w:t xml:space="preserve">basic rights of citizens during the practices of arrest, search, and seizures. The rights of </w:t>
      </w:r>
      <w:r w:rsidR="006866E1">
        <w:t xml:space="preserve">the </w:t>
      </w:r>
      <w:r w:rsidR="00193A80">
        <w:t xml:space="preserve">defendant are clearly illustrated to avoid any form of ambiguity under the entire spectrum of </w:t>
      </w:r>
      <w:r w:rsidR="006866E1">
        <w:t xml:space="preserve">the </w:t>
      </w:r>
      <w:r w:rsidR="00193A80">
        <w:t xml:space="preserve">criminal justice system. </w:t>
      </w:r>
      <w:r w:rsidR="00564DB7">
        <w:t xml:space="preserve">The basic human rights of individuals’ privacy and citizenship rights protected by the proper enforcement of </w:t>
      </w:r>
      <w:r w:rsidR="006866E1">
        <w:t xml:space="preserve">the </w:t>
      </w:r>
      <w:r w:rsidR="00564DB7">
        <w:t>4</w:t>
      </w:r>
      <w:r w:rsidR="00564DB7" w:rsidRPr="00564DB7">
        <w:rPr>
          <w:vertAlign w:val="superscript"/>
        </w:rPr>
        <w:t>th</w:t>
      </w:r>
      <w:r w:rsidR="00564DB7">
        <w:t xml:space="preserve"> amendment. This principle of </w:t>
      </w:r>
      <w:r w:rsidR="006866E1">
        <w:t xml:space="preserve">the </w:t>
      </w:r>
      <w:r w:rsidR="00564DB7">
        <w:t xml:space="preserve">legal spectrum is </w:t>
      </w:r>
      <w:r w:rsidR="006866E1">
        <w:t xml:space="preserve">a </w:t>
      </w:r>
      <w:r w:rsidR="00564DB7">
        <w:t>caution for law enforc</w:t>
      </w:r>
      <w:r w:rsidR="006866E1">
        <w:t>ement</w:t>
      </w:r>
      <w:r w:rsidR="00564DB7">
        <w:t xml:space="preserve"> agencies in case of unreasonable invasion in the form of citizens as individuals, homes, businesses, and the perspective of </w:t>
      </w:r>
      <w:r w:rsidR="006866E1">
        <w:t xml:space="preserve">the </w:t>
      </w:r>
      <w:r w:rsidR="00564DB7">
        <w:t xml:space="preserve">property. </w:t>
      </w:r>
    </w:p>
    <w:p w14:paraId="7D5048AA" w14:textId="075C2681" w:rsidR="002172A7" w:rsidRPr="00F535C9" w:rsidRDefault="002172A7" w:rsidP="00E17B13">
      <w:pPr>
        <w:pStyle w:val="Title2"/>
        <w:jc w:val="left"/>
      </w:pPr>
      <w:r>
        <w:tab/>
      </w:r>
      <w:r w:rsidR="00E838B3">
        <w:t xml:space="preserve">A proper application of </w:t>
      </w:r>
      <w:r w:rsidR="005D161D">
        <w:t xml:space="preserve">the </w:t>
      </w:r>
      <w:r w:rsidR="00E838B3">
        <w:t>4</w:t>
      </w:r>
      <w:r w:rsidR="00E838B3" w:rsidRPr="00E838B3">
        <w:rPr>
          <w:vertAlign w:val="superscript"/>
        </w:rPr>
        <w:t>th</w:t>
      </w:r>
      <w:r w:rsidR="00E838B3">
        <w:t xml:space="preserve"> </w:t>
      </w:r>
      <w:r w:rsidR="006866E1">
        <w:t>Amendment</w:t>
      </w:r>
      <w:r w:rsidR="00E838B3">
        <w:t xml:space="preserve"> protects citizens’ rights specifically during the procedure of arrest, search, and seizures. </w:t>
      </w:r>
      <w:r w:rsidR="00D91018">
        <w:t xml:space="preserve">The procedures of searches and detentions are regulated in the country under the legal spectrum of </w:t>
      </w:r>
      <w:r w:rsidR="006866E1">
        <w:t xml:space="preserve">the </w:t>
      </w:r>
      <w:r w:rsidR="00D91018">
        <w:t>4</w:t>
      </w:r>
      <w:r w:rsidR="00D91018" w:rsidRPr="00D91018">
        <w:rPr>
          <w:vertAlign w:val="superscript"/>
        </w:rPr>
        <w:t>th</w:t>
      </w:r>
      <w:r w:rsidR="00D91018">
        <w:t xml:space="preserve"> amendment in the constitution. </w:t>
      </w:r>
      <w:r w:rsidR="005F0853">
        <w:t xml:space="preserve">A critical examination of the specific nature of the detention or arrest is necessary </w:t>
      </w:r>
      <w:r w:rsidR="006866E1">
        <w:t xml:space="preserve">to </w:t>
      </w:r>
      <w:r w:rsidR="005F0853">
        <w:t xml:space="preserve">condition to make inferences on the application of </w:t>
      </w:r>
      <w:r w:rsidR="006866E1">
        <w:t xml:space="preserve">the </w:t>
      </w:r>
      <w:r w:rsidR="005F0853">
        <w:t>4</w:t>
      </w:r>
      <w:r w:rsidR="005F0853" w:rsidRPr="005F0853">
        <w:rPr>
          <w:vertAlign w:val="superscript"/>
        </w:rPr>
        <w:t>th</w:t>
      </w:r>
      <w:r w:rsidR="005F0853">
        <w:t xml:space="preserve"> amendment</w:t>
      </w:r>
      <w:r w:rsidR="00056D27">
        <w:t xml:space="preserve"> </w:t>
      </w:r>
      <w:r w:rsidR="00056D27">
        <w:fldChar w:fldCharType="begin"/>
      </w:r>
      <w:r w:rsidR="00056D27">
        <w:instrText xml:space="preserve"> ADDIN ZOTERO_ITEM CSL_CITATION {"citationID":"HeIiHdHa","properties":{"formattedCitation":"(Richardson, 2010)","plainCitation":"(Richardson, 2010)","noteIndex":0},"citationItems":[{"id":1787,"uris":["http://zotero.org/users/local/7Hi3kAOD/items/7T7KE45A"],"uri":["http://zotero.org/users/local/7Hi3kAOD/items/7T7KE45A"],"itemData":{"id":1787,"type":"article-journal","container-title":"Minn. L. Rev.","page":"2035","title":"Arrest Efficiency and the Fourth Amendment","volume":"95","author":[{"family":"Richardson","given":"L. Song"}],"issued":{"date-parts":[["2010"]]}}}],"schema":"https://github.com/citation-style-language/schema/raw/master/csl-citation.json"} </w:instrText>
      </w:r>
      <w:r w:rsidR="00056D27">
        <w:fldChar w:fldCharType="separate"/>
      </w:r>
      <w:r w:rsidR="00056D27" w:rsidRPr="00056D27">
        <w:rPr>
          <w:rFonts w:ascii="Times New Roman" w:hAnsi="Times New Roman" w:cs="Times New Roman"/>
        </w:rPr>
        <w:t>(Richardson, 2010)</w:t>
      </w:r>
      <w:r w:rsidR="00056D27">
        <w:fldChar w:fldCharType="end"/>
      </w:r>
      <w:r w:rsidR="005F0853">
        <w:t xml:space="preserve">. </w:t>
      </w:r>
      <w:r w:rsidR="00732CC1">
        <w:t xml:space="preserve">Characteristics of the searched place also played </w:t>
      </w:r>
      <w:r w:rsidR="006866E1">
        <w:t xml:space="preserve">an </w:t>
      </w:r>
      <w:r w:rsidR="00732CC1">
        <w:t>important role when it comes to examin</w:t>
      </w:r>
      <w:r w:rsidR="006866E1">
        <w:t>ing</w:t>
      </w:r>
      <w:r w:rsidR="00732CC1">
        <w:t xml:space="preserve"> the protecting role of </w:t>
      </w:r>
      <w:r w:rsidR="006866E1">
        <w:t xml:space="preserve">the </w:t>
      </w:r>
      <w:r w:rsidR="00732CC1">
        <w:t>4</w:t>
      </w:r>
      <w:r w:rsidR="00732CC1" w:rsidRPr="00732CC1">
        <w:rPr>
          <w:vertAlign w:val="superscript"/>
        </w:rPr>
        <w:t>th</w:t>
      </w:r>
      <w:r w:rsidR="00732CC1">
        <w:t xml:space="preserve"> amendment during the process of search and seizure</w:t>
      </w:r>
      <w:r w:rsidR="00570FE3">
        <w:t xml:space="preserve">s. </w:t>
      </w:r>
      <w:r w:rsidR="00B70B65">
        <w:t xml:space="preserve">Additionally, circumstances </w:t>
      </w:r>
      <w:r w:rsidR="00E77013">
        <w:t xml:space="preserve">during the process of search and seizures also influenced the application of this amendment of </w:t>
      </w:r>
      <w:r w:rsidR="006866E1">
        <w:t xml:space="preserve">the </w:t>
      </w:r>
      <w:r w:rsidR="00E77013">
        <w:t xml:space="preserve">basic right of freedom for American citizens. </w:t>
      </w:r>
    </w:p>
    <w:p w14:paraId="5FF4EE2D" w14:textId="1B56249B" w:rsidR="005251FB" w:rsidRDefault="008E1052" w:rsidP="002D4243">
      <w:pPr>
        <w:pStyle w:val="Title2"/>
        <w:jc w:val="left"/>
        <w:rPr>
          <w:b/>
          <w:bCs/>
        </w:rPr>
      </w:pPr>
      <w:r>
        <w:rPr>
          <w:b/>
          <w:bCs/>
        </w:rPr>
        <w:tab/>
      </w:r>
      <w:r w:rsidR="005379EF" w:rsidRPr="00C704E1">
        <w:rPr>
          <w:b/>
          <w:bCs/>
        </w:rPr>
        <w:t xml:space="preserve">Compare and Contrast the Concepts of Probable </w:t>
      </w:r>
      <w:r w:rsidR="00481523" w:rsidRPr="00C704E1">
        <w:rPr>
          <w:b/>
          <w:bCs/>
        </w:rPr>
        <w:t>Cause and Reasonable Suspicion</w:t>
      </w:r>
    </w:p>
    <w:p w14:paraId="52C7102B" w14:textId="4AFABA8C" w:rsidR="005251FB" w:rsidRDefault="005251FB" w:rsidP="002D4243">
      <w:pPr>
        <w:pStyle w:val="Title2"/>
        <w:jc w:val="left"/>
      </w:pPr>
      <w:r w:rsidRPr="005251FB">
        <w:tab/>
        <w:t xml:space="preserve">Probable cause and reasonable suspicion are two prominent legal terminologies </w:t>
      </w:r>
      <w:r>
        <w:t xml:space="preserve">applied in </w:t>
      </w:r>
      <w:r w:rsidR="005D161D">
        <w:t xml:space="preserve">the </w:t>
      </w:r>
      <w:r>
        <w:t xml:space="preserve">case of law enforcement operations. </w:t>
      </w:r>
      <w:r w:rsidR="00DB697C">
        <w:t>Both these appl</w:t>
      </w:r>
      <w:r w:rsidR="005D161D">
        <w:t>y</w:t>
      </w:r>
      <w:r w:rsidR="00DB697C">
        <w:t xml:space="preserve"> when it comes to detain</w:t>
      </w:r>
      <w:r w:rsidR="005D161D">
        <w:t>ing</w:t>
      </w:r>
      <w:r w:rsidR="00DB697C">
        <w:t xml:space="preserve"> some</w:t>
      </w:r>
      <w:r w:rsidR="005D161D">
        <w:t>one</w:t>
      </w:r>
      <w:r w:rsidR="00DB697C">
        <w:t xml:space="preserve"> for </w:t>
      </w:r>
      <w:r w:rsidR="0086057A">
        <w:t>investigation, search, and seizure</w:t>
      </w:r>
      <w:r w:rsidR="00DB697C">
        <w:t>. The principles of reason</w:t>
      </w:r>
      <w:r w:rsidR="005D161D">
        <w:t>able</w:t>
      </w:r>
      <w:r w:rsidR="00DB697C">
        <w:t xml:space="preserve"> suspicion and probable cause </w:t>
      </w:r>
      <w:r w:rsidR="00DB697C">
        <w:lastRenderedPageBreak/>
        <w:t xml:space="preserve">define the suitability of </w:t>
      </w:r>
      <w:r w:rsidR="005D161D">
        <w:t xml:space="preserve">the </w:t>
      </w:r>
      <w:r w:rsidR="00DB697C">
        <w:t xml:space="preserve">process of arrest considering the available evidence. </w:t>
      </w:r>
      <w:r w:rsidR="0061299A">
        <w:t xml:space="preserve">Both concepts range </w:t>
      </w:r>
      <w:r w:rsidR="005D161D">
        <w:t xml:space="preserve">a </w:t>
      </w:r>
      <w:r w:rsidR="0061299A">
        <w:t xml:space="preserve">number of similarities and differences that eventually define </w:t>
      </w:r>
      <w:r w:rsidR="005D161D">
        <w:t xml:space="preserve">the </w:t>
      </w:r>
      <w:r w:rsidR="0061299A">
        <w:t xml:space="preserve">suitability of these standards. </w:t>
      </w:r>
    </w:p>
    <w:p w14:paraId="6B0D9706" w14:textId="274FD11E" w:rsidR="002B140E" w:rsidRPr="005251FB" w:rsidRDefault="002B140E" w:rsidP="002D4243">
      <w:pPr>
        <w:pStyle w:val="Title2"/>
        <w:jc w:val="left"/>
      </w:pPr>
      <w:r>
        <w:tab/>
      </w:r>
      <w:r w:rsidR="00B4288D">
        <w:t>The standard of reason</w:t>
      </w:r>
      <w:r w:rsidR="005D161D">
        <w:t>able</w:t>
      </w:r>
      <w:r w:rsidR="00B4288D">
        <w:t xml:space="preserve"> suspicion allows law enforcement individuals to shortly detain a person based on the understanding of former training and experience. </w:t>
      </w:r>
      <w:r w:rsidR="007F2296">
        <w:t xml:space="preserve">The approach of reasonable suspicion exists for the person who has </w:t>
      </w:r>
      <w:r w:rsidR="005D161D">
        <w:t xml:space="preserve">a </w:t>
      </w:r>
      <w:r w:rsidR="007F2296">
        <w:t xml:space="preserve">former criminal record. </w:t>
      </w:r>
      <w:r w:rsidR="005D161D">
        <w:t>The a</w:t>
      </w:r>
      <w:r w:rsidR="006F15EC">
        <w:t xml:space="preserve">vailability of first-hand experience and </w:t>
      </w:r>
      <w:r w:rsidR="005D161D">
        <w:t xml:space="preserve">the </w:t>
      </w:r>
      <w:r w:rsidR="006F15EC">
        <w:t xml:space="preserve">existence of primary facts helps </w:t>
      </w:r>
      <w:r w:rsidR="005D161D">
        <w:t xml:space="preserve">the </w:t>
      </w:r>
      <w:r w:rsidR="006F15EC">
        <w:t xml:space="preserve">officer to adopt the approach of reasonable suspicion. </w:t>
      </w:r>
      <w:r w:rsidR="0034259D">
        <w:t xml:space="preserve">On the other hand, </w:t>
      </w:r>
      <w:r w:rsidR="002112C9">
        <w:t xml:space="preserve">consideration of issue warrants is categorized as </w:t>
      </w:r>
      <w:r w:rsidR="005D161D">
        <w:t xml:space="preserve">a </w:t>
      </w:r>
      <w:r w:rsidR="002112C9">
        <w:t>ne</w:t>
      </w:r>
      <w:r w:rsidR="0086057A">
        <w:t>cessary condition to establish</w:t>
      </w:r>
      <w:r w:rsidR="002112C9">
        <w:t xml:space="preserve"> the principle of probable cause</w:t>
      </w:r>
      <w:r w:rsidR="00657D44">
        <w:t xml:space="preserve"> </w:t>
      </w:r>
      <w:r w:rsidR="00657D44">
        <w:fldChar w:fldCharType="begin"/>
      </w:r>
      <w:r w:rsidR="00657D44">
        <w:instrText xml:space="preserve"> ADDIN ZOTERO_ITEM CSL_CITATION {"citationID":"fNAxNnuU","properties":{"formattedCitation":"(Ferguson, 2012)","plainCitation":"(Ferguson, 2012)","noteIndex":0},"citationItems":[{"id":1789,"uris":["http://zotero.org/users/local/7Hi3kAOD/items/R7QNWWM4"],"uri":["http://zotero.org/users/local/7Hi3kAOD/items/R7QNWWM4"],"itemData":{"id":1789,"type":"article-journal","container-title":"Emory LJ","page":"259","title":"Predictive policing and reasonable suspicion","volume":"62","author":[{"family":"Ferguson","given":"Andrew Guthrie"}],"issued":{"date-parts":[["2012"]]}}}],"schema":"https://github.com/citation-style-language/schema/raw/master/csl-citation.json"} </w:instrText>
      </w:r>
      <w:r w:rsidR="00657D44">
        <w:fldChar w:fldCharType="separate"/>
      </w:r>
      <w:r w:rsidR="00657D44" w:rsidRPr="00657D44">
        <w:rPr>
          <w:rFonts w:ascii="Times New Roman" w:hAnsi="Times New Roman" w:cs="Times New Roman"/>
        </w:rPr>
        <w:t>(Ferguson, 2012)</w:t>
      </w:r>
      <w:r w:rsidR="00657D44">
        <w:fldChar w:fldCharType="end"/>
      </w:r>
      <w:r w:rsidR="002112C9">
        <w:t xml:space="preserve">. </w:t>
      </w:r>
      <w:r w:rsidR="00467D68">
        <w:t xml:space="preserve">The legal standard of probable cause links with the legal approach of </w:t>
      </w:r>
      <w:r w:rsidR="005D161D">
        <w:t xml:space="preserve">the </w:t>
      </w:r>
      <w:r w:rsidR="00467D68">
        <w:t>4</w:t>
      </w:r>
      <w:r w:rsidR="00467D68" w:rsidRPr="00467D68">
        <w:rPr>
          <w:vertAlign w:val="superscript"/>
        </w:rPr>
        <w:t>th</w:t>
      </w:r>
      <w:r w:rsidR="00467D68">
        <w:t xml:space="preserve"> amendment in </w:t>
      </w:r>
      <w:r w:rsidR="005D161D">
        <w:t xml:space="preserve">the </w:t>
      </w:r>
      <w:r w:rsidR="00467D68">
        <w:t xml:space="preserve">constitution that </w:t>
      </w:r>
      <w:r w:rsidR="00041581">
        <w:t>protects individuals’ privacy during the process of search, seize property, or the practice of arrest</w:t>
      </w:r>
      <w:r w:rsidR="004175F6">
        <w:t xml:space="preserve"> </w:t>
      </w:r>
      <w:r w:rsidR="004175F6">
        <w:fldChar w:fldCharType="begin"/>
      </w:r>
      <w:r w:rsidR="004175F6">
        <w:instrText xml:space="preserve"> ADDIN ZOTERO_ITEM CSL_CITATION {"citationID":"4zWvqEfq","properties":{"formattedCitation":"(Joh, 2014)","plainCitation":"(Joh, 2014)","noteIndex":0},"citationItems":[{"id":1788,"uris":["http://zotero.org/users/local/7Hi3kAOD/items/LMIQBIHZ"],"uri":["http://zotero.org/users/local/7Hi3kAOD/items/LMIQBIHZ"],"itemData":{"id":1788,"type":"article-journal","container-title":"Wash. L. Rev.","page":"35","title":"Policing by numbers: big data and the Fourth Amendment","volume":"89","author":[{"family":"Joh","given":"Elizabeth E."}],"issued":{"date-parts":[["2014"]]}}}],"schema":"https://github.com/citation-style-language/schema/raw/master/csl-citation.json"} </w:instrText>
      </w:r>
      <w:r w:rsidR="004175F6">
        <w:fldChar w:fldCharType="separate"/>
      </w:r>
      <w:r w:rsidR="004175F6" w:rsidRPr="004175F6">
        <w:rPr>
          <w:rFonts w:ascii="Times New Roman" w:hAnsi="Times New Roman" w:cs="Times New Roman"/>
        </w:rPr>
        <w:t>(Joh, 2014)</w:t>
      </w:r>
      <w:r w:rsidR="004175F6">
        <w:fldChar w:fldCharType="end"/>
      </w:r>
      <w:r w:rsidR="00041581">
        <w:t>.</w:t>
      </w:r>
      <w:r w:rsidR="004175F6">
        <w:t xml:space="preserve"> </w:t>
      </w:r>
      <w:r w:rsidR="00532F5D">
        <w:t xml:space="preserve">The approach of probable cause is different from reasonable </w:t>
      </w:r>
      <w:r w:rsidR="001F3BA5">
        <w:t xml:space="preserve">suspicion because it considers existing facts and officers’ knowledge to draw a conclusion. </w:t>
      </w:r>
    </w:p>
    <w:p w14:paraId="2DEA24B0" w14:textId="31DF38B4" w:rsidR="00481523" w:rsidRDefault="00481523" w:rsidP="00C704E1">
      <w:pPr>
        <w:pStyle w:val="Title2"/>
        <w:rPr>
          <w:b/>
          <w:bCs/>
        </w:rPr>
      </w:pPr>
      <w:r w:rsidRPr="00C704E1">
        <w:rPr>
          <w:b/>
          <w:bCs/>
        </w:rPr>
        <w:t xml:space="preserve">Examples When Exclusionary Rule </w:t>
      </w:r>
      <w:r w:rsidR="0045448F" w:rsidRPr="00C704E1">
        <w:rPr>
          <w:b/>
          <w:bCs/>
        </w:rPr>
        <w:t>May</w:t>
      </w:r>
      <w:r w:rsidRPr="00C704E1">
        <w:rPr>
          <w:b/>
          <w:bCs/>
        </w:rPr>
        <w:t xml:space="preserve"> Not Apply</w:t>
      </w:r>
    </w:p>
    <w:p w14:paraId="5B8F1580" w14:textId="2DC24C0A" w:rsidR="007A1DCE" w:rsidRPr="00031792" w:rsidRDefault="007A1DCE" w:rsidP="007A1DCE">
      <w:pPr>
        <w:pStyle w:val="Title2"/>
        <w:jc w:val="left"/>
      </w:pPr>
      <w:r>
        <w:rPr>
          <w:b/>
          <w:bCs/>
        </w:rPr>
        <w:tab/>
      </w:r>
      <w:r w:rsidRPr="00031792">
        <w:t xml:space="preserve">The legal condition of </w:t>
      </w:r>
      <w:r w:rsidR="007D70D1">
        <w:t xml:space="preserve">the </w:t>
      </w:r>
      <w:r w:rsidRPr="00031792">
        <w:t xml:space="preserve">exclusionary rule is not applicable in specific situations as defined by the constitution of the country. </w:t>
      </w:r>
      <w:r w:rsidR="006A42BC">
        <w:t xml:space="preserve">Good faith exception and attenuation doctrine are two possible situations that are explicitly exempted from the enforcement of </w:t>
      </w:r>
      <w:r w:rsidR="007D70D1">
        <w:t xml:space="preserve">the </w:t>
      </w:r>
      <w:r w:rsidR="006A42BC">
        <w:t xml:space="preserve">exclusionary rule. </w:t>
      </w:r>
      <w:r w:rsidR="00384583">
        <w:t xml:space="preserve">The specific exclusion in the form of good faith permits police officers to mainly rely on available evidence and consider them valid for the trial. </w:t>
      </w:r>
      <w:r w:rsidR="007D70D1">
        <w:t>The a</w:t>
      </w:r>
      <w:r w:rsidR="00230ECB">
        <w:t xml:space="preserve">doption of </w:t>
      </w:r>
      <w:r w:rsidR="007D70D1">
        <w:t xml:space="preserve">an </w:t>
      </w:r>
      <w:r w:rsidR="00230ECB">
        <w:t>illegal approach to collect evidence is characterized as the exception when it comes to apply</w:t>
      </w:r>
      <w:r w:rsidR="007D70D1">
        <w:t>ing</w:t>
      </w:r>
      <w:r w:rsidR="00230ECB">
        <w:t xml:space="preserve"> </w:t>
      </w:r>
      <w:r w:rsidR="007D70D1">
        <w:t xml:space="preserve">the </w:t>
      </w:r>
      <w:r w:rsidR="00230ECB">
        <w:t>rule of e</w:t>
      </w:r>
      <w:r w:rsidR="00C3543A">
        <w:t xml:space="preserve">xclusion. </w:t>
      </w:r>
    </w:p>
    <w:p w14:paraId="15189E9A" w14:textId="77777777" w:rsidR="00657D44" w:rsidRDefault="00657D44" w:rsidP="00C704E1">
      <w:pPr>
        <w:pStyle w:val="Title2"/>
        <w:rPr>
          <w:b/>
          <w:bCs/>
        </w:rPr>
      </w:pPr>
    </w:p>
    <w:p w14:paraId="6521DF98" w14:textId="77777777" w:rsidR="00657D44" w:rsidRDefault="00657D44" w:rsidP="00C704E1">
      <w:pPr>
        <w:pStyle w:val="Title2"/>
        <w:rPr>
          <w:b/>
          <w:bCs/>
        </w:rPr>
      </w:pPr>
    </w:p>
    <w:p w14:paraId="1E2054A0" w14:textId="6C892A1F" w:rsidR="00481523" w:rsidRDefault="0045448F" w:rsidP="00C704E1">
      <w:pPr>
        <w:pStyle w:val="Title2"/>
        <w:rPr>
          <w:b/>
          <w:bCs/>
        </w:rPr>
      </w:pPr>
      <w:r w:rsidRPr="00C704E1">
        <w:rPr>
          <w:b/>
          <w:bCs/>
        </w:rPr>
        <w:lastRenderedPageBreak/>
        <w:t>Identification of Contemporary Issue Related to the Use of Force</w:t>
      </w:r>
    </w:p>
    <w:p w14:paraId="12D2EE2D" w14:textId="2E7A9B59" w:rsidR="004175F6" w:rsidRDefault="007D70D1" w:rsidP="007D70D1">
      <w:pPr>
        <w:pStyle w:val="Title2"/>
        <w:jc w:val="left"/>
      </w:pPr>
      <w:r w:rsidRPr="002114E4">
        <w:tab/>
      </w:r>
      <w:r w:rsidR="002114E4" w:rsidRPr="002114E4">
        <w:t xml:space="preserve">In recent years, the specific case law of </w:t>
      </w:r>
      <w:r w:rsidR="002114E4">
        <w:t xml:space="preserve">Kisela v. Hughes is </w:t>
      </w:r>
      <w:r w:rsidR="00257FC0">
        <w:t xml:space="preserve">a </w:t>
      </w:r>
      <w:r w:rsidR="002114E4">
        <w:t xml:space="preserve">noticeable </w:t>
      </w:r>
      <w:r w:rsidR="009B4322">
        <w:t xml:space="preserve">example to observe the excessive use of force. </w:t>
      </w:r>
      <w:r w:rsidR="009756D2">
        <w:t xml:space="preserve">A critical consideration of </w:t>
      </w:r>
      <w:r w:rsidR="00257FC0">
        <w:t xml:space="preserve">the </w:t>
      </w:r>
      <w:r w:rsidR="009756D2">
        <w:t xml:space="preserve">entire case assists to identify that Kisela had used </w:t>
      </w:r>
      <w:r w:rsidR="00257FC0">
        <w:t xml:space="preserve">an </w:t>
      </w:r>
      <w:r w:rsidR="009756D2">
        <w:t xml:space="preserve">extreme form of force that eventually turned as deadly force. </w:t>
      </w:r>
      <w:r w:rsidR="008C4B06">
        <w:t xml:space="preserve">It is claimed by Hughes that Kisela greatly violated the domain of </w:t>
      </w:r>
      <w:r w:rsidR="00257FC0">
        <w:t xml:space="preserve">the </w:t>
      </w:r>
      <w:r w:rsidR="008C4B06">
        <w:t xml:space="preserve">fourth amendment </w:t>
      </w:r>
      <w:r w:rsidR="00144117">
        <w:t xml:space="preserve">by </w:t>
      </w:r>
      <w:r w:rsidR="00EA713E">
        <w:t xml:space="preserve">improperly using </w:t>
      </w:r>
      <w:r w:rsidR="00257FC0">
        <w:t xml:space="preserve">the </w:t>
      </w:r>
      <w:r w:rsidR="00EA713E">
        <w:t xml:space="preserve">excessive force of power. </w:t>
      </w:r>
    </w:p>
    <w:p w14:paraId="30A678BA" w14:textId="77777777" w:rsidR="004175F6" w:rsidRDefault="004175F6">
      <w:r>
        <w:br w:type="page"/>
      </w:r>
    </w:p>
    <w:p w14:paraId="3A1E10E3" w14:textId="58DB1D6D" w:rsidR="007D70D1" w:rsidRPr="00657D44" w:rsidRDefault="004175F6" w:rsidP="004175F6">
      <w:pPr>
        <w:pStyle w:val="Title2"/>
        <w:rPr>
          <w:b/>
          <w:bCs/>
        </w:rPr>
      </w:pPr>
      <w:r w:rsidRPr="00657D44">
        <w:rPr>
          <w:b/>
          <w:bCs/>
        </w:rPr>
        <w:lastRenderedPageBreak/>
        <w:t>References</w:t>
      </w:r>
    </w:p>
    <w:p w14:paraId="32116D1C" w14:textId="77777777" w:rsidR="00657D44" w:rsidRPr="00657D44" w:rsidRDefault="004175F6" w:rsidP="00657D44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657D44" w:rsidRPr="00657D44">
        <w:rPr>
          <w:rFonts w:ascii="Times New Roman" w:hAnsi="Times New Roman" w:cs="Times New Roman"/>
        </w:rPr>
        <w:t xml:space="preserve">Farnsworth, E. A. (2010). </w:t>
      </w:r>
      <w:r w:rsidR="00657D44" w:rsidRPr="00657D44">
        <w:rPr>
          <w:rFonts w:ascii="Times New Roman" w:hAnsi="Times New Roman" w:cs="Times New Roman"/>
          <w:i/>
          <w:iCs/>
        </w:rPr>
        <w:t>An introduction to the legal system of the United States</w:t>
      </w:r>
      <w:r w:rsidR="00657D44" w:rsidRPr="00657D44">
        <w:rPr>
          <w:rFonts w:ascii="Times New Roman" w:hAnsi="Times New Roman" w:cs="Times New Roman"/>
        </w:rPr>
        <w:t>. Oxford University Press.</w:t>
      </w:r>
    </w:p>
    <w:p w14:paraId="61939559" w14:textId="77777777" w:rsidR="00657D44" w:rsidRPr="00657D44" w:rsidRDefault="00657D44" w:rsidP="00657D44">
      <w:pPr>
        <w:pStyle w:val="Bibliography"/>
        <w:rPr>
          <w:rFonts w:ascii="Times New Roman" w:hAnsi="Times New Roman" w:cs="Times New Roman"/>
        </w:rPr>
      </w:pPr>
      <w:r w:rsidRPr="00657D44">
        <w:rPr>
          <w:rFonts w:ascii="Times New Roman" w:hAnsi="Times New Roman" w:cs="Times New Roman"/>
        </w:rPr>
        <w:t xml:space="preserve">Ferguson, A. G. (2012). Predictive policing and reasonable suspicion. </w:t>
      </w:r>
      <w:r w:rsidRPr="00657D44">
        <w:rPr>
          <w:rFonts w:ascii="Times New Roman" w:hAnsi="Times New Roman" w:cs="Times New Roman"/>
          <w:i/>
          <w:iCs/>
        </w:rPr>
        <w:t>Emory LJ</w:t>
      </w:r>
      <w:r w:rsidRPr="00657D44">
        <w:rPr>
          <w:rFonts w:ascii="Times New Roman" w:hAnsi="Times New Roman" w:cs="Times New Roman"/>
        </w:rPr>
        <w:t xml:space="preserve">, </w:t>
      </w:r>
      <w:r w:rsidRPr="00657D44">
        <w:rPr>
          <w:rFonts w:ascii="Times New Roman" w:hAnsi="Times New Roman" w:cs="Times New Roman"/>
          <w:i/>
          <w:iCs/>
        </w:rPr>
        <w:t>62</w:t>
      </w:r>
      <w:r w:rsidRPr="00657D44">
        <w:rPr>
          <w:rFonts w:ascii="Times New Roman" w:hAnsi="Times New Roman" w:cs="Times New Roman"/>
        </w:rPr>
        <w:t>, 259.</w:t>
      </w:r>
    </w:p>
    <w:p w14:paraId="75D570CA" w14:textId="77777777" w:rsidR="00657D44" w:rsidRPr="00657D44" w:rsidRDefault="00657D44" w:rsidP="00657D44">
      <w:pPr>
        <w:pStyle w:val="Bibliography"/>
        <w:rPr>
          <w:rFonts w:ascii="Times New Roman" w:hAnsi="Times New Roman" w:cs="Times New Roman"/>
        </w:rPr>
      </w:pPr>
      <w:r w:rsidRPr="00657D44">
        <w:rPr>
          <w:rFonts w:ascii="Times New Roman" w:hAnsi="Times New Roman" w:cs="Times New Roman"/>
        </w:rPr>
        <w:t xml:space="preserve">Joh, E. E. (2014). Policing by numbers: Big data and the Fourth Amendment. </w:t>
      </w:r>
      <w:r w:rsidRPr="00657D44">
        <w:rPr>
          <w:rFonts w:ascii="Times New Roman" w:hAnsi="Times New Roman" w:cs="Times New Roman"/>
          <w:i/>
          <w:iCs/>
        </w:rPr>
        <w:t>Wash. L. Rev.</w:t>
      </w:r>
      <w:r w:rsidRPr="00657D44">
        <w:rPr>
          <w:rFonts w:ascii="Times New Roman" w:hAnsi="Times New Roman" w:cs="Times New Roman"/>
        </w:rPr>
        <w:t xml:space="preserve">, </w:t>
      </w:r>
      <w:r w:rsidRPr="00657D44">
        <w:rPr>
          <w:rFonts w:ascii="Times New Roman" w:hAnsi="Times New Roman" w:cs="Times New Roman"/>
          <w:i/>
          <w:iCs/>
        </w:rPr>
        <w:t>89</w:t>
      </w:r>
      <w:r w:rsidRPr="00657D44">
        <w:rPr>
          <w:rFonts w:ascii="Times New Roman" w:hAnsi="Times New Roman" w:cs="Times New Roman"/>
        </w:rPr>
        <w:t>, 35.</w:t>
      </w:r>
    </w:p>
    <w:p w14:paraId="1854E015" w14:textId="77777777" w:rsidR="00657D44" w:rsidRPr="00657D44" w:rsidRDefault="00657D44" w:rsidP="00657D44">
      <w:pPr>
        <w:pStyle w:val="Bibliography"/>
        <w:rPr>
          <w:rFonts w:ascii="Times New Roman" w:hAnsi="Times New Roman" w:cs="Times New Roman"/>
        </w:rPr>
      </w:pPr>
      <w:r w:rsidRPr="00657D44">
        <w:rPr>
          <w:rFonts w:ascii="Times New Roman" w:hAnsi="Times New Roman" w:cs="Times New Roman"/>
        </w:rPr>
        <w:t xml:space="preserve">Kohler-Hausmann, I. (2013). Misdemeanor justice: Control without conviction. </w:t>
      </w:r>
      <w:r w:rsidRPr="00657D44">
        <w:rPr>
          <w:rFonts w:ascii="Times New Roman" w:hAnsi="Times New Roman" w:cs="Times New Roman"/>
          <w:i/>
          <w:iCs/>
        </w:rPr>
        <w:t>American Journal of Sociology</w:t>
      </w:r>
      <w:r w:rsidRPr="00657D44">
        <w:rPr>
          <w:rFonts w:ascii="Times New Roman" w:hAnsi="Times New Roman" w:cs="Times New Roman"/>
        </w:rPr>
        <w:t xml:space="preserve">, </w:t>
      </w:r>
      <w:r w:rsidRPr="00657D44">
        <w:rPr>
          <w:rFonts w:ascii="Times New Roman" w:hAnsi="Times New Roman" w:cs="Times New Roman"/>
          <w:i/>
          <w:iCs/>
        </w:rPr>
        <w:t>119</w:t>
      </w:r>
      <w:r w:rsidRPr="00657D44">
        <w:rPr>
          <w:rFonts w:ascii="Times New Roman" w:hAnsi="Times New Roman" w:cs="Times New Roman"/>
        </w:rPr>
        <w:t>(2), 351–393.</w:t>
      </w:r>
    </w:p>
    <w:p w14:paraId="0B255249" w14:textId="77777777" w:rsidR="00657D44" w:rsidRPr="00657D44" w:rsidRDefault="00657D44" w:rsidP="00657D44">
      <w:pPr>
        <w:pStyle w:val="Bibliography"/>
        <w:rPr>
          <w:rFonts w:ascii="Times New Roman" w:hAnsi="Times New Roman" w:cs="Times New Roman"/>
        </w:rPr>
      </w:pPr>
      <w:r w:rsidRPr="00657D44">
        <w:rPr>
          <w:rFonts w:ascii="Times New Roman" w:hAnsi="Times New Roman" w:cs="Times New Roman"/>
        </w:rPr>
        <w:t xml:space="preserve">Richardson, L. S. (2010). Arrest Efficiency and the Fourth Amendment. </w:t>
      </w:r>
      <w:r w:rsidRPr="00657D44">
        <w:rPr>
          <w:rFonts w:ascii="Times New Roman" w:hAnsi="Times New Roman" w:cs="Times New Roman"/>
          <w:i/>
          <w:iCs/>
        </w:rPr>
        <w:t>Minn. L. Rev.</w:t>
      </w:r>
      <w:r w:rsidRPr="00657D44">
        <w:rPr>
          <w:rFonts w:ascii="Times New Roman" w:hAnsi="Times New Roman" w:cs="Times New Roman"/>
        </w:rPr>
        <w:t xml:space="preserve">, </w:t>
      </w:r>
      <w:r w:rsidRPr="00657D44">
        <w:rPr>
          <w:rFonts w:ascii="Times New Roman" w:hAnsi="Times New Roman" w:cs="Times New Roman"/>
          <w:i/>
          <w:iCs/>
        </w:rPr>
        <w:t>95</w:t>
      </w:r>
      <w:r w:rsidRPr="00657D44">
        <w:rPr>
          <w:rFonts w:ascii="Times New Roman" w:hAnsi="Times New Roman" w:cs="Times New Roman"/>
        </w:rPr>
        <w:t>, 2035.</w:t>
      </w:r>
    </w:p>
    <w:p w14:paraId="6904B656" w14:textId="4BEEB542" w:rsidR="004175F6" w:rsidRPr="002114E4" w:rsidRDefault="004175F6" w:rsidP="004175F6">
      <w:pPr>
        <w:pStyle w:val="Title2"/>
        <w:jc w:val="left"/>
      </w:pPr>
      <w:r>
        <w:fldChar w:fldCharType="end"/>
      </w:r>
      <w:bookmarkStart w:id="0" w:name="_GoBack"/>
      <w:bookmarkEnd w:id="0"/>
    </w:p>
    <w:p w14:paraId="13C6AB53" w14:textId="77777777" w:rsidR="005379EF" w:rsidRDefault="005379EF" w:rsidP="00226BEE">
      <w:pPr>
        <w:pStyle w:val="Title2"/>
        <w:jc w:val="left"/>
      </w:pPr>
    </w:p>
    <w:p w14:paraId="0424543A" w14:textId="09927F8D" w:rsidR="00EE60AD" w:rsidRDefault="00EE60AD" w:rsidP="005A3C9B">
      <w:pPr>
        <w:pStyle w:val="Title2"/>
        <w:jc w:val="left"/>
      </w:pPr>
    </w:p>
    <w:p w14:paraId="5EA5E76B" w14:textId="2B15F352" w:rsidR="005A3C9B" w:rsidRDefault="00230E3A" w:rsidP="005A3C9B">
      <w:pPr>
        <w:pStyle w:val="Title2"/>
        <w:jc w:val="left"/>
      </w:pPr>
      <w:r>
        <w:t xml:space="preserve"> </w:t>
      </w:r>
      <w:r w:rsidR="009E0C82">
        <w:t xml:space="preserve"> </w:t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033D" w14:textId="77777777" w:rsidR="00C52C90" w:rsidRDefault="00C52C90">
      <w:pPr>
        <w:spacing w:line="240" w:lineRule="auto"/>
      </w:pPr>
      <w:r>
        <w:separator/>
      </w:r>
    </w:p>
    <w:p w14:paraId="4FD00A95" w14:textId="77777777" w:rsidR="00C52C90" w:rsidRDefault="00C52C90"/>
  </w:endnote>
  <w:endnote w:type="continuationSeparator" w:id="0">
    <w:p w14:paraId="6A7A8B12" w14:textId="77777777" w:rsidR="00C52C90" w:rsidRDefault="00C52C90">
      <w:pPr>
        <w:spacing w:line="240" w:lineRule="auto"/>
      </w:pPr>
      <w:r>
        <w:continuationSeparator/>
      </w:r>
    </w:p>
    <w:p w14:paraId="7A361890" w14:textId="77777777" w:rsidR="00C52C90" w:rsidRDefault="00C52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C010" w14:textId="77777777" w:rsidR="00C52C90" w:rsidRDefault="00C52C90">
      <w:pPr>
        <w:spacing w:line="240" w:lineRule="auto"/>
      </w:pPr>
      <w:r>
        <w:separator/>
      </w:r>
    </w:p>
    <w:p w14:paraId="444B0CC4" w14:textId="77777777" w:rsidR="00C52C90" w:rsidRDefault="00C52C90"/>
  </w:footnote>
  <w:footnote w:type="continuationSeparator" w:id="0">
    <w:p w14:paraId="3630F4DD" w14:textId="77777777" w:rsidR="00C52C90" w:rsidRDefault="00C52C90">
      <w:pPr>
        <w:spacing w:line="240" w:lineRule="auto"/>
      </w:pPr>
      <w:r>
        <w:continuationSeparator/>
      </w:r>
    </w:p>
    <w:p w14:paraId="0F2E8559" w14:textId="77777777" w:rsidR="00C52C90" w:rsidRDefault="00C52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820" w14:textId="0B06423D" w:rsidR="00E81978" w:rsidRDefault="0086057A">
    <w:pPr>
      <w:pStyle w:val="Header"/>
    </w:pPr>
    <w:r>
      <w:t>PROCEDURAL LAW AND THE BILL OF RIGHTS</w:t>
    </w:r>
    <w:r>
      <w:rPr>
        <w:rStyle w:val="Strong"/>
        <w:caps w:val="0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B19DA">
      <w:rPr>
        <w:rStyle w:val="Strong"/>
        <w:noProof/>
      </w:rPr>
      <w:t>6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6F4B" w14:textId="64188C89" w:rsidR="00E81978" w:rsidRDefault="005D3A03">
    <w:pPr>
      <w:pStyle w:val="Header"/>
      <w:rPr>
        <w:rStyle w:val="Strong"/>
      </w:rPr>
    </w:pPr>
    <w:r>
      <w:t xml:space="preserve">Running head: </w:t>
    </w:r>
    <w:r w:rsidR="0086057A">
      <w:t>PROCEDURAL LAW AND THE BILL OF RIGHTS</w:t>
    </w:r>
    <w:r w:rsidR="0086057A">
      <w:rPr>
        <w:rStyle w:val="Strong"/>
        <w:caps w:val="0"/>
      </w:rPr>
      <w:t xml:space="preserve">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6057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QUA7hvgCCwAAAA="/>
  </w:docVars>
  <w:rsids>
    <w:rsidRoot w:val="005C39B5"/>
    <w:rsid w:val="00006650"/>
    <w:rsid w:val="00031792"/>
    <w:rsid w:val="00041581"/>
    <w:rsid w:val="00051296"/>
    <w:rsid w:val="00056D27"/>
    <w:rsid w:val="00061D0C"/>
    <w:rsid w:val="00070B53"/>
    <w:rsid w:val="000976C0"/>
    <w:rsid w:val="000A40AE"/>
    <w:rsid w:val="000B1F0A"/>
    <w:rsid w:val="000B50A6"/>
    <w:rsid w:val="000D09A7"/>
    <w:rsid w:val="000D3F41"/>
    <w:rsid w:val="00105504"/>
    <w:rsid w:val="00144117"/>
    <w:rsid w:val="001546CA"/>
    <w:rsid w:val="00193A80"/>
    <w:rsid w:val="001A428C"/>
    <w:rsid w:val="001F3BA5"/>
    <w:rsid w:val="0020078D"/>
    <w:rsid w:val="002073DC"/>
    <w:rsid w:val="002112C9"/>
    <w:rsid w:val="002114E4"/>
    <w:rsid w:val="002172A7"/>
    <w:rsid w:val="0022326F"/>
    <w:rsid w:val="00226BEE"/>
    <w:rsid w:val="00230E3A"/>
    <w:rsid w:val="00230ECB"/>
    <w:rsid w:val="00236BD8"/>
    <w:rsid w:val="00257FC0"/>
    <w:rsid w:val="002B140E"/>
    <w:rsid w:val="002C00CA"/>
    <w:rsid w:val="002D4243"/>
    <w:rsid w:val="00303544"/>
    <w:rsid w:val="00315DC1"/>
    <w:rsid w:val="003313A6"/>
    <w:rsid w:val="0034259D"/>
    <w:rsid w:val="00355DCA"/>
    <w:rsid w:val="00384583"/>
    <w:rsid w:val="00386292"/>
    <w:rsid w:val="003B4321"/>
    <w:rsid w:val="003D36CE"/>
    <w:rsid w:val="004175F6"/>
    <w:rsid w:val="0045448F"/>
    <w:rsid w:val="00467D68"/>
    <w:rsid w:val="004724D7"/>
    <w:rsid w:val="00481523"/>
    <w:rsid w:val="004F64CE"/>
    <w:rsid w:val="00505690"/>
    <w:rsid w:val="005251FB"/>
    <w:rsid w:val="00532F5D"/>
    <w:rsid w:val="00535743"/>
    <w:rsid w:val="005358EA"/>
    <w:rsid w:val="005379EF"/>
    <w:rsid w:val="00541632"/>
    <w:rsid w:val="005445A6"/>
    <w:rsid w:val="00551A02"/>
    <w:rsid w:val="005534FA"/>
    <w:rsid w:val="00563175"/>
    <w:rsid w:val="00564DB7"/>
    <w:rsid w:val="00570FE3"/>
    <w:rsid w:val="0059361F"/>
    <w:rsid w:val="005A3C9B"/>
    <w:rsid w:val="005B2C72"/>
    <w:rsid w:val="005B3A43"/>
    <w:rsid w:val="005B7A6D"/>
    <w:rsid w:val="005C39B5"/>
    <w:rsid w:val="005C6869"/>
    <w:rsid w:val="005D161D"/>
    <w:rsid w:val="005D3A03"/>
    <w:rsid w:val="005F0853"/>
    <w:rsid w:val="0061012C"/>
    <w:rsid w:val="0061299A"/>
    <w:rsid w:val="00657D44"/>
    <w:rsid w:val="006713C2"/>
    <w:rsid w:val="00674100"/>
    <w:rsid w:val="00682300"/>
    <w:rsid w:val="006866E1"/>
    <w:rsid w:val="00695BE3"/>
    <w:rsid w:val="006A42BC"/>
    <w:rsid w:val="006F15EC"/>
    <w:rsid w:val="00732CC1"/>
    <w:rsid w:val="0075765F"/>
    <w:rsid w:val="0076094A"/>
    <w:rsid w:val="00785547"/>
    <w:rsid w:val="007868E1"/>
    <w:rsid w:val="007A1DCE"/>
    <w:rsid w:val="007D00CE"/>
    <w:rsid w:val="007D70D1"/>
    <w:rsid w:val="007D7474"/>
    <w:rsid w:val="007F2296"/>
    <w:rsid w:val="008002C0"/>
    <w:rsid w:val="008066C1"/>
    <w:rsid w:val="00812A36"/>
    <w:rsid w:val="0086057A"/>
    <w:rsid w:val="00861689"/>
    <w:rsid w:val="00882B80"/>
    <w:rsid w:val="008B6C11"/>
    <w:rsid w:val="008C4B06"/>
    <w:rsid w:val="008C5323"/>
    <w:rsid w:val="008D477A"/>
    <w:rsid w:val="008E1052"/>
    <w:rsid w:val="009756D2"/>
    <w:rsid w:val="00975CE8"/>
    <w:rsid w:val="009814A7"/>
    <w:rsid w:val="009A1876"/>
    <w:rsid w:val="009A6A3B"/>
    <w:rsid w:val="009B0D80"/>
    <w:rsid w:val="009B4322"/>
    <w:rsid w:val="009C3394"/>
    <w:rsid w:val="009D0649"/>
    <w:rsid w:val="009E0C82"/>
    <w:rsid w:val="009F58E6"/>
    <w:rsid w:val="00A0672E"/>
    <w:rsid w:val="00A345C6"/>
    <w:rsid w:val="00A4587D"/>
    <w:rsid w:val="00A769C0"/>
    <w:rsid w:val="00A95D3A"/>
    <w:rsid w:val="00AB24F9"/>
    <w:rsid w:val="00AD041C"/>
    <w:rsid w:val="00AD3CE0"/>
    <w:rsid w:val="00B2705A"/>
    <w:rsid w:val="00B3254C"/>
    <w:rsid w:val="00B41DF7"/>
    <w:rsid w:val="00B4288D"/>
    <w:rsid w:val="00B70B65"/>
    <w:rsid w:val="00B823AA"/>
    <w:rsid w:val="00B92B96"/>
    <w:rsid w:val="00BA45DB"/>
    <w:rsid w:val="00BA4613"/>
    <w:rsid w:val="00BF4184"/>
    <w:rsid w:val="00C0601E"/>
    <w:rsid w:val="00C309FA"/>
    <w:rsid w:val="00C31D30"/>
    <w:rsid w:val="00C3543A"/>
    <w:rsid w:val="00C52C90"/>
    <w:rsid w:val="00C6321B"/>
    <w:rsid w:val="00C704E1"/>
    <w:rsid w:val="00CB7BF0"/>
    <w:rsid w:val="00CD6E39"/>
    <w:rsid w:val="00CF6E91"/>
    <w:rsid w:val="00D13F5E"/>
    <w:rsid w:val="00D36246"/>
    <w:rsid w:val="00D731CA"/>
    <w:rsid w:val="00D85B68"/>
    <w:rsid w:val="00D91018"/>
    <w:rsid w:val="00DB19DA"/>
    <w:rsid w:val="00DB38B0"/>
    <w:rsid w:val="00DB697C"/>
    <w:rsid w:val="00DD2918"/>
    <w:rsid w:val="00DF240D"/>
    <w:rsid w:val="00DF42C3"/>
    <w:rsid w:val="00DF700B"/>
    <w:rsid w:val="00E17B13"/>
    <w:rsid w:val="00E41E46"/>
    <w:rsid w:val="00E52160"/>
    <w:rsid w:val="00E53777"/>
    <w:rsid w:val="00E6004D"/>
    <w:rsid w:val="00E6265B"/>
    <w:rsid w:val="00E77013"/>
    <w:rsid w:val="00E81978"/>
    <w:rsid w:val="00E838B3"/>
    <w:rsid w:val="00EA713E"/>
    <w:rsid w:val="00EB3265"/>
    <w:rsid w:val="00ED61FB"/>
    <w:rsid w:val="00EE09D1"/>
    <w:rsid w:val="00EE5314"/>
    <w:rsid w:val="00EE60AD"/>
    <w:rsid w:val="00F115B0"/>
    <w:rsid w:val="00F379B7"/>
    <w:rsid w:val="00F504A4"/>
    <w:rsid w:val="00F525FA"/>
    <w:rsid w:val="00F535C9"/>
    <w:rsid w:val="00FD6A9D"/>
    <w:rsid w:val="00FD79C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2020-01-30T12:09:00Z</dcterms:created>
  <dcterms:modified xsi:type="dcterms:W3CDTF">2020-01-30T12:09:00Z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id="RJC0BqTf"/&gt;&lt;style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