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113E97">
      <w:pPr>
        <w:pStyle w:val="Title"/>
      </w:pPr>
      <w:sdt>
        <w:sdtPr>
          <w:alias w:val="Title:"/>
          <w:tag w:val="Title:"/>
          <w:id w:val="726351117"/>
          <w:placeholder>
            <w:docPart w:val="3BFDCF68F9344A06BC30F9D5B672802E"/>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32481">
            <w:t>Case Study</w:t>
          </w:r>
        </w:sdtContent>
      </w:sdt>
    </w:p>
    <w:p w:rsidR="00B823AA" w:rsidRDefault="009F0704" w:rsidP="00B823AA">
      <w:pPr>
        <w:pStyle w:val="Title2"/>
      </w:pPr>
      <w:r>
        <w:t xml:space="preserve">Name: </w:t>
      </w:r>
      <w:proofErr w:type="spellStart"/>
      <w:r>
        <w:t>Ouma</w:t>
      </w:r>
      <w:proofErr w:type="spellEnd"/>
    </w:p>
    <w:p w:rsidR="00E81978" w:rsidRDefault="00E81978" w:rsidP="00B823AA">
      <w:pPr>
        <w:pStyle w:val="Title2"/>
      </w:pPr>
    </w:p>
    <w:p w:rsidR="00E81978" w:rsidRDefault="00E81978">
      <w:pPr>
        <w:pStyle w:val="Title"/>
      </w:pPr>
    </w:p>
    <w:p w:rsidR="00E81978" w:rsidRDefault="00E81978" w:rsidP="00B823AA">
      <w:pPr>
        <w:pStyle w:val="Title2"/>
      </w:pPr>
    </w:p>
    <w:p w:rsidR="00E81978" w:rsidRDefault="00113E97">
      <w:pPr>
        <w:pStyle w:val="SectionTitle"/>
      </w:pPr>
      <w:sdt>
        <w:sdtPr>
          <w:alias w:val="Section title:"/>
          <w:tag w:val="Section title:"/>
          <w:id w:val="984196707"/>
          <w:placeholder>
            <w:docPart w:val="11959CED94234FC095ED2B8A066A56B6"/>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32481">
            <w:t>Case Study</w:t>
          </w:r>
        </w:sdtContent>
      </w:sdt>
    </w:p>
    <w:p w:rsidR="009F0704" w:rsidRDefault="00432481" w:rsidP="00833A66">
      <w:pPr>
        <w:pStyle w:val="Heading2"/>
      </w:pPr>
      <w:r>
        <w:t>Small Business Dilemma</w:t>
      </w:r>
    </w:p>
    <w:p w:rsidR="00A77EB6" w:rsidRDefault="00E03C05" w:rsidP="00691878">
      <w:pPr>
        <w:pStyle w:val="ListParagraph"/>
        <w:numPr>
          <w:ilvl w:val="0"/>
          <w:numId w:val="22"/>
        </w:numPr>
      </w:pPr>
      <w:r>
        <w:t>U</w:t>
      </w:r>
      <w:r w:rsidR="00001BE5">
        <w:t>navoidable risk in investing in foreign countries known as exchange rate risk or foreign exchange (forex) risk. Hedging techniques are used throughout the world to mitigate this unavoidable risk.</w:t>
      </w:r>
    </w:p>
    <w:p w:rsidR="00432481" w:rsidRDefault="00001BE5" w:rsidP="00E03C05">
      <w:pPr>
        <w:spacing w:before="240"/>
        <w:ind w:left="1080" w:firstLine="0"/>
      </w:pPr>
      <w:r>
        <w:t xml:space="preserve">Currency futures </w:t>
      </w:r>
      <w:r w:rsidR="00A77EB6">
        <w:t xml:space="preserve">as a technique of hedging, </w:t>
      </w:r>
      <w:r w:rsidR="00710B74">
        <w:t xml:space="preserve">are </w:t>
      </w:r>
      <w:r w:rsidR="00A77EB6">
        <w:t>dealt</w:t>
      </w:r>
      <w:r w:rsidR="00710B74">
        <w:t xml:space="preserve"> on an exchange and are extensively used by foreign investors to hedge </w:t>
      </w:r>
      <w:r w:rsidR="00E03C05">
        <w:t xml:space="preserve">the exposure to the </w:t>
      </w:r>
      <w:r w:rsidR="00710B74">
        <w:t xml:space="preserve">exchange risk. Sports Exports Company should sell futures contracts </w:t>
      </w:r>
      <w:r w:rsidR="00691878">
        <w:t>on pounds (</w:t>
      </w:r>
      <w:r w:rsidR="00710B74">
        <w:t xml:space="preserve">while </w:t>
      </w:r>
      <w:bookmarkStart w:id="0" w:name="_GoBack"/>
      <w:bookmarkEnd w:id="0"/>
      <w:r w:rsidR="00710B74">
        <w:t>taking</w:t>
      </w:r>
      <w:r w:rsidR="00CD311F">
        <w:t xml:space="preserve"> a </w:t>
      </w:r>
      <w:r w:rsidR="00710B74">
        <w:t>short position</w:t>
      </w:r>
      <w:r w:rsidR="00691878">
        <w:t>)</w:t>
      </w:r>
      <w:r w:rsidR="00710B74">
        <w:t xml:space="preserve">, to make itself safe from the depreciation in the value of Pounds. These currency futures </w:t>
      </w:r>
      <w:r w:rsidR="00A77EB6">
        <w:t xml:space="preserve">sold </w:t>
      </w:r>
      <w:r w:rsidR="00710B74">
        <w:t xml:space="preserve">should be equal in value to the </w:t>
      </w:r>
      <w:r w:rsidR="002A6A42">
        <w:t>number</w:t>
      </w:r>
      <w:r w:rsidR="00710B74">
        <w:t xml:space="preserve"> of receivables in Pounds</w:t>
      </w:r>
      <w:r w:rsidR="00691878">
        <w:t>, and the settlement dates should be such that they match up with the dates the amount is to be received</w:t>
      </w:r>
      <w:r w:rsidR="00710B74">
        <w:t xml:space="preserve">. An advantage of currency futures is that they require </w:t>
      </w:r>
      <w:r w:rsidR="00A77EB6">
        <w:t xml:space="preserve">a minimal amount of upfront margin. And the disadvantage is that their dates are fixed and </w:t>
      </w:r>
      <w:r w:rsidR="00691878">
        <w:t xml:space="preserve">due to their standardized nature </w:t>
      </w:r>
      <w:r w:rsidR="00A77EB6">
        <w:t xml:space="preserve">they cannot be customized to meet the requirements of the Companies. </w:t>
      </w:r>
      <w:r w:rsidR="00691878">
        <w:t>Prices at the beginning of the futures contracts are locked-in, thus the company entering into the contract loses if the movements in the exchange rates are favorable. Moreover, mark-to-market adjustments is also a requirement of these contracts, and at the close of every trading day</w:t>
      </w:r>
      <w:r w:rsidR="002A6A42">
        <w:t>,</w:t>
      </w:r>
      <w:r w:rsidR="00691878">
        <w:t xml:space="preserve"> the companies entering into the contracts are required to maintain </w:t>
      </w:r>
      <w:r w:rsidR="002A6A42">
        <w:t>their</w:t>
      </w:r>
      <w:r w:rsidR="00691878">
        <w:t xml:space="preserve"> </w:t>
      </w:r>
      <w:r w:rsidR="00F52D6C">
        <w:t>position in futures contracts.</w:t>
      </w:r>
    </w:p>
    <w:p w:rsidR="002A3E81" w:rsidRDefault="00E03C05" w:rsidP="003F4193">
      <w:pPr>
        <w:pStyle w:val="ListParagraph"/>
        <w:numPr>
          <w:ilvl w:val="0"/>
          <w:numId w:val="22"/>
        </w:numPr>
      </w:pPr>
      <w:r>
        <w:t xml:space="preserve">The firm </w:t>
      </w:r>
      <w:r w:rsidR="00F52D6C">
        <w:t xml:space="preserve">should </w:t>
      </w:r>
      <w:r>
        <w:t>buy</w:t>
      </w:r>
      <w:r w:rsidR="00F52D6C">
        <w:t xml:space="preserve"> put options on British Pounds to eliminate exchange rate risk</w:t>
      </w:r>
      <w:r w:rsidR="00CC1142">
        <w:t xml:space="preserve"> thus fixing </w:t>
      </w:r>
      <w:r w:rsidR="001413BD">
        <w:t>the least exchange rate to sell the pounds at a predetermined future date.</w:t>
      </w:r>
    </w:p>
    <w:p w:rsidR="00F52D6C" w:rsidRDefault="003F4193" w:rsidP="002F58A8">
      <w:pPr>
        <w:pStyle w:val="ListParagraph"/>
        <w:numPr>
          <w:ilvl w:val="0"/>
          <w:numId w:val="22"/>
        </w:numPr>
      </w:pPr>
      <w:r>
        <w:lastRenderedPageBreak/>
        <w:t xml:space="preserve">The restraint in case of using currency options is that these use </w:t>
      </w:r>
      <w:r w:rsidR="002F58A8">
        <w:t xml:space="preserve">standardized units and therefore, there would be no exact match of currency option for the number of </w:t>
      </w:r>
      <w:r w:rsidR="00E03C05">
        <w:rPr>
          <w:rFonts w:cstheme="minorHAnsi"/>
        </w:rPr>
        <w:t xml:space="preserve">£ </w:t>
      </w:r>
      <w:r w:rsidR="002F58A8">
        <w:t xml:space="preserve">that the </w:t>
      </w:r>
      <w:r w:rsidR="00E03C05">
        <w:t>Firm would</w:t>
      </w:r>
      <w:r w:rsidR="002F58A8">
        <w:t xml:space="preserve"> need to sell at the end of each period.</w:t>
      </w:r>
    </w:p>
    <w:p w:rsidR="002F58A8" w:rsidRDefault="00E03C05" w:rsidP="00951973">
      <w:pPr>
        <w:pStyle w:val="ListParagraph"/>
        <w:numPr>
          <w:ilvl w:val="0"/>
          <w:numId w:val="22"/>
        </w:numPr>
      </w:pPr>
      <w:r>
        <w:t>T</w:t>
      </w:r>
      <w:r w:rsidR="002F58A8">
        <w:t xml:space="preserve">he </w:t>
      </w:r>
      <w:r>
        <w:t>owner</w:t>
      </w:r>
      <w:r w:rsidR="002F58A8">
        <w:t xml:space="preserve"> of the </w:t>
      </w:r>
      <w:r>
        <w:t xml:space="preserve">Firm </w:t>
      </w:r>
      <w:r w:rsidR="002F58A8">
        <w:t xml:space="preserve">should consider purchasing put options, due to their nature of offering greater flexibility. The owner of the company would have an option to exercise the options if in case the pound falls in value against the U.S. dollar. While on the other hand if the pound’s value gets appreciated then there would be </w:t>
      </w:r>
      <w:r w:rsidR="00951973">
        <w:t xml:space="preserve">no liability in case of non-exercise of the options. </w:t>
      </w:r>
    </w:p>
    <w:p w:rsidR="00951973" w:rsidRDefault="00951973" w:rsidP="00951973">
      <w:pPr>
        <w:pStyle w:val="ListParagraph"/>
        <w:ind w:left="1080"/>
      </w:pPr>
      <w:r>
        <w:t xml:space="preserve">The disadvantage concerned with </w:t>
      </w:r>
      <w:r w:rsidR="00E03C05">
        <w:t>buying</w:t>
      </w:r>
      <w:r>
        <w:t xml:space="preserve"> put options </w:t>
      </w:r>
      <w:r w:rsidR="00E03C05">
        <w:t>is that these require</w:t>
      </w:r>
      <w:r>
        <w:t xml:space="preserve"> </w:t>
      </w:r>
      <w:r w:rsidR="00CD311F">
        <w:t xml:space="preserve">a </w:t>
      </w:r>
      <w:r>
        <w:t>premium to be paid when purchasing th</w:t>
      </w:r>
      <w:r w:rsidR="00E03C05">
        <w:t>em</w:t>
      </w:r>
      <w:r>
        <w:t>. While in case of futures contracts used to hedge against currency rate fluctuations no such condition exist</w:t>
      </w:r>
      <w:r w:rsidR="002A6A42">
        <w:t>s</w:t>
      </w:r>
      <w:r>
        <w:t xml:space="preserve"> (i.e. no premium is to be paid), but the contracts are to be exercised at the end of the term. </w:t>
      </w:r>
    </w:p>
    <w:p w:rsidR="002F58A8" w:rsidRDefault="00D01959" w:rsidP="00D01959">
      <w:pPr>
        <w:pStyle w:val="Heading2"/>
      </w:pPr>
      <w:r>
        <w:t>Internet/Excel Exercises</w:t>
      </w:r>
    </w:p>
    <w:p w:rsidR="00D01959" w:rsidRDefault="00D01959" w:rsidP="005862F1">
      <w:pPr>
        <w:pStyle w:val="ListParagraph"/>
        <w:numPr>
          <w:ilvl w:val="0"/>
          <w:numId w:val="23"/>
        </w:numPr>
      </w:pPr>
      <w:r>
        <w:t>The currency futures with closest settlement dates are Brazilian Real Futures (Jul 2019), Indian Rupee/USD Futures (Jun 2019), and the remaining due to be settled in Sep 2019. All these contracts reflect changes (i.e. increases) from the day before. And the increases are as follows:</w:t>
      </w:r>
    </w:p>
    <w:p w:rsidR="00D01959" w:rsidRDefault="00D01959" w:rsidP="00432481">
      <w:r>
        <w:t xml:space="preserve">Brazilian Real Futures (Jul 2019)   </w:t>
      </w:r>
    </w:p>
    <w:p w:rsidR="00D01959" w:rsidRDefault="00D01959" w:rsidP="00D01959">
      <w:pPr>
        <w:ind w:left="2160"/>
      </w:pPr>
      <w:r>
        <w:t xml:space="preserve">Last </w:t>
      </w:r>
      <w:r>
        <w:tab/>
      </w:r>
      <w:r>
        <w:tab/>
        <w:t>0.2618</w:t>
      </w:r>
    </w:p>
    <w:p w:rsidR="00D01959" w:rsidRDefault="00D01959" w:rsidP="00432481">
      <w:r>
        <w:tab/>
      </w:r>
      <w:r>
        <w:tab/>
      </w:r>
      <w:r>
        <w:tab/>
        <w:t xml:space="preserve">Change </w:t>
      </w:r>
      <w:r>
        <w:tab/>
        <w:t>+0.00075</w:t>
      </w:r>
    </w:p>
    <w:p w:rsidR="00D01959" w:rsidRDefault="00D01959" w:rsidP="00432481">
      <w:r>
        <w:tab/>
      </w:r>
      <w:r>
        <w:tab/>
      </w:r>
      <w:r>
        <w:tab/>
        <w:t>Open</w:t>
      </w:r>
      <w:r>
        <w:tab/>
      </w:r>
      <w:r>
        <w:tab/>
        <w:t>0.2615</w:t>
      </w:r>
    </w:p>
    <w:p w:rsidR="00D01959" w:rsidRDefault="00D01959" w:rsidP="00D01959">
      <w:r>
        <w:t>Indian Rupee/USD Futures (Jun 2019)</w:t>
      </w:r>
    </w:p>
    <w:p w:rsidR="00D01959" w:rsidRDefault="00D01959" w:rsidP="00D01959">
      <w:pPr>
        <w:ind w:left="2160"/>
      </w:pPr>
      <w:r>
        <w:t xml:space="preserve">Last </w:t>
      </w:r>
      <w:r>
        <w:tab/>
      </w:r>
      <w:r>
        <w:tab/>
        <w:t>144.35</w:t>
      </w:r>
    </w:p>
    <w:p w:rsidR="00D01959" w:rsidRDefault="00D01959" w:rsidP="00D01959">
      <w:r>
        <w:lastRenderedPageBreak/>
        <w:tab/>
      </w:r>
      <w:r>
        <w:tab/>
      </w:r>
      <w:r>
        <w:tab/>
        <w:t xml:space="preserve">Change </w:t>
      </w:r>
      <w:r>
        <w:tab/>
        <w:t>+0.73</w:t>
      </w:r>
    </w:p>
    <w:p w:rsidR="00D01959" w:rsidRDefault="00D01959" w:rsidP="00D01959">
      <w:r>
        <w:tab/>
      </w:r>
      <w:r>
        <w:tab/>
      </w:r>
      <w:r>
        <w:tab/>
        <w:t>Open</w:t>
      </w:r>
      <w:r>
        <w:tab/>
      </w:r>
      <w:r>
        <w:tab/>
        <w:t>143.60</w:t>
      </w:r>
    </w:p>
    <w:p w:rsidR="00D01959" w:rsidRDefault="005862F1" w:rsidP="005862F1">
      <w:pPr>
        <w:ind w:firstLine="0"/>
      </w:pPr>
      <w:r>
        <w:t>News rel</w:t>
      </w:r>
      <w:r w:rsidR="002A6A42">
        <w:t>e</w:t>
      </w:r>
      <w:r>
        <w:t>ase dated June 20, 2019</w:t>
      </w:r>
      <w:r w:rsidR="00CD311F">
        <w:t>,</w:t>
      </w:r>
      <w:r>
        <w:t xml:space="preserve"> states that “</w:t>
      </w:r>
      <w:r w:rsidRPr="005862F1">
        <w:t xml:space="preserve">LONDON and SINGAPORE and CHICAGO, June 20, 2019/PRNewswire/ -- CME Group, </w:t>
      </w:r>
      <w:r w:rsidR="00E03C05">
        <w:t xml:space="preserve">announced </w:t>
      </w:r>
      <w:r w:rsidRPr="005862F1">
        <w:t>today that Shanghai Gold Exchange (SGE), will grant CME Group a license to use, create and list futures contracts based on SGE's Shanghai Gold Benchmark PM Price.</w:t>
      </w:r>
      <w:r>
        <w:t>.”</w:t>
      </w:r>
    </w:p>
    <w:p w:rsidR="005862F1" w:rsidRDefault="005862F1" w:rsidP="00091464">
      <w:pPr>
        <w:pStyle w:val="ListParagraph"/>
        <w:numPr>
          <w:ilvl w:val="0"/>
          <w:numId w:val="23"/>
        </w:numPr>
      </w:pPr>
      <w:r>
        <w:t xml:space="preserve">There </w:t>
      </w:r>
      <w:r w:rsidR="002A6A42">
        <w:t xml:space="preserve">is a </w:t>
      </w:r>
      <w:r>
        <w:t>total of ten futures that are due to be settled till September 2019. One of them is due to be settled in June 2019, and another is due in July 2019. While the remaining eight are due by September 2019</w:t>
      </w:r>
      <w:r w:rsidR="00091464">
        <w:t xml:space="preserve">. Prices among all of these are moving in the same direction i.e. an upward trend can be seen in the prices of all of these. While in </w:t>
      </w:r>
      <w:r w:rsidR="002A6A42">
        <w:t xml:space="preserve">the </w:t>
      </w:r>
      <w:r w:rsidR="00091464">
        <w:t>case of two of them, the prices are decreasing. One of them is British Pound Futures and another is Mexican Peso Futures. The movements in prices are as follows:</w:t>
      </w:r>
    </w:p>
    <w:p w:rsidR="00091464" w:rsidRDefault="00091464" w:rsidP="005862F1">
      <w:r>
        <w:t>British Pound Futures</w:t>
      </w:r>
    </w:p>
    <w:p w:rsidR="00091464" w:rsidRDefault="00091464" w:rsidP="00091464">
      <w:pPr>
        <w:ind w:left="2160"/>
      </w:pPr>
      <w:r>
        <w:t xml:space="preserve">Last </w:t>
      </w:r>
      <w:r>
        <w:tab/>
      </w:r>
      <w:r>
        <w:tab/>
        <w:t>1.2781</w:t>
      </w:r>
    </w:p>
    <w:p w:rsidR="00091464" w:rsidRDefault="00091464" w:rsidP="00091464">
      <w:r>
        <w:tab/>
      </w:r>
      <w:r>
        <w:tab/>
      </w:r>
      <w:r>
        <w:tab/>
        <w:t xml:space="preserve">Change </w:t>
      </w:r>
      <w:r>
        <w:tab/>
      </w:r>
      <w:r w:rsidRPr="00091464">
        <w:rPr>
          <w:color w:val="FF0000"/>
        </w:rPr>
        <w:t>-0.0004</w:t>
      </w:r>
    </w:p>
    <w:p w:rsidR="00091464" w:rsidRDefault="00091464" w:rsidP="00091464">
      <w:r>
        <w:tab/>
      </w:r>
      <w:r>
        <w:tab/>
      </w:r>
      <w:r>
        <w:tab/>
        <w:t>Open</w:t>
      </w:r>
      <w:r>
        <w:tab/>
      </w:r>
      <w:r>
        <w:tab/>
        <w:t>1.2787</w:t>
      </w:r>
    </w:p>
    <w:p w:rsidR="00091464" w:rsidRDefault="00091464" w:rsidP="005862F1">
      <w:r>
        <w:t>Mexican Peso Futures</w:t>
      </w:r>
    </w:p>
    <w:p w:rsidR="00091464" w:rsidRDefault="00091464" w:rsidP="00091464">
      <w:pPr>
        <w:ind w:left="2160"/>
      </w:pPr>
      <w:r>
        <w:t xml:space="preserve">Last </w:t>
      </w:r>
      <w:r>
        <w:tab/>
      </w:r>
      <w:r>
        <w:tab/>
        <w:t>0.051460</w:t>
      </w:r>
    </w:p>
    <w:p w:rsidR="00091464" w:rsidRDefault="00091464" w:rsidP="00091464">
      <w:r>
        <w:tab/>
      </w:r>
      <w:r>
        <w:tab/>
      </w:r>
      <w:r>
        <w:tab/>
        <w:t xml:space="preserve">Change </w:t>
      </w:r>
      <w:r>
        <w:tab/>
      </w:r>
      <w:r w:rsidRPr="00091464">
        <w:rPr>
          <w:color w:val="FF0000"/>
        </w:rPr>
        <w:t>-0.000100</w:t>
      </w:r>
    </w:p>
    <w:p w:rsidR="00091464" w:rsidRDefault="00091464" w:rsidP="00091464">
      <w:r>
        <w:tab/>
      </w:r>
      <w:r>
        <w:tab/>
      </w:r>
      <w:r>
        <w:tab/>
        <w:t>Open</w:t>
      </w:r>
      <w:r>
        <w:tab/>
      </w:r>
      <w:r>
        <w:tab/>
        <w:t>0.051590</w:t>
      </w:r>
    </w:p>
    <w:p w:rsidR="00091464" w:rsidRDefault="00091464" w:rsidP="00091464">
      <w:pPr>
        <w:pStyle w:val="ListParagraph"/>
        <w:numPr>
          <w:ilvl w:val="0"/>
          <w:numId w:val="23"/>
        </w:numPr>
      </w:pPr>
      <w:r>
        <w:t xml:space="preserve">If I </w:t>
      </w:r>
      <w:r w:rsidR="00E03C05">
        <w:t>buy the</w:t>
      </w:r>
      <w:r>
        <w:t xml:space="preserve"> British pound futures contract </w:t>
      </w:r>
      <w:r w:rsidR="00E03C05">
        <w:t xml:space="preserve">that </w:t>
      </w:r>
      <w:r w:rsidR="00CD311F">
        <w:t>is</w:t>
      </w:r>
      <w:r>
        <w:t xml:space="preserve"> the </w:t>
      </w:r>
      <w:r w:rsidR="00E03C05">
        <w:t>nearest to th</w:t>
      </w:r>
      <w:r w:rsidR="00CD311F">
        <w:t>ei</w:t>
      </w:r>
      <w:r w:rsidR="00E03C05">
        <w:t>r</w:t>
      </w:r>
      <w:r>
        <w:t xml:space="preserve"> </w:t>
      </w:r>
      <w:r w:rsidR="00E03C05">
        <w:t>reimbursement</w:t>
      </w:r>
      <w:r>
        <w:t xml:space="preserve"> date, then that would be due by September 2019, and the future price would be:</w:t>
      </w:r>
    </w:p>
    <w:p w:rsidR="00091464" w:rsidRDefault="00091464" w:rsidP="00091464">
      <w:pPr>
        <w:ind w:left="720" w:firstLine="0"/>
      </w:pPr>
      <w:r>
        <w:lastRenderedPageBreak/>
        <w:t>As per the website (cmegroup.com) data GBP/USD futures information the future price is $1.278</w:t>
      </w:r>
      <w:r w:rsidR="002A6A42">
        <w:t>7</w:t>
      </w:r>
      <w:r>
        <w:t>. So, the contract value would be</w:t>
      </w:r>
    </w:p>
    <w:p w:rsidR="00091464" w:rsidRDefault="00091464" w:rsidP="00091464">
      <w:pPr>
        <w:ind w:left="720" w:firstLine="0"/>
      </w:pPr>
      <w:r>
        <w:tab/>
      </w:r>
      <w:r w:rsidR="002A6A42">
        <w:t>Value</w:t>
      </w:r>
      <w:r>
        <w:tab/>
      </w:r>
      <w:r w:rsidR="002A6A42">
        <w:t>= 62,500 Pounds</w:t>
      </w:r>
    </w:p>
    <w:p w:rsidR="002A6A42" w:rsidRDefault="002A6A42" w:rsidP="00091464">
      <w:pPr>
        <w:ind w:left="720" w:firstLine="0"/>
      </w:pPr>
      <w:r>
        <w:tab/>
        <w:t>To buy = $1.2781 x 62,500 pounds = $79,881.25</w:t>
      </w:r>
    </w:p>
    <w:p w:rsidR="002A6A42" w:rsidRDefault="002A6A42" w:rsidP="00091464">
      <w:pPr>
        <w:ind w:left="720" w:firstLine="0"/>
      </w:pPr>
      <w:r>
        <w:tab/>
        <w:t>To sell = $1.2787 x 62,500 pounds = $79,918.75</w:t>
      </w:r>
    </w:p>
    <w:p w:rsidR="002A6A42" w:rsidRDefault="002A6A42" w:rsidP="00091464">
      <w:pPr>
        <w:ind w:left="720" w:firstLine="0"/>
      </w:pPr>
      <w:r>
        <w:t>Thus, the settlement of the contract = $79,881.25 - $79,918.75</w:t>
      </w:r>
    </w:p>
    <w:p w:rsidR="002A6A42" w:rsidRDefault="002A6A42" w:rsidP="00091464">
      <w:pPr>
        <w:ind w:left="720" w:firstLine="0"/>
      </w:pPr>
      <w:r>
        <w:tab/>
      </w:r>
      <w:r>
        <w:tab/>
      </w:r>
      <w:r>
        <w:tab/>
      </w:r>
      <w:r>
        <w:tab/>
      </w:r>
      <w:r>
        <w:tab/>
        <w:t>= $37.5 Gain</w:t>
      </w:r>
    </w:p>
    <w:p w:rsidR="00091464" w:rsidRDefault="002A6A42" w:rsidP="002E0145">
      <w:pPr>
        <w:ind w:left="720" w:firstLine="0"/>
      </w:pPr>
      <w:r>
        <w:t>Because the selling value of the contract is more than the buy value. Therefore, I will make a gain at settlement.</w:t>
      </w:r>
    </w:p>
    <w:p w:rsidR="00091464" w:rsidRPr="00432481" w:rsidRDefault="00091464" w:rsidP="00091464">
      <w:r>
        <w:t xml:space="preserve"> </w:t>
      </w:r>
    </w:p>
    <w:sectPr w:rsidR="00091464" w:rsidRPr="00432481">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E97" w:rsidRDefault="00113E97">
      <w:pPr>
        <w:spacing w:line="240" w:lineRule="auto"/>
      </w:pPr>
      <w:r>
        <w:separator/>
      </w:r>
    </w:p>
    <w:p w:rsidR="00113E97" w:rsidRDefault="00113E97"/>
  </w:endnote>
  <w:endnote w:type="continuationSeparator" w:id="0">
    <w:p w:rsidR="00113E97" w:rsidRDefault="00113E97">
      <w:pPr>
        <w:spacing w:line="240" w:lineRule="auto"/>
      </w:pPr>
      <w:r>
        <w:continuationSeparator/>
      </w:r>
    </w:p>
    <w:p w:rsidR="00113E97" w:rsidRDefault="00113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E97" w:rsidRDefault="00113E97">
      <w:pPr>
        <w:spacing w:line="240" w:lineRule="auto"/>
      </w:pPr>
      <w:r>
        <w:separator/>
      </w:r>
    </w:p>
    <w:p w:rsidR="00113E97" w:rsidRDefault="00113E97"/>
  </w:footnote>
  <w:footnote w:type="continuationSeparator" w:id="0">
    <w:p w:rsidR="00113E97" w:rsidRDefault="00113E97">
      <w:pPr>
        <w:spacing w:line="240" w:lineRule="auto"/>
      </w:pPr>
      <w:r>
        <w:continuationSeparator/>
      </w:r>
    </w:p>
    <w:p w:rsidR="00113E97" w:rsidRDefault="00113E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113E97">
    <w:pPr>
      <w:pStyle w:val="Header"/>
    </w:pPr>
    <w:sdt>
      <w:sdtPr>
        <w:rPr>
          <w:rStyle w:val="Strong"/>
        </w:rPr>
        <w:alias w:val="Running head"/>
        <w:tag w:val=""/>
        <w:id w:val="12739865"/>
        <w:placeholder>
          <w:docPart w:val="7B9B9B7733F14E8C9D160DE75B11B37B"/>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F0704">
          <w:rPr>
            <w:rStyle w:val="Strong"/>
          </w:rPr>
          <w:t>[international banking and financial management]</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sdt>
      <w:sdtPr>
        <w:rPr>
          <w:rStyle w:val="Strong"/>
        </w:rPr>
        <w:alias w:val="Running head"/>
        <w:tag w:val=""/>
        <w:id w:val="-696842620"/>
        <w:placeholder>
          <w:docPart w:val="9D33FCB2E59040608275CA0D2C2437A2"/>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F0704">
          <w:rPr>
            <w:rStyle w:val="Strong"/>
          </w:rPr>
          <w:t>[international banking and financial management]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20246E5"/>
    <w:multiLevelType w:val="hybridMultilevel"/>
    <w:tmpl w:val="E1F8AC78"/>
    <w:lvl w:ilvl="0" w:tplc="0A222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45D0F9C"/>
    <w:multiLevelType w:val="hybridMultilevel"/>
    <w:tmpl w:val="723013C2"/>
    <w:lvl w:ilvl="0" w:tplc="D43C8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7992BB8"/>
    <w:multiLevelType w:val="hybridMultilevel"/>
    <w:tmpl w:val="65AE3B72"/>
    <w:lvl w:ilvl="0" w:tplc="0242E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77271E"/>
    <w:multiLevelType w:val="hybridMultilevel"/>
    <w:tmpl w:val="3F12F75C"/>
    <w:lvl w:ilvl="0" w:tplc="786C31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BB65CF"/>
    <w:multiLevelType w:val="hybridMultilevel"/>
    <w:tmpl w:val="399EBABA"/>
    <w:lvl w:ilvl="0" w:tplc="5CEC37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AA6041C"/>
    <w:multiLevelType w:val="hybridMultilevel"/>
    <w:tmpl w:val="B86227BC"/>
    <w:lvl w:ilvl="0" w:tplc="95F43D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81B0EF8"/>
    <w:multiLevelType w:val="hybridMultilevel"/>
    <w:tmpl w:val="49E40062"/>
    <w:lvl w:ilvl="0" w:tplc="B088D4E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74637A"/>
    <w:multiLevelType w:val="hybridMultilevel"/>
    <w:tmpl w:val="1F985A32"/>
    <w:lvl w:ilvl="0" w:tplc="82B267B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0"/>
  </w:num>
  <w:num w:numId="13">
    <w:abstractNumId w:val="17"/>
  </w:num>
  <w:num w:numId="14">
    <w:abstractNumId w:val="15"/>
  </w:num>
  <w:num w:numId="15">
    <w:abstractNumId w:val="19"/>
  </w:num>
  <w:num w:numId="16">
    <w:abstractNumId w:val="18"/>
  </w:num>
  <w:num w:numId="17">
    <w:abstractNumId w:val="21"/>
  </w:num>
  <w:num w:numId="18">
    <w:abstractNumId w:val="14"/>
  </w:num>
  <w:num w:numId="19">
    <w:abstractNumId w:val="16"/>
  </w:num>
  <w:num w:numId="20">
    <w:abstractNumId w:val="13"/>
  </w:num>
  <w:num w:numId="21">
    <w:abstractNumId w:val="10"/>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UwNTI1MTcztzQzMDNU0lEKTi0uzszPAykwqQUAXjmfNywAAAA="/>
  </w:docVars>
  <w:rsids>
    <w:rsidRoot w:val="009F0704"/>
    <w:rsid w:val="00001BE5"/>
    <w:rsid w:val="00020C2F"/>
    <w:rsid w:val="00091464"/>
    <w:rsid w:val="000D3F41"/>
    <w:rsid w:val="00113E97"/>
    <w:rsid w:val="00122749"/>
    <w:rsid w:val="001413BD"/>
    <w:rsid w:val="001C57FC"/>
    <w:rsid w:val="002601BC"/>
    <w:rsid w:val="002A3E81"/>
    <w:rsid w:val="002A6A42"/>
    <w:rsid w:val="002E0145"/>
    <w:rsid w:val="002F58A8"/>
    <w:rsid w:val="00355DCA"/>
    <w:rsid w:val="003D5AF4"/>
    <w:rsid w:val="003F4193"/>
    <w:rsid w:val="00432481"/>
    <w:rsid w:val="00551A02"/>
    <w:rsid w:val="005534FA"/>
    <w:rsid w:val="005862F1"/>
    <w:rsid w:val="005D3A03"/>
    <w:rsid w:val="0068639B"/>
    <w:rsid w:val="00691878"/>
    <w:rsid w:val="006D4277"/>
    <w:rsid w:val="00710B74"/>
    <w:rsid w:val="008002C0"/>
    <w:rsid w:val="00833A66"/>
    <w:rsid w:val="00877742"/>
    <w:rsid w:val="008C5323"/>
    <w:rsid w:val="009364ED"/>
    <w:rsid w:val="00951973"/>
    <w:rsid w:val="009A6A3B"/>
    <w:rsid w:val="009F0704"/>
    <w:rsid w:val="00A250A2"/>
    <w:rsid w:val="00A77EB6"/>
    <w:rsid w:val="00B823AA"/>
    <w:rsid w:val="00BA45DB"/>
    <w:rsid w:val="00BF4184"/>
    <w:rsid w:val="00C014EE"/>
    <w:rsid w:val="00C0601E"/>
    <w:rsid w:val="00C31D30"/>
    <w:rsid w:val="00CC1142"/>
    <w:rsid w:val="00CD311F"/>
    <w:rsid w:val="00CD6E39"/>
    <w:rsid w:val="00CF6E91"/>
    <w:rsid w:val="00D01959"/>
    <w:rsid w:val="00D826F1"/>
    <w:rsid w:val="00D85B68"/>
    <w:rsid w:val="00E03C05"/>
    <w:rsid w:val="00E6004D"/>
    <w:rsid w:val="00E81978"/>
    <w:rsid w:val="00F379B7"/>
    <w:rsid w:val="00F525FA"/>
    <w:rsid w:val="00F52D6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EF29D"/>
  <w15:chartTrackingRefBased/>
  <w15:docId w15:val="{16C8B827-FD3B-449C-BD7B-05CA54B5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2A6A42"/>
    <w:rPr>
      <w:color w:val="5F5F5F" w:themeColor="hyperlink"/>
      <w:u w:val="single"/>
    </w:rPr>
  </w:style>
  <w:style w:type="character" w:styleId="UnresolvedMention">
    <w:name w:val="Unresolved Mention"/>
    <w:basedOn w:val="DefaultParagraphFont"/>
    <w:uiPriority w:val="99"/>
    <w:semiHidden/>
    <w:unhideWhenUsed/>
    <w:rsid w:val="002A6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850703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FDCF68F9344A06BC30F9D5B672802E"/>
        <w:category>
          <w:name w:val="General"/>
          <w:gallery w:val="placeholder"/>
        </w:category>
        <w:types>
          <w:type w:val="bbPlcHdr"/>
        </w:types>
        <w:behaviors>
          <w:behavior w:val="content"/>
        </w:behaviors>
        <w:guid w:val="{E8FD955A-D51D-4EA1-864A-F4E09F3133E1}"/>
      </w:docPartPr>
      <w:docPartBody>
        <w:p w:rsidR="003A63A7" w:rsidRDefault="005626E5">
          <w:pPr>
            <w:pStyle w:val="3BFDCF68F9344A06BC30F9D5B672802E"/>
          </w:pPr>
          <w:r>
            <w:t>[Title Here, up to 12 Words, on One to Two Lines]</w:t>
          </w:r>
        </w:p>
      </w:docPartBody>
    </w:docPart>
    <w:docPart>
      <w:docPartPr>
        <w:name w:val="11959CED94234FC095ED2B8A066A56B6"/>
        <w:category>
          <w:name w:val="General"/>
          <w:gallery w:val="placeholder"/>
        </w:category>
        <w:types>
          <w:type w:val="bbPlcHdr"/>
        </w:types>
        <w:behaviors>
          <w:behavior w:val="content"/>
        </w:behaviors>
        <w:guid w:val="{12883E3D-E7B3-4F1F-AA57-CF39B57BCAC3}"/>
      </w:docPartPr>
      <w:docPartBody>
        <w:p w:rsidR="003A63A7" w:rsidRDefault="005626E5">
          <w:pPr>
            <w:pStyle w:val="11959CED94234FC095ED2B8A066A56B6"/>
          </w:pPr>
          <w:r>
            <w:t>[Title Here, up to 12 Words, on One to Two Lines]</w:t>
          </w:r>
        </w:p>
      </w:docPartBody>
    </w:docPart>
    <w:docPart>
      <w:docPartPr>
        <w:name w:val="7B9B9B7733F14E8C9D160DE75B11B37B"/>
        <w:category>
          <w:name w:val="General"/>
          <w:gallery w:val="placeholder"/>
        </w:category>
        <w:types>
          <w:type w:val="bbPlcHdr"/>
        </w:types>
        <w:behaviors>
          <w:behavior w:val="content"/>
        </w:behaviors>
        <w:guid w:val="{84988778-CAD3-4065-9A36-55E7FBDD3E69}"/>
      </w:docPartPr>
      <w:docPartBody>
        <w:p w:rsidR="003A63A7" w:rsidRDefault="005626E5">
          <w:pPr>
            <w:pStyle w:val="7B9B9B7733F14E8C9D160DE75B11B37B"/>
          </w:pPr>
          <w:r w:rsidRPr="005D3A03">
            <w:t>Figures title:</w:t>
          </w:r>
        </w:p>
      </w:docPartBody>
    </w:docPart>
    <w:docPart>
      <w:docPartPr>
        <w:name w:val="9D33FCB2E59040608275CA0D2C2437A2"/>
        <w:category>
          <w:name w:val="General"/>
          <w:gallery w:val="placeholder"/>
        </w:category>
        <w:types>
          <w:type w:val="bbPlcHdr"/>
        </w:types>
        <w:behaviors>
          <w:behavior w:val="content"/>
        </w:behaviors>
        <w:guid w:val="{24D17F2A-9150-4083-9765-96206BD73C2B}"/>
      </w:docPartPr>
      <w:docPartBody>
        <w:p w:rsidR="003A63A7" w:rsidRDefault="005626E5">
          <w:pPr>
            <w:pStyle w:val="9D33FCB2E59040608275CA0D2C2437A2"/>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E5"/>
    <w:rsid w:val="003A63A7"/>
    <w:rsid w:val="005626E5"/>
    <w:rsid w:val="00991BA5"/>
    <w:rsid w:val="00D92EEA"/>
    <w:rsid w:val="00DA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FDCF68F9344A06BC30F9D5B672802E">
    <w:name w:val="3BFDCF68F9344A06BC30F9D5B672802E"/>
  </w:style>
  <w:style w:type="paragraph" w:customStyle="1" w:styleId="33FEF2BB6DC54BBCA7DD33941A30C0F5">
    <w:name w:val="33FEF2BB6DC54BBCA7DD33941A30C0F5"/>
  </w:style>
  <w:style w:type="paragraph" w:customStyle="1" w:styleId="23138983767042309340C4715BCE3A13">
    <w:name w:val="23138983767042309340C4715BCE3A13"/>
  </w:style>
  <w:style w:type="paragraph" w:customStyle="1" w:styleId="D915DCA6B0BA4F569CF073B437DD31C0">
    <w:name w:val="D915DCA6B0BA4F569CF073B437DD31C0"/>
  </w:style>
  <w:style w:type="paragraph" w:customStyle="1" w:styleId="15BA087E3339462DA244ABB0551270B7">
    <w:name w:val="15BA087E3339462DA244ABB0551270B7"/>
  </w:style>
  <w:style w:type="paragraph" w:customStyle="1" w:styleId="A8476C67AE104CDE9190CAAF98F6C5F5">
    <w:name w:val="A8476C67AE104CDE9190CAAF98F6C5F5"/>
  </w:style>
  <w:style w:type="character" w:styleId="Emphasis">
    <w:name w:val="Emphasis"/>
    <w:basedOn w:val="DefaultParagraphFont"/>
    <w:uiPriority w:val="4"/>
    <w:unhideWhenUsed/>
    <w:qFormat/>
    <w:rPr>
      <w:i/>
      <w:iCs/>
    </w:rPr>
  </w:style>
  <w:style w:type="paragraph" w:customStyle="1" w:styleId="F863FCBD4D2A434386A4CD9C4DFA7053">
    <w:name w:val="F863FCBD4D2A434386A4CD9C4DFA7053"/>
  </w:style>
  <w:style w:type="paragraph" w:customStyle="1" w:styleId="DA6B6364C4F7448190ACF8CA07A1D23D">
    <w:name w:val="DA6B6364C4F7448190ACF8CA07A1D23D"/>
  </w:style>
  <w:style w:type="paragraph" w:customStyle="1" w:styleId="11959CED94234FC095ED2B8A066A56B6">
    <w:name w:val="11959CED94234FC095ED2B8A066A56B6"/>
  </w:style>
  <w:style w:type="paragraph" w:customStyle="1" w:styleId="7D1E0018A8534614A93C25089AA381E9">
    <w:name w:val="7D1E0018A8534614A93C25089AA381E9"/>
  </w:style>
  <w:style w:type="paragraph" w:customStyle="1" w:styleId="1507675C18414F15B4388556FF170E16">
    <w:name w:val="1507675C18414F15B4388556FF170E16"/>
  </w:style>
  <w:style w:type="paragraph" w:customStyle="1" w:styleId="1A2A8F7E22E54F339988DB5FD433E0D1">
    <w:name w:val="1A2A8F7E22E54F339988DB5FD433E0D1"/>
  </w:style>
  <w:style w:type="paragraph" w:customStyle="1" w:styleId="19A5B35A93DF49E5807480785111AC08">
    <w:name w:val="19A5B35A93DF49E5807480785111AC08"/>
  </w:style>
  <w:style w:type="paragraph" w:customStyle="1" w:styleId="63AA3CFE2EE5430BA89C233D739C1D30">
    <w:name w:val="63AA3CFE2EE5430BA89C233D739C1D30"/>
  </w:style>
  <w:style w:type="paragraph" w:customStyle="1" w:styleId="70A6EEBB70C64F31B40A66F6B01EEC99">
    <w:name w:val="70A6EEBB70C64F31B40A66F6B01EEC99"/>
  </w:style>
  <w:style w:type="paragraph" w:customStyle="1" w:styleId="C9839F229D3E4015B1E870FE85C530CB">
    <w:name w:val="C9839F229D3E4015B1E870FE85C530CB"/>
  </w:style>
  <w:style w:type="paragraph" w:customStyle="1" w:styleId="973A0A99A89A43E194F9215B33F35E85">
    <w:name w:val="973A0A99A89A43E194F9215B33F35E85"/>
  </w:style>
  <w:style w:type="paragraph" w:customStyle="1" w:styleId="3CD71E1B9EA14519820421865DB8E40D">
    <w:name w:val="3CD71E1B9EA14519820421865DB8E40D"/>
  </w:style>
  <w:style w:type="paragraph" w:customStyle="1" w:styleId="897D9C4619714894BBA27D3ABE958DD6">
    <w:name w:val="897D9C4619714894BBA27D3ABE958DD6"/>
  </w:style>
  <w:style w:type="paragraph" w:customStyle="1" w:styleId="598E29C4DA0E425D99F6255003AF8F1F">
    <w:name w:val="598E29C4DA0E425D99F6255003AF8F1F"/>
  </w:style>
  <w:style w:type="paragraph" w:customStyle="1" w:styleId="519C45FDA5B446CBAE133F714B1878EF">
    <w:name w:val="519C45FDA5B446CBAE133F714B1878EF"/>
  </w:style>
  <w:style w:type="paragraph" w:customStyle="1" w:styleId="0961A21F7F14475A9D4AE4BECEA9C177">
    <w:name w:val="0961A21F7F14475A9D4AE4BECEA9C177"/>
  </w:style>
  <w:style w:type="paragraph" w:customStyle="1" w:styleId="C32CAC4809094F438741F20A333E656A">
    <w:name w:val="C32CAC4809094F438741F20A333E656A"/>
  </w:style>
  <w:style w:type="paragraph" w:customStyle="1" w:styleId="29E5FB05E2F644579EF8B9B3BF265789">
    <w:name w:val="29E5FB05E2F644579EF8B9B3BF265789"/>
  </w:style>
  <w:style w:type="paragraph" w:customStyle="1" w:styleId="721780743FB64754949109C35F621E38">
    <w:name w:val="721780743FB64754949109C35F621E38"/>
  </w:style>
  <w:style w:type="paragraph" w:customStyle="1" w:styleId="0F63081CCB494B15BC8CC95171A19EC6">
    <w:name w:val="0F63081CCB494B15BC8CC95171A19EC6"/>
  </w:style>
  <w:style w:type="paragraph" w:customStyle="1" w:styleId="7043181A764B457CB8E59184FB9890C4">
    <w:name w:val="7043181A764B457CB8E59184FB9890C4"/>
  </w:style>
  <w:style w:type="paragraph" w:customStyle="1" w:styleId="1364E59FF2B94303B8B6E15A093F2563">
    <w:name w:val="1364E59FF2B94303B8B6E15A093F2563"/>
  </w:style>
  <w:style w:type="paragraph" w:customStyle="1" w:styleId="6061A491C47B4A49803EBA34DAF3800D">
    <w:name w:val="6061A491C47B4A49803EBA34DAF3800D"/>
  </w:style>
  <w:style w:type="paragraph" w:customStyle="1" w:styleId="8EDCE3F398C24594B3033AE11C0520A3">
    <w:name w:val="8EDCE3F398C24594B3033AE11C0520A3"/>
  </w:style>
  <w:style w:type="paragraph" w:customStyle="1" w:styleId="C23D66AEFA7646C1B889B9A4EDFBBBCE">
    <w:name w:val="C23D66AEFA7646C1B889B9A4EDFBBBCE"/>
  </w:style>
  <w:style w:type="paragraph" w:customStyle="1" w:styleId="06D9C17D462B4C959296A220B2EB8D74">
    <w:name w:val="06D9C17D462B4C959296A220B2EB8D74"/>
  </w:style>
  <w:style w:type="paragraph" w:customStyle="1" w:styleId="B0636EC09D454541923B8F2F7C9D4D59">
    <w:name w:val="B0636EC09D454541923B8F2F7C9D4D59"/>
  </w:style>
  <w:style w:type="paragraph" w:customStyle="1" w:styleId="1666609F1BAD4C3B8F781EA169E81E58">
    <w:name w:val="1666609F1BAD4C3B8F781EA169E81E58"/>
  </w:style>
  <w:style w:type="paragraph" w:customStyle="1" w:styleId="5A5B6228DE02413587820B836D5C9CD9">
    <w:name w:val="5A5B6228DE02413587820B836D5C9CD9"/>
  </w:style>
  <w:style w:type="paragraph" w:customStyle="1" w:styleId="26B677D178724BB791FB8E668FEC2115">
    <w:name w:val="26B677D178724BB791FB8E668FEC2115"/>
  </w:style>
  <w:style w:type="paragraph" w:customStyle="1" w:styleId="26845DC89CE0424B921BF827CF720CE7">
    <w:name w:val="26845DC89CE0424B921BF827CF720CE7"/>
  </w:style>
  <w:style w:type="paragraph" w:customStyle="1" w:styleId="A68310921D8F41D39F61FFFB83B1A6B8">
    <w:name w:val="A68310921D8F41D39F61FFFB83B1A6B8"/>
  </w:style>
  <w:style w:type="paragraph" w:customStyle="1" w:styleId="849A0FA5E54043E8B74EF366C0BB0322">
    <w:name w:val="849A0FA5E54043E8B74EF366C0BB0322"/>
  </w:style>
  <w:style w:type="paragraph" w:customStyle="1" w:styleId="2F3510C1427F411CAF256387B8333412">
    <w:name w:val="2F3510C1427F411CAF256387B8333412"/>
  </w:style>
  <w:style w:type="paragraph" w:customStyle="1" w:styleId="040B6BACB14847928564DCDBDC00F092">
    <w:name w:val="040B6BACB14847928564DCDBDC00F092"/>
  </w:style>
  <w:style w:type="paragraph" w:customStyle="1" w:styleId="5D7034B512794010B3523CE930F0948A">
    <w:name w:val="5D7034B512794010B3523CE930F0948A"/>
  </w:style>
  <w:style w:type="paragraph" w:customStyle="1" w:styleId="F4465FBA7B7C46E5BB132ACB2BEDE5B2">
    <w:name w:val="F4465FBA7B7C46E5BB132ACB2BEDE5B2"/>
  </w:style>
  <w:style w:type="paragraph" w:customStyle="1" w:styleId="F75C03D10344430A862F0A8AA3F9203C">
    <w:name w:val="F75C03D10344430A862F0A8AA3F9203C"/>
  </w:style>
  <w:style w:type="paragraph" w:customStyle="1" w:styleId="BD7628D369B04CB4AC91DA4C49B0DC6B">
    <w:name w:val="BD7628D369B04CB4AC91DA4C49B0DC6B"/>
  </w:style>
  <w:style w:type="paragraph" w:customStyle="1" w:styleId="BDA1B2FEA8A54237BE2458D204ED9645">
    <w:name w:val="BDA1B2FEA8A54237BE2458D204ED9645"/>
  </w:style>
  <w:style w:type="paragraph" w:customStyle="1" w:styleId="E3C10B4A589D41709A650794AA23FBC1">
    <w:name w:val="E3C10B4A589D41709A650794AA23FBC1"/>
  </w:style>
  <w:style w:type="paragraph" w:customStyle="1" w:styleId="938EADDD5B054886ADC0AB259900B408">
    <w:name w:val="938EADDD5B054886ADC0AB259900B408"/>
  </w:style>
  <w:style w:type="paragraph" w:customStyle="1" w:styleId="D1F17E572792441C8DEFA8C973443DD3">
    <w:name w:val="D1F17E572792441C8DEFA8C973443DD3"/>
  </w:style>
  <w:style w:type="paragraph" w:customStyle="1" w:styleId="36F08060C1A84F98AED8B6723FEBBE69">
    <w:name w:val="36F08060C1A84F98AED8B6723FEBBE69"/>
  </w:style>
  <w:style w:type="paragraph" w:customStyle="1" w:styleId="C72CE75AA5454E2D89BDB9C6B1AFE56B">
    <w:name w:val="C72CE75AA5454E2D89BDB9C6B1AFE56B"/>
  </w:style>
  <w:style w:type="paragraph" w:customStyle="1" w:styleId="A992FEAB90954FD0B1F1F9313A784326">
    <w:name w:val="A992FEAB90954FD0B1F1F9313A784326"/>
  </w:style>
  <w:style w:type="paragraph" w:customStyle="1" w:styleId="123E772899274FE385799622210EA3FA">
    <w:name w:val="123E772899274FE385799622210EA3FA"/>
  </w:style>
  <w:style w:type="paragraph" w:customStyle="1" w:styleId="291CD6E0B1A64E1084963471EB5EC7A5">
    <w:name w:val="291CD6E0B1A64E1084963471EB5EC7A5"/>
  </w:style>
  <w:style w:type="paragraph" w:customStyle="1" w:styleId="BE624F7E321D49559E768873B21597CE">
    <w:name w:val="BE624F7E321D49559E768873B21597CE"/>
  </w:style>
  <w:style w:type="paragraph" w:customStyle="1" w:styleId="239651409F364A99A6B8D9C08209DF4F">
    <w:name w:val="239651409F364A99A6B8D9C08209DF4F"/>
  </w:style>
  <w:style w:type="paragraph" w:customStyle="1" w:styleId="9D12C2451E5C4CDA97D3B0DA8F363DD7">
    <w:name w:val="9D12C2451E5C4CDA97D3B0DA8F363DD7"/>
  </w:style>
  <w:style w:type="paragraph" w:customStyle="1" w:styleId="8B5A56DAE6BC45578D7AF916DFA22554">
    <w:name w:val="8B5A56DAE6BC45578D7AF916DFA22554"/>
  </w:style>
  <w:style w:type="paragraph" w:customStyle="1" w:styleId="7189BF436A6A400981F60835D2843F0F">
    <w:name w:val="7189BF436A6A400981F60835D2843F0F"/>
  </w:style>
  <w:style w:type="paragraph" w:customStyle="1" w:styleId="FFF645ABEC434CD9A89772C21BACDCB7">
    <w:name w:val="FFF645ABEC434CD9A89772C21BACDCB7"/>
  </w:style>
  <w:style w:type="paragraph" w:customStyle="1" w:styleId="644BD9ABB9014BC3AE06CD4C2DFAAE46">
    <w:name w:val="644BD9ABB9014BC3AE06CD4C2DFAAE46"/>
  </w:style>
  <w:style w:type="paragraph" w:customStyle="1" w:styleId="7B9B9B7733F14E8C9D160DE75B11B37B">
    <w:name w:val="7B9B9B7733F14E8C9D160DE75B11B37B"/>
  </w:style>
  <w:style w:type="paragraph" w:customStyle="1" w:styleId="9D33FCB2E59040608275CA0D2C2437A2">
    <w:name w:val="9D33FCB2E59040608275CA0D2C2437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[international banking and financial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E3CE27-7A63-415F-8718-286BA6C0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317</TotalTime>
  <Pages>5</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Case Study</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
  <dc:creator>dell</dc:creator>
  <cp:keywords/>
  <dc:description/>
  <cp:lastModifiedBy>dell</cp:lastModifiedBy>
  <cp:revision>9</cp:revision>
  <dcterms:created xsi:type="dcterms:W3CDTF">2019-06-24T12:22:00Z</dcterms:created>
  <dcterms:modified xsi:type="dcterms:W3CDTF">2019-06-24T19:40:00Z</dcterms:modified>
</cp:coreProperties>
</file>