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786A52" w:rsidP="00786A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Capital Investment Techniques</w:t>
      </w:r>
    </w:p>
    <w:p w:rsidR="00786A52" w:rsidRP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Name</w:t>
      </w:r>
    </w:p>
    <w:p w:rsidR="00786A52" w:rsidRP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Institution</w:t>
      </w:r>
    </w:p>
    <w:p w:rsidR="00786A52" w:rsidRP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Course</w:t>
      </w:r>
    </w:p>
    <w:p w:rsidR="00786A52" w:rsidRP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Instructor’s name</w:t>
      </w:r>
    </w:p>
    <w:p w:rsidR="00786A52" w:rsidP="00786A5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6A52">
        <w:rPr>
          <w:rFonts w:ascii="Times New Roman" w:hAnsi="Times New Roman" w:cs="Times New Roman"/>
          <w:sz w:val="24"/>
          <w:szCs w:val="24"/>
        </w:rPr>
        <w:t>Date</w:t>
      </w: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RP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rPr>
          <w:rFonts w:ascii="Times New Roman" w:hAnsi="Times New Roman" w:cs="Times New Roman"/>
          <w:sz w:val="24"/>
          <w:szCs w:val="24"/>
        </w:rPr>
      </w:pPr>
    </w:p>
    <w:p w:rsidR="00786A52" w:rsidP="00786A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8D1" w:rsidP="0078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3738D1" w:rsidP="007B37DF">
      <w:pPr>
        <w:pStyle w:val="NormalWeb"/>
        <w:shd w:val="clear" w:color="auto" w:fill="FFFFFF"/>
        <w:ind w:firstLine="720"/>
      </w:pPr>
      <w:r>
        <w:t>The</w:t>
      </w:r>
      <w:r w:rsidRPr="003738D1">
        <w:t xml:space="preserve"> underlying </w:t>
      </w:r>
      <w:r>
        <w:t xml:space="preserve">concept in </w:t>
      </w:r>
      <w:r w:rsidR="00066F92">
        <w:t xml:space="preserve">the decision making of </w:t>
      </w:r>
      <w:r w:rsidRPr="003738D1">
        <w:t xml:space="preserve">capital </w:t>
      </w:r>
      <w:r w:rsidRPr="003738D1">
        <w:t>investment</w:t>
      </w:r>
      <w:r w:rsidRPr="003738D1">
        <w:t xml:space="preserve"> cost</w:t>
      </w:r>
      <w:r w:rsidRPr="003738D1">
        <w:t>-benefit analysis</w:t>
      </w:r>
      <w:r w:rsidRPr="007F1A51" w:rsidR="007F1A51">
        <w:t xml:space="preserve"> (Nijman, and </w:t>
      </w:r>
      <w:r w:rsidRPr="007F1A51" w:rsidR="007F1A51">
        <w:t>Kampfraath</w:t>
      </w:r>
      <w:r w:rsidRPr="007F1A51" w:rsidR="007F1A51">
        <w:t>)</w:t>
      </w:r>
      <w:r w:rsidRPr="003738D1">
        <w:t>.</w:t>
      </w:r>
      <w:r w:rsidR="00B64D5D">
        <w:t xml:space="preserve"> This process helps to facilitate the determination of a company’s short term and long term investments. Advertising campaigns, equipment, new machinery, new plants, research and development projects are some of </w:t>
      </w:r>
      <w:r w:rsidR="00F91A57">
        <w:t>some company components</w:t>
      </w:r>
      <w:r w:rsidR="00B64D5D">
        <w:t xml:space="preserve"> that</w:t>
      </w:r>
      <w:r w:rsidR="00F91A57">
        <w:t xml:space="preserve"> come </w:t>
      </w:r>
      <w:r w:rsidR="00B64D5D">
        <w:t xml:space="preserve">under this kind </w:t>
      </w:r>
      <w:r w:rsidR="00F91A57">
        <w:t xml:space="preserve">of capital investment appraisal. </w:t>
      </w:r>
      <w:r w:rsidR="00070364">
        <w:t xml:space="preserve">The case studies below demonstrate how different techniques </w:t>
      </w:r>
      <w:r w:rsidR="00F91A57">
        <w:t xml:space="preserve">used to determine capital investment appraisal of a business </w:t>
      </w:r>
      <w:r w:rsidR="009C5C56">
        <w:t>project (</w:t>
      </w:r>
      <w:r w:rsidRPr="009C5C56" w:rsidR="009C5C56">
        <w:t>Marić</w:t>
      </w:r>
      <w:r w:rsidR="009C5C56">
        <w:t>, 2018</w:t>
      </w:r>
      <w:r w:rsidRPr="009C5C56" w:rsidR="009C5C56">
        <w:t>)</w:t>
      </w:r>
      <w:r w:rsidR="005E2978">
        <w:t>.</w:t>
      </w:r>
    </w:p>
    <w:p w:rsidR="00A36A0D" w:rsidP="007B37DF">
      <w:pPr>
        <w:pStyle w:val="NormalWeb"/>
        <w:shd w:val="clear" w:color="auto" w:fill="FFFFFF"/>
      </w:pPr>
      <w:r>
        <w:t>Case study 1</w:t>
      </w:r>
      <w:r>
        <w:t>)</w:t>
      </w:r>
    </w:p>
    <w:p w:rsidR="002A2229" w:rsidP="007B37DF">
      <w:pPr>
        <w:pStyle w:val="NormalWeb"/>
        <w:shd w:val="clear" w:color="auto" w:fill="FFFFFF"/>
      </w:pPr>
      <w:r w:rsidRPr="00211191">
        <w:t xml:space="preserve"> A= 300,000(1+0.</w:t>
      </w:r>
      <w:r>
        <w:t>04</w:t>
      </w:r>
      <w:r w:rsidRPr="00211191">
        <w:t>) ^</w:t>
      </w:r>
      <w:r w:rsidRPr="00211191">
        <w:t>5</w:t>
      </w:r>
    </w:p>
    <w:p w:rsidR="00211191" w:rsidP="007B37DF">
      <w:pPr>
        <w:pStyle w:val="NormalWeb"/>
        <w:shd w:val="clear" w:color="auto" w:fill="FFFFFF"/>
      </w:pPr>
      <w:r>
        <w:t xml:space="preserve">A=$ 364,995.87 (amount </w:t>
      </w:r>
      <w:r w:rsidRPr="00211191">
        <w:t>in the account after five years</w:t>
      </w:r>
      <w:r>
        <w:t>)</w:t>
      </w:r>
    </w:p>
    <w:p w:rsidR="00211191" w:rsidP="000A0F11">
      <w:pPr>
        <w:pStyle w:val="NormalWeb"/>
        <w:shd w:val="clear" w:color="auto" w:fill="FFFFFF"/>
        <w:ind w:firstLine="720"/>
      </w:pPr>
      <w:r w:rsidRPr="002A2229">
        <w:t xml:space="preserve">2) </w:t>
      </w:r>
      <w:r w:rsidR="00A536F5">
        <w:t>Payback Period</w:t>
      </w:r>
    </w:p>
    <w:p w:rsidR="00A536F5" w:rsidP="007B37DF">
      <w:pPr>
        <w:pStyle w:val="NormalWeb"/>
        <w:shd w:val="clear" w:color="auto" w:fill="FFFFFF"/>
      </w:pPr>
      <w:r>
        <w:t>90,000+115,000+135,000 =340,000</w:t>
      </w:r>
    </w:p>
    <w:p w:rsidR="005B6B99" w:rsidP="007B37DF">
      <w:pPr>
        <w:pStyle w:val="NormalWeb"/>
        <w:shd w:val="clear" w:color="auto" w:fill="FFFFFF"/>
      </w:pPr>
      <w:r>
        <w:t xml:space="preserve">The </w:t>
      </w:r>
      <w:r w:rsidR="00A536F5">
        <w:t xml:space="preserve">inflows will </w:t>
      </w:r>
      <w:r>
        <w:t xml:space="preserve">get to $300,000 in </w:t>
      </w:r>
      <w:r w:rsidR="00A536F5">
        <w:t xml:space="preserve">year </w:t>
      </w:r>
      <w:r>
        <w:t>3. Thus</w:t>
      </w:r>
      <w:r w:rsidR="00A536F5">
        <w:t xml:space="preserve"> </w:t>
      </w:r>
      <w:r>
        <w:t xml:space="preserve">we will recover </w:t>
      </w:r>
      <w:r w:rsidR="00A536F5">
        <w:t xml:space="preserve">our </w:t>
      </w:r>
      <w:r>
        <w:t>initial amount in the third year.</w:t>
      </w:r>
    </w:p>
    <w:p w:rsidR="005B6B99" w:rsidP="000A0F11">
      <w:pPr>
        <w:pStyle w:val="NormalWeb"/>
        <w:shd w:val="clear" w:color="auto" w:fill="FFFFFF"/>
        <w:ind w:firstLine="720"/>
      </w:pPr>
      <w:r>
        <w:t>3)</w:t>
      </w:r>
    </w:p>
    <w:tbl>
      <w:tblPr>
        <w:tblStyle w:val="TableGrid"/>
        <w:tblW w:w="0" w:type="auto"/>
        <w:tblLook w:val="04A0"/>
      </w:tblPr>
      <w:tblGrid>
        <w:gridCol w:w="803"/>
        <w:gridCol w:w="1807"/>
        <w:gridCol w:w="1807"/>
        <w:gridCol w:w="1807"/>
        <w:gridCol w:w="1807"/>
      </w:tblGrid>
      <w:tr w:rsidTr="00AE733E">
        <w:tblPrEx>
          <w:tblW w:w="0" w:type="auto"/>
          <w:tblLook w:val="04A0"/>
        </w:tblPrEx>
        <w:trPr>
          <w:trHeight w:val="917"/>
        </w:trPr>
        <w:tc>
          <w:tcPr>
            <w:tcW w:w="803" w:type="dxa"/>
          </w:tcPr>
          <w:p w:rsidR="00AE733E" w:rsidP="00EA389E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  <w:tabs>
                <w:tab w:val="left" w:pos="1290"/>
              </w:tabs>
            </w:pPr>
            <w:r>
              <w:t>A</w:t>
            </w:r>
            <w:r w:rsidR="00EA389E">
              <w:t>m</w:t>
            </w:r>
            <w:r>
              <w:t>nt</w:t>
            </w:r>
            <w:r>
              <w:tab/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Discounting factor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Discounted amount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Accumulative inflow cash</w:t>
            </w:r>
          </w:p>
        </w:tc>
      </w:tr>
      <w:tr w:rsidTr="00AE733E">
        <w:tblPrEx>
          <w:tblW w:w="0" w:type="auto"/>
          <w:tblLook w:val="04A0"/>
        </w:tblPrEx>
        <w:trPr>
          <w:trHeight w:val="405"/>
        </w:trPr>
        <w:tc>
          <w:tcPr>
            <w:tcW w:w="803" w:type="dxa"/>
          </w:tcPr>
          <w:p w:rsidR="00AE733E" w:rsidP="007B37DF">
            <w:pPr>
              <w:pStyle w:val="NormalWeb"/>
            </w:pPr>
            <w:r>
              <w:t>One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 xml:space="preserve"> 90,000</w:t>
            </w:r>
            <w:r w:rsidR="00EA389E">
              <w:t>.00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1.06</w:t>
            </w:r>
            <w:r w:rsidR="00EA389E">
              <w:t>0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84,905.66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84,905.66</w:t>
            </w:r>
          </w:p>
        </w:tc>
      </w:tr>
      <w:tr w:rsidTr="00AE733E">
        <w:tblPrEx>
          <w:tblW w:w="0" w:type="auto"/>
          <w:tblLook w:val="04A0"/>
        </w:tblPrEx>
        <w:trPr>
          <w:trHeight w:val="394"/>
        </w:trPr>
        <w:tc>
          <w:tcPr>
            <w:tcW w:w="803" w:type="dxa"/>
          </w:tcPr>
          <w:p w:rsidR="00AE733E" w:rsidP="007B37DF">
            <w:pPr>
              <w:pStyle w:val="NormalWeb"/>
            </w:pPr>
            <w:r>
              <w:t>Two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115,000</w:t>
            </w:r>
            <w:r w:rsidR="00EA389E">
              <w:t>.00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1.124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102,313.17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187,218.83</w:t>
            </w:r>
          </w:p>
        </w:tc>
      </w:tr>
      <w:tr w:rsidTr="00AE733E">
        <w:tblPrEx>
          <w:tblW w:w="0" w:type="auto"/>
          <w:tblLook w:val="04A0"/>
        </w:tblPrEx>
        <w:trPr>
          <w:trHeight w:val="70"/>
        </w:trPr>
        <w:tc>
          <w:tcPr>
            <w:tcW w:w="803" w:type="dxa"/>
          </w:tcPr>
          <w:p w:rsidR="00AE733E" w:rsidP="007B37DF">
            <w:pPr>
              <w:pStyle w:val="NormalWeb"/>
            </w:pPr>
            <w:r>
              <w:t>Three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135,000</w:t>
            </w:r>
            <w:r w:rsidR="00EA389E">
              <w:t>.00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1.191016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113,348.60</w:t>
            </w:r>
          </w:p>
        </w:tc>
        <w:tc>
          <w:tcPr>
            <w:tcW w:w="1807" w:type="dxa"/>
          </w:tcPr>
          <w:p w:rsidR="00AE733E" w:rsidP="007B37DF">
            <w:pPr>
              <w:pStyle w:val="NormalWeb"/>
            </w:pPr>
            <w:r>
              <w:t>187,218.83</w:t>
            </w:r>
          </w:p>
        </w:tc>
      </w:tr>
    </w:tbl>
    <w:p w:rsidR="00C77D4D" w:rsidP="007B37DF">
      <w:pPr>
        <w:pStyle w:val="NormalWeb"/>
        <w:shd w:val="clear" w:color="auto" w:fill="FFFFFF"/>
        <w:ind w:firstLine="720"/>
      </w:pPr>
      <w:r w:rsidRPr="00E60519">
        <w:t xml:space="preserve">4) </w:t>
      </w:r>
    </w:p>
    <w:p w:rsidR="00E60519" w:rsidP="007B37DF">
      <w:pPr>
        <w:pStyle w:val="NormalWeb"/>
        <w:shd w:val="clear" w:color="auto" w:fill="FFFFFF"/>
        <w:ind w:firstLine="720"/>
      </w:pPr>
      <w:r>
        <w:t>NPV</w:t>
      </w:r>
    </w:p>
    <w:tbl>
      <w:tblPr>
        <w:tblStyle w:val="TableGrid"/>
        <w:tblW w:w="0" w:type="auto"/>
        <w:tblLook w:val="04A0"/>
      </w:tblPr>
      <w:tblGrid>
        <w:gridCol w:w="1811"/>
        <w:gridCol w:w="1827"/>
        <w:gridCol w:w="2026"/>
        <w:gridCol w:w="1842"/>
        <w:gridCol w:w="1844"/>
      </w:tblGrid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C</w:t>
            </w:r>
            <w:r>
              <w:t>ash</w:t>
            </w:r>
            <w:r>
              <w:t xml:space="preserve"> inflow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 w:rsidRPr="00E60519">
              <w:t>PVIF$1=1/(1+r)^n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Discounted</w:t>
            </w:r>
            <w:r>
              <w:t xml:space="preserve"> inflow</w:t>
            </w:r>
            <w:r>
              <w:t xml:space="preserve"> cash</w:t>
            </w:r>
          </w:p>
        </w:tc>
        <w:tc>
          <w:tcPr>
            <w:tcW w:w="1844" w:type="dxa"/>
          </w:tcPr>
          <w:p w:rsidR="00E60519" w:rsidP="00BC72F8">
            <w:pPr>
              <w:pStyle w:val="NormalWeb"/>
            </w:pPr>
            <w:r>
              <w:t>Acc</w:t>
            </w:r>
            <w:r>
              <w:t>umulative</w:t>
            </w:r>
          </w:p>
        </w:tc>
      </w:tr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One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90,000</w:t>
            </w:r>
            <w:r w:rsidR="00EA389E">
              <w:t>.00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>
              <w:t>0.9434</w:t>
            </w:r>
            <w:r w:rsidR="00C77D4D">
              <w:t>00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84,905.66</w:t>
            </w:r>
          </w:p>
        </w:tc>
        <w:tc>
          <w:tcPr>
            <w:tcW w:w="1844" w:type="dxa"/>
          </w:tcPr>
          <w:p w:rsidR="00E60519" w:rsidP="007B37DF">
            <w:pPr>
              <w:pStyle w:val="NormalWeb"/>
            </w:pPr>
            <w:r>
              <w:t>84,905.66</w:t>
            </w:r>
          </w:p>
        </w:tc>
      </w:tr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Two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115,000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>
              <w:t>0.8900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102,349.59</w:t>
            </w:r>
          </w:p>
        </w:tc>
        <w:tc>
          <w:tcPr>
            <w:tcW w:w="1844" w:type="dxa"/>
          </w:tcPr>
          <w:p w:rsidR="00E60519" w:rsidP="007B37DF">
            <w:pPr>
              <w:pStyle w:val="NormalWeb"/>
            </w:pPr>
            <w:r>
              <w:t>187,255.25</w:t>
            </w:r>
          </w:p>
        </w:tc>
      </w:tr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Three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135,000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>
              <w:t>0.8396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113,348.60</w:t>
            </w:r>
          </w:p>
        </w:tc>
        <w:tc>
          <w:tcPr>
            <w:tcW w:w="1844" w:type="dxa"/>
          </w:tcPr>
          <w:p w:rsidR="00E60519" w:rsidP="007B37DF">
            <w:pPr>
              <w:pStyle w:val="NormalWeb"/>
            </w:pPr>
            <w:r>
              <w:t>300,603.85</w:t>
            </w:r>
          </w:p>
        </w:tc>
      </w:tr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Four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110,000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>
              <w:t>0.7921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87,130.30</w:t>
            </w:r>
          </w:p>
        </w:tc>
        <w:tc>
          <w:tcPr>
            <w:tcW w:w="1844" w:type="dxa"/>
          </w:tcPr>
          <w:p w:rsidR="00E60519" w:rsidP="007B37DF">
            <w:pPr>
              <w:pStyle w:val="NormalWeb"/>
            </w:pPr>
            <w:r>
              <w:t>387,734.15</w:t>
            </w:r>
          </w:p>
        </w:tc>
      </w:tr>
      <w:tr w:rsidTr="000D379B">
        <w:tblPrEx>
          <w:tblW w:w="0" w:type="auto"/>
          <w:tblLook w:val="04A0"/>
        </w:tblPrEx>
        <w:tc>
          <w:tcPr>
            <w:tcW w:w="1811" w:type="dxa"/>
          </w:tcPr>
          <w:p w:rsidR="00E60519" w:rsidP="007B37DF">
            <w:pPr>
              <w:pStyle w:val="NormalWeb"/>
            </w:pPr>
            <w:r>
              <w:t>F</w:t>
            </w:r>
            <w:r w:rsidR="00EA389E">
              <w:t>ive</w:t>
            </w:r>
          </w:p>
        </w:tc>
        <w:tc>
          <w:tcPr>
            <w:tcW w:w="1827" w:type="dxa"/>
          </w:tcPr>
          <w:p w:rsidR="00E60519" w:rsidP="007B37DF">
            <w:pPr>
              <w:pStyle w:val="NormalWeb"/>
            </w:pPr>
            <w:r>
              <w:t>90,000</w:t>
            </w:r>
          </w:p>
        </w:tc>
        <w:tc>
          <w:tcPr>
            <w:tcW w:w="2026" w:type="dxa"/>
          </w:tcPr>
          <w:p w:rsidR="00E60519" w:rsidP="007B37DF">
            <w:pPr>
              <w:pStyle w:val="NormalWeb"/>
            </w:pPr>
            <w:r>
              <w:t>0.7373</w:t>
            </w:r>
          </w:p>
        </w:tc>
        <w:tc>
          <w:tcPr>
            <w:tcW w:w="1842" w:type="dxa"/>
          </w:tcPr>
          <w:p w:rsidR="00E60519" w:rsidP="007B37DF">
            <w:pPr>
              <w:pStyle w:val="NormalWeb"/>
            </w:pPr>
            <w:r>
              <w:t>67,253.24</w:t>
            </w:r>
          </w:p>
        </w:tc>
        <w:tc>
          <w:tcPr>
            <w:tcW w:w="1844" w:type="dxa"/>
          </w:tcPr>
          <w:p w:rsidR="00E60519" w:rsidP="007B37DF">
            <w:pPr>
              <w:pStyle w:val="NormalWeb"/>
            </w:pPr>
            <w:r>
              <w:t>454,987.39</w:t>
            </w:r>
          </w:p>
        </w:tc>
      </w:tr>
    </w:tbl>
    <w:p w:rsidR="00C76D7D" w:rsidP="007B37DF">
      <w:pPr>
        <w:pStyle w:val="NormalWeb"/>
        <w:shd w:val="clear" w:color="auto" w:fill="FFFFFF"/>
      </w:pPr>
      <w:r w:rsidRPr="00E60519">
        <w:t>present value</w:t>
      </w:r>
      <w:r>
        <w:t xml:space="preserve"> (</w:t>
      </w:r>
      <w:r>
        <w:t>pv</w:t>
      </w:r>
      <w:r>
        <w:t>)</w:t>
      </w:r>
      <w:r w:rsidRPr="00E60519">
        <w:t xml:space="preserve"> of total </w:t>
      </w:r>
      <w:r>
        <w:t>inflows =$ 454,987.39
</w:t>
      </w:r>
    </w:p>
    <w:p w:rsidR="00E60519" w:rsidP="007B37DF">
      <w:pPr>
        <w:pStyle w:val="NormalWeb"/>
        <w:shd w:val="clear" w:color="auto" w:fill="FFFFFF"/>
      </w:pPr>
      <w:r w:rsidRPr="000D379B">
        <w:t>N</w:t>
      </w:r>
      <w:r w:rsidR="00C76D7D">
        <w:t xml:space="preserve">et </w:t>
      </w:r>
      <w:r w:rsidRPr="000D379B">
        <w:t>P</w:t>
      </w:r>
      <w:r w:rsidR="00C76D7D">
        <w:t xml:space="preserve">resent </w:t>
      </w:r>
      <w:r w:rsidRPr="000D379B">
        <w:t>V</w:t>
      </w:r>
      <w:r w:rsidR="00C76D7D">
        <w:t>alue</w:t>
      </w:r>
      <w:r w:rsidR="009E3486">
        <w:t xml:space="preserve"> </w:t>
      </w:r>
      <w:r w:rsidR="00C76D7D">
        <w:t xml:space="preserve"> =</w:t>
      </w:r>
      <w:r w:rsidR="00C76D7D">
        <w:t>$(454,987.39-300,000</w:t>
      </w:r>
      <w:r w:rsidR="009E3486">
        <w:t>.00</w:t>
      </w:r>
      <w:r w:rsidR="00C76D7D">
        <w:t>)</w:t>
      </w:r>
    </w:p>
    <w:p w:rsidR="00C76D7D" w:rsidP="007B37DF">
      <w:pPr>
        <w:pStyle w:val="NormalWeb"/>
        <w:shd w:val="clear" w:color="auto" w:fill="FFFFFF"/>
      </w:pPr>
      <w:r>
        <w:t>=$154,987.39</w:t>
      </w:r>
    </w:p>
    <w:p w:rsidR="007A680C" w:rsidP="000A0F11">
      <w:pPr>
        <w:pStyle w:val="NormalWeb"/>
        <w:shd w:val="clear" w:color="auto" w:fill="FFFFFF"/>
        <w:ind w:firstLine="720"/>
      </w:pPr>
      <w:r w:rsidRPr="007A680C">
        <w:t xml:space="preserve">5) </w:t>
      </w:r>
      <w:r>
        <w:t>If I would</w:t>
      </w:r>
      <w:r w:rsidRPr="007A680C">
        <w:t xml:space="preserve"> leave the money </w:t>
      </w:r>
      <w:r>
        <w:t xml:space="preserve">for five years </w:t>
      </w:r>
      <w:r w:rsidR="0059583E">
        <w:t>in the bank but get</w:t>
      </w:r>
      <w:r>
        <w:t xml:space="preserve"> </w:t>
      </w:r>
      <w:r w:rsidRPr="007A680C">
        <w:t>$</w:t>
      </w:r>
      <w:r w:rsidR="0059583E">
        <w:t xml:space="preserve"> 364,995.87, ending</w:t>
      </w:r>
      <w:r w:rsidR="0059583E">
        <w:t xml:space="preserve"> up</w:t>
      </w:r>
      <w:r w:rsidR="00A36A0D">
        <w:t xml:space="preserve"> </w:t>
      </w:r>
      <w:r w:rsidR="0059583E">
        <w:t xml:space="preserve">short of </w:t>
      </w:r>
      <w:r w:rsidR="00202C09">
        <w:t>85,004.13</w:t>
      </w:r>
      <w:r w:rsidR="0059583E">
        <w:t xml:space="preserve"> but when I undertook a </w:t>
      </w:r>
      <w:r w:rsidRPr="001D6767" w:rsidR="001D6767">
        <w:t>p</w:t>
      </w:r>
      <w:r w:rsidR="001D6767">
        <w:t>roject I would get $ 454,987.39</w:t>
      </w:r>
      <w:r w:rsidRPr="001D6767" w:rsidR="001D6767">
        <w:t xml:space="preserve"> </w:t>
      </w:r>
      <w:r w:rsidR="001D6767">
        <w:t xml:space="preserve">after 5 years which is $ 154,987.39 </w:t>
      </w:r>
      <w:r w:rsidRPr="001D6767" w:rsidR="001D6767">
        <w:t>more.</w:t>
      </w:r>
    </w:p>
    <w:p w:rsidR="007A680C" w:rsidP="007B37DF">
      <w:pPr>
        <w:pStyle w:val="NormalWeb"/>
        <w:shd w:val="clear" w:color="auto" w:fill="FFFFFF"/>
      </w:pPr>
      <w:r>
        <w:t>Case study 2</w:t>
      </w:r>
    </w:p>
    <w:p w:rsidR="0083398C" w:rsidP="007B37DF">
      <w:pPr>
        <w:pStyle w:val="NormalWeb"/>
        <w:shd w:val="clear" w:color="auto" w:fill="FFFFFF"/>
        <w:ind w:firstLine="720"/>
      </w:pPr>
      <w:r>
        <w:t>A)</w:t>
      </w:r>
    </w:p>
    <w:p w:rsidR="0083398C" w:rsidP="007B37DF">
      <w:pPr>
        <w:pStyle w:val="NormalWeb"/>
        <w:shd w:val="clear" w:color="auto" w:fill="FFFFFF"/>
      </w:pPr>
      <w:r>
        <w:t>N</w:t>
      </w:r>
      <w:r>
        <w:t>BP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Tr="0083398C">
        <w:tblPrEx>
          <w:tblW w:w="0" w:type="auto"/>
          <w:tblLook w:val="04A0"/>
        </w:tblPrEx>
        <w:tc>
          <w:tcPr>
            <w:tcW w:w="3116" w:type="dxa"/>
          </w:tcPr>
          <w:p w:rsidR="0083398C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Amnt</w:t>
            </w:r>
            <w:r>
              <w:t xml:space="preserve"> of</w:t>
            </w:r>
            <w:r w:rsidR="0059583E">
              <w:t xml:space="preserve"> </w:t>
            </w:r>
            <w:r>
              <w:t>Savings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cumulative</w:t>
            </w:r>
            <w:r>
              <w:t xml:space="preserve"> Savings</w:t>
            </w:r>
          </w:p>
        </w:tc>
      </w:tr>
      <w:tr w:rsidTr="0083398C">
        <w:tblPrEx>
          <w:tblW w:w="0" w:type="auto"/>
          <w:tblLook w:val="04A0"/>
        </w:tblPrEx>
        <w:tc>
          <w:tcPr>
            <w:tcW w:w="3116" w:type="dxa"/>
          </w:tcPr>
          <w:p w:rsidR="0083398C" w:rsidP="007B37DF">
            <w:pPr>
              <w:pStyle w:val="NormalWeb"/>
            </w:pPr>
            <w:r>
              <w:t>One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60,000</w:t>
            </w:r>
            <w:r w:rsidR="003216B4">
              <w:t>.00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60,000</w:t>
            </w:r>
            <w:r w:rsidR="003216B4">
              <w:t>.00</w:t>
            </w:r>
          </w:p>
        </w:tc>
      </w:tr>
      <w:tr w:rsidTr="0083398C">
        <w:tblPrEx>
          <w:tblW w:w="0" w:type="auto"/>
          <w:tblLook w:val="04A0"/>
        </w:tblPrEx>
        <w:tc>
          <w:tcPr>
            <w:tcW w:w="3116" w:type="dxa"/>
          </w:tcPr>
          <w:p w:rsidR="0083398C" w:rsidP="007B37DF">
            <w:pPr>
              <w:pStyle w:val="NormalWeb"/>
            </w:pPr>
            <w:r>
              <w:t>Two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60,000</w:t>
            </w:r>
            <w:r w:rsidR="003216B4">
              <w:t>.00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120,000</w:t>
            </w:r>
            <w:r w:rsidR="003216B4">
              <w:t>.00</w:t>
            </w:r>
          </w:p>
        </w:tc>
      </w:tr>
      <w:tr w:rsidTr="0083398C">
        <w:tblPrEx>
          <w:tblW w:w="0" w:type="auto"/>
          <w:tblLook w:val="04A0"/>
        </w:tblPrEx>
        <w:tc>
          <w:tcPr>
            <w:tcW w:w="3116" w:type="dxa"/>
          </w:tcPr>
          <w:p w:rsidR="0083398C" w:rsidP="007B37DF">
            <w:pPr>
              <w:pStyle w:val="NormalWeb"/>
            </w:pPr>
            <w:r>
              <w:t>T</w:t>
            </w:r>
            <w:r w:rsidR="003216B4">
              <w:t>hree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60,000</w:t>
            </w:r>
            <w:r w:rsidR="003216B4">
              <w:t>.00</w:t>
            </w:r>
          </w:p>
        </w:tc>
        <w:tc>
          <w:tcPr>
            <w:tcW w:w="3117" w:type="dxa"/>
          </w:tcPr>
          <w:p w:rsidR="0083398C" w:rsidP="007B37DF">
            <w:pPr>
              <w:pStyle w:val="NormalWeb"/>
            </w:pPr>
            <w:r>
              <w:t>180,000</w:t>
            </w:r>
            <w:r w:rsidR="003216B4">
              <w:t>.00</w:t>
            </w:r>
          </w:p>
        </w:tc>
      </w:tr>
    </w:tbl>
    <w:p w:rsidR="00103AEA" w:rsidP="007B37DF">
      <w:pPr>
        <w:pStyle w:val="NormalWeb"/>
        <w:shd w:val="clear" w:color="auto" w:fill="FFFFFF"/>
      </w:pPr>
      <w:r>
        <w:t>PBP =60</w:t>
      </w:r>
      <w:r w:rsidRPr="00D62AC0">
        <w:t>,</w:t>
      </w:r>
      <w:r>
        <w:t>000</w:t>
      </w:r>
      <w:r>
        <w:t>/12</w:t>
      </w:r>
      <w:r w:rsidR="003216B4">
        <w:t xml:space="preserve"> </w:t>
      </w:r>
      <w:r>
        <w:t>=</w:t>
      </w:r>
      <w:r w:rsidR="003216B4">
        <w:t xml:space="preserve"> </w:t>
      </w:r>
      <w:r>
        <w:t>5,000</w:t>
      </w:r>
    </w:p>
    <w:p w:rsidR="00103AEA" w:rsidP="007B37DF">
      <w:pPr>
        <w:pStyle w:val="NormalWeb"/>
        <w:shd w:val="clear" w:color="auto" w:fill="FFFFFF"/>
      </w:pPr>
      <w:r>
        <w:t>PBP =</w:t>
      </w:r>
      <w:r w:rsidR="001843D1">
        <w:t xml:space="preserve"> 2 years and 9 </w:t>
      </w:r>
      <w:r w:rsidRPr="00103AEA">
        <w:t>months</w:t>
      </w:r>
      <w:r w:rsidR="001843D1">
        <w:t>.</w:t>
      </w:r>
    </w:p>
    <w:p w:rsidR="00E84C3F" w:rsidP="007B37DF">
      <w:pPr>
        <w:pStyle w:val="NormalWeb"/>
        <w:shd w:val="clear" w:color="auto" w:fill="FFFFFF"/>
      </w:pPr>
      <w:r>
        <w:t>D</w:t>
      </w:r>
      <w:r>
        <w:t>BP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303ED8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E84C3F" w:rsidP="00620B57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E84C3F" w:rsidP="007B37DF">
            <w:pPr>
              <w:pStyle w:val="NormalWeb"/>
            </w:pPr>
            <w:r>
              <w:t>A</w:t>
            </w:r>
            <w:r w:rsidR="00620B57">
              <w:t>m</w:t>
            </w:r>
            <w:r>
              <w:t>nt</w:t>
            </w:r>
          </w:p>
        </w:tc>
        <w:tc>
          <w:tcPr>
            <w:tcW w:w="2026" w:type="dxa"/>
          </w:tcPr>
          <w:p w:rsidR="00E84C3F" w:rsidP="007B37DF">
            <w:pPr>
              <w:pStyle w:val="NormalWeb"/>
            </w:pPr>
            <w:r w:rsidRPr="00E60519">
              <w:t>PVIF$1=1/(1+r)^n</w:t>
            </w:r>
          </w:p>
        </w:tc>
        <w:tc>
          <w:tcPr>
            <w:tcW w:w="1841" w:type="dxa"/>
          </w:tcPr>
          <w:p w:rsidR="00E84C3F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E84C3F" w:rsidP="007B37DF">
            <w:pPr>
              <w:pStyle w:val="NormalWeb"/>
            </w:pPr>
            <w:r>
              <w:t>cumulative</w:t>
            </w:r>
          </w:p>
        </w:tc>
      </w:tr>
      <w:tr w:rsidTr="00303ED8">
        <w:tblPrEx>
          <w:tblW w:w="0" w:type="auto"/>
          <w:tblLook w:val="04A0"/>
        </w:tblPrEx>
        <w:tc>
          <w:tcPr>
            <w:tcW w:w="1808" w:type="dxa"/>
          </w:tcPr>
          <w:p w:rsidR="00E84C3F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E84C3F" w:rsidP="007B37DF">
            <w:pPr>
              <w:pStyle w:val="NormalWeb"/>
            </w:pPr>
            <w:r>
              <w:t>60,000</w:t>
            </w:r>
            <w:r w:rsidR="00620B57">
              <w:t>.00</w:t>
            </w:r>
          </w:p>
        </w:tc>
        <w:tc>
          <w:tcPr>
            <w:tcW w:w="2026" w:type="dxa"/>
          </w:tcPr>
          <w:p w:rsidR="00E84C3F" w:rsidP="007B37DF">
            <w:pPr>
              <w:pStyle w:val="NormalWeb"/>
            </w:pPr>
            <w:r>
              <w:t>1.1</w:t>
            </w:r>
            <w:r w:rsidR="00620B57">
              <w:t>0</w:t>
            </w:r>
          </w:p>
        </w:tc>
        <w:tc>
          <w:tcPr>
            <w:tcW w:w="1841" w:type="dxa"/>
          </w:tcPr>
          <w:p w:rsidR="00E84C3F" w:rsidP="007B37DF">
            <w:pPr>
              <w:pStyle w:val="NormalWeb"/>
            </w:pPr>
            <w:r>
              <w:t>54,545.45</w:t>
            </w:r>
          </w:p>
        </w:tc>
        <w:tc>
          <w:tcPr>
            <w:tcW w:w="1850" w:type="dxa"/>
          </w:tcPr>
          <w:p w:rsidR="00E84C3F" w:rsidP="007B37DF">
            <w:pPr>
              <w:pStyle w:val="NormalWeb"/>
            </w:pPr>
            <w:r>
              <w:t>54,545.45</w:t>
            </w:r>
          </w:p>
        </w:tc>
      </w:tr>
      <w:tr w:rsidTr="00303ED8">
        <w:tblPrEx>
          <w:tblW w:w="0" w:type="auto"/>
          <w:tblLook w:val="04A0"/>
        </w:tblPrEx>
        <w:tc>
          <w:tcPr>
            <w:tcW w:w="1808" w:type="dxa"/>
          </w:tcPr>
          <w:p w:rsidR="00E84C3F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E84C3F" w:rsidP="007B37DF">
            <w:pPr>
              <w:pStyle w:val="NormalWeb"/>
            </w:pPr>
            <w:r>
              <w:t>60,000</w:t>
            </w:r>
            <w:r w:rsidR="00620B57">
              <w:t>.00</w:t>
            </w:r>
          </w:p>
        </w:tc>
        <w:tc>
          <w:tcPr>
            <w:tcW w:w="2026" w:type="dxa"/>
          </w:tcPr>
          <w:p w:rsidR="00E84C3F" w:rsidP="007B37DF">
            <w:pPr>
              <w:pStyle w:val="NormalWeb"/>
            </w:pPr>
            <w:r>
              <w:t>1.21</w:t>
            </w:r>
          </w:p>
        </w:tc>
        <w:tc>
          <w:tcPr>
            <w:tcW w:w="1841" w:type="dxa"/>
          </w:tcPr>
          <w:p w:rsidR="00E84C3F" w:rsidP="007B37DF">
            <w:pPr>
              <w:pStyle w:val="NormalWeb"/>
            </w:pPr>
            <w:r>
              <w:t>49,586.78</w:t>
            </w:r>
          </w:p>
        </w:tc>
        <w:tc>
          <w:tcPr>
            <w:tcW w:w="1850" w:type="dxa"/>
          </w:tcPr>
          <w:p w:rsidR="00E84C3F" w:rsidP="007B37DF">
            <w:pPr>
              <w:pStyle w:val="NormalWeb"/>
            </w:pPr>
            <w:r>
              <w:t>104,132.23</w:t>
            </w:r>
          </w:p>
        </w:tc>
      </w:tr>
      <w:tr w:rsidTr="00303ED8">
        <w:tblPrEx>
          <w:tblW w:w="0" w:type="auto"/>
          <w:tblLook w:val="04A0"/>
        </w:tblPrEx>
        <w:tc>
          <w:tcPr>
            <w:tcW w:w="1808" w:type="dxa"/>
          </w:tcPr>
          <w:p w:rsidR="00E84C3F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E84C3F" w:rsidP="007B37DF">
            <w:pPr>
              <w:pStyle w:val="NormalWeb"/>
            </w:pPr>
            <w:r>
              <w:t>60,000</w:t>
            </w:r>
            <w:r w:rsidR="00620B57">
              <w:t>.00</w:t>
            </w:r>
          </w:p>
        </w:tc>
        <w:tc>
          <w:tcPr>
            <w:tcW w:w="2026" w:type="dxa"/>
          </w:tcPr>
          <w:p w:rsidR="00E84C3F" w:rsidP="007B37DF">
            <w:pPr>
              <w:pStyle w:val="NormalWeb"/>
            </w:pPr>
            <w:r>
              <w:t>1.331</w:t>
            </w:r>
          </w:p>
        </w:tc>
        <w:tc>
          <w:tcPr>
            <w:tcW w:w="1841" w:type="dxa"/>
          </w:tcPr>
          <w:p w:rsidR="00E84C3F" w:rsidP="007B37DF">
            <w:pPr>
              <w:pStyle w:val="NormalWeb"/>
            </w:pPr>
            <w:r>
              <w:t>45,078.89</w:t>
            </w:r>
          </w:p>
        </w:tc>
        <w:tc>
          <w:tcPr>
            <w:tcW w:w="1850" w:type="dxa"/>
          </w:tcPr>
          <w:p w:rsidR="00E84C3F" w:rsidP="007B37DF">
            <w:pPr>
              <w:pStyle w:val="NormalWeb"/>
            </w:pPr>
            <w:r>
              <w:t>149,211.12</w:t>
            </w:r>
          </w:p>
        </w:tc>
      </w:tr>
    </w:tbl>
    <w:p w:rsidR="00903873" w:rsidP="007B37DF">
      <w:pPr>
        <w:pStyle w:val="NormalWeb"/>
        <w:shd w:val="clear" w:color="auto" w:fill="FFFFFF"/>
      </w:pPr>
      <w:r>
        <w:t>The PBP is 165,000-104,132.23=60,867.77</w:t>
      </w:r>
    </w:p>
    <w:p w:rsidR="006B4FBF" w:rsidP="007B37DF">
      <w:pPr>
        <w:pStyle w:val="NormalWeb"/>
        <w:shd w:val="clear" w:color="auto" w:fill="FFFFFF"/>
      </w:pPr>
      <w:r>
        <w:t xml:space="preserve">Assuming the 45,078.89 </w:t>
      </w:r>
      <w:r w:rsidRPr="00303ED8" w:rsidR="00303ED8">
        <w:t xml:space="preserve">was </w:t>
      </w:r>
      <w:r>
        <w:t xml:space="preserve">evenly </w:t>
      </w:r>
      <w:r w:rsidRPr="00303ED8" w:rsidR="00303ED8">
        <w:t xml:space="preserve">accrued </w:t>
      </w:r>
      <w:r w:rsidR="008E7DFE">
        <w:t>60,867.77</w:t>
      </w:r>
      <w:r>
        <w:t>/3,756.57=16.2</w:t>
      </w:r>
    </w:p>
    <w:p w:rsidR="00E84C3F" w:rsidP="007B37DF">
      <w:pPr>
        <w:pStyle w:val="NormalWeb"/>
        <w:shd w:val="clear" w:color="auto" w:fill="FFFFFF"/>
      </w:pPr>
      <w:r>
        <w:t>PBP= 3 years</w:t>
      </w:r>
      <w:r w:rsidR="00A02771">
        <w:t xml:space="preserve"> 4</w:t>
      </w:r>
      <w:r w:rsidR="006B4FBF">
        <w:t>.2 months</w:t>
      </w:r>
    </w:p>
    <w:p w:rsidR="008E7DFE" w:rsidP="007B37DF">
      <w:pPr>
        <w:pStyle w:val="NormalWeb"/>
        <w:shd w:val="clear" w:color="auto" w:fill="FFFFFF"/>
      </w:pPr>
      <w:r>
        <w:t>NPV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8E7DFE" w:rsidP="007B37DF">
            <w:pPr>
              <w:pStyle w:val="NormalWeb"/>
            </w:pPr>
            <w:r>
              <w:t>Year</w:t>
            </w:r>
          </w:p>
        </w:tc>
        <w:tc>
          <w:tcPr>
            <w:tcW w:w="1825" w:type="dxa"/>
          </w:tcPr>
          <w:p w:rsidR="008E7DFE" w:rsidP="007B37DF">
            <w:pPr>
              <w:pStyle w:val="NormalWeb"/>
            </w:pPr>
            <w:r>
              <w:t>Amount</w:t>
            </w:r>
          </w:p>
        </w:tc>
        <w:tc>
          <w:tcPr>
            <w:tcW w:w="2026" w:type="dxa"/>
          </w:tcPr>
          <w:p w:rsidR="008E7DFE" w:rsidP="007B37DF">
            <w:pPr>
              <w:pStyle w:val="NormalWeb"/>
            </w:pPr>
            <w:r w:rsidRPr="00E60519">
              <w:t>PVIF$1=1/(1+r)^n</w:t>
            </w:r>
          </w:p>
        </w:tc>
        <w:tc>
          <w:tcPr>
            <w:tcW w:w="1841" w:type="dxa"/>
          </w:tcPr>
          <w:p w:rsidR="008E7DFE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8E7DFE" w:rsidP="007B37DF">
            <w:pPr>
              <w:pStyle w:val="NormalWeb"/>
            </w:pPr>
            <w:r>
              <w:t>cumulative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F81DB9" w:rsidP="007B37DF">
            <w:pPr>
              <w:pStyle w:val="NormalWeb"/>
            </w:pPr>
            <w:r>
              <w:t>0</w:t>
            </w:r>
          </w:p>
        </w:tc>
        <w:tc>
          <w:tcPr>
            <w:tcW w:w="1825" w:type="dxa"/>
          </w:tcPr>
          <w:p w:rsidR="00F81DB9" w:rsidP="007B37DF">
            <w:pPr>
              <w:pStyle w:val="NormalWeb"/>
            </w:pPr>
            <w:r>
              <w:t>-165,000</w:t>
            </w:r>
            <w:r w:rsidR="0018659B">
              <w:t>.00</w:t>
            </w:r>
          </w:p>
        </w:tc>
        <w:tc>
          <w:tcPr>
            <w:tcW w:w="2026" w:type="dxa"/>
          </w:tcPr>
          <w:p w:rsidR="00F81DB9" w:rsidP="007B37DF">
            <w:pPr>
              <w:pStyle w:val="NormalWeb"/>
            </w:pPr>
            <w:r>
              <w:t>1</w:t>
            </w:r>
            <w:r w:rsidR="0018659B">
              <w:t>.00</w:t>
            </w:r>
          </w:p>
        </w:tc>
        <w:tc>
          <w:tcPr>
            <w:tcW w:w="1841" w:type="dxa"/>
          </w:tcPr>
          <w:p w:rsidR="00F81DB9" w:rsidP="007B37DF">
            <w:pPr>
              <w:pStyle w:val="NormalWeb"/>
            </w:pPr>
            <w:r>
              <w:t>-165,000</w:t>
            </w:r>
            <w:r w:rsidR="0018659B">
              <w:t>.00</w:t>
            </w:r>
          </w:p>
        </w:tc>
        <w:tc>
          <w:tcPr>
            <w:tcW w:w="1850" w:type="dxa"/>
          </w:tcPr>
          <w:p w:rsidR="00F81DB9" w:rsidP="007B37DF">
            <w:pPr>
              <w:pStyle w:val="NormalWeb"/>
            </w:pPr>
            <w:r>
              <w:t>-165,000</w:t>
            </w:r>
            <w:r w:rsidR="0018659B">
              <w:t>.00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8E7DFE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8E7DFE" w:rsidP="007B37DF">
            <w:pPr>
              <w:pStyle w:val="NormalWeb"/>
            </w:pPr>
            <w:r>
              <w:t>60,000</w:t>
            </w:r>
            <w:r w:rsidR="0018659B">
              <w:t>.00</w:t>
            </w:r>
          </w:p>
        </w:tc>
        <w:tc>
          <w:tcPr>
            <w:tcW w:w="2026" w:type="dxa"/>
          </w:tcPr>
          <w:p w:rsidR="008E7DFE" w:rsidP="007B37DF">
            <w:pPr>
              <w:pStyle w:val="NormalWeb"/>
            </w:pPr>
            <w:r>
              <w:t>1.1</w:t>
            </w:r>
            <w:r w:rsidR="0018659B">
              <w:t>0</w:t>
            </w:r>
          </w:p>
        </w:tc>
        <w:tc>
          <w:tcPr>
            <w:tcW w:w="1841" w:type="dxa"/>
          </w:tcPr>
          <w:p w:rsidR="008E7DFE" w:rsidP="007B37DF">
            <w:pPr>
              <w:pStyle w:val="NormalWeb"/>
            </w:pPr>
            <w:r>
              <w:t>54,545.45</w:t>
            </w:r>
          </w:p>
        </w:tc>
        <w:tc>
          <w:tcPr>
            <w:tcW w:w="1850" w:type="dxa"/>
          </w:tcPr>
          <w:p w:rsidR="008E7DFE" w:rsidP="007B37DF">
            <w:pPr>
              <w:pStyle w:val="NormalWeb"/>
            </w:pPr>
            <w:r>
              <w:t>54,545.45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8E7DFE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8E7DFE" w:rsidP="007B37DF">
            <w:pPr>
              <w:pStyle w:val="NormalWeb"/>
            </w:pPr>
            <w:r>
              <w:t>60,000</w:t>
            </w:r>
            <w:r w:rsidR="0018659B">
              <w:t>.00</w:t>
            </w:r>
          </w:p>
        </w:tc>
        <w:tc>
          <w:tcPr>
            <w:tcW w:w="2026" w:type="dxa"/>
          </w:tcPr>
          <w:p w:rsidR="008E7DFE" w:rsidP="007B37DF">
            <w:pPr>
              <w:pStyle w:val="NormalWeb"/>
            </w:pPr>
            <w:r>
              <w:t>1.21</w:t>
            </w:r>
          </w:p>
        </w:tc>
        <w:tc>
          <w:tcPr>
            <w:tcW w:w="1841" w:type="dxa"/>
          </w:tcPr>
          <w:p w:rsidR="008E7DFE" w:rsidP="007B37DF">
            <w:pPr>
              <w:pStyle w:val="NormalWeb"/>
            </w:pPr>
            <w:r>
              <w:t>49,586.78</w:t>
            </w:r>
          </w:p>
        </w:tc>
        <w:tc>
          <w:tcPr>
            <w:tcW w:w="1850" w:type="dxa"/>
          </w:tcPr>
          <w:p w:rsidR="008E7DFE" w:rsidP="007B37DF">
            <w:pPr>
              <w:pStyle w:val="NormalWeb"/>
            </w:pPr>
            <w:r>
              <w:t>104,132.23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8E7DFE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8E7DFE" w:rsidP="007B37DF">
            <w:pPr>
              <w:pStyle w:val="NormalWeb"/>
            </w:pPr>
            <w:r>
              <w:t>60,000</w:t>
            </w:r>
            <w:r w:rsidR="0018659B">
              <w:t>.00</w:t>
            </w:r>
          </w:p>
        </w:tc>
        <w:tc>
          <w:tcPr>
            <w:tcW w:w="2026" w:type="dxa"/>
          </w:tcPr>
          <w:p w:rsidR="008E7DFE" w:rsidP="007B37DF">
            <w:pPr>
              <w:pStyle w:val="NormalWeb"/>
            </w:pPr>
            <w:r>
              <w:t>1.331</w:t>
            </w:r>
          </w:p>
        </w:tc>
        <w:tc>
          <w:tcPr>
            <w:tcW w:w="1841" w:type="dxa"/>
          </w:tcPr>
          <w:p w:rsidR="008E7DFE" w:rsidP="007B37DF">
            <w:pPr>
              <w:pStyle w:val="NormalWeb"/>
            </w:pPr>
            <w:r>
              <w:t>45,078.89</w:t>
            </w:r>
          </w:p>
        </w:tc>
        <w:tc>
          <w:tcPr>
            <w:tcW w:w="1850" w:type="dxa"/>
          </w:tcPr>
          <w:p w:rsidR="008E7DFE" w:rsidP="007B37DF">
            <w:pPr>
              <w:pStyle w:val="NormalWeb"/>
            </w:pPr>
            <w:r>
              <w:t>149,211.12</w:t>
            </w:r>
          </w:p>
        </w:tc>
      </w:tr>
    </w:tbl>
    <w:p w:rsidR="008E7DFE" w:rsidP="007B37DF">
      <w:pPr>
        <w:pStyle w:val="NormalWeb"/>
        <w:shd w:val="clear" w:color="auto" w:fill="FFFFFF"/>
      </w:pPr>
      <w:r>
        <w:t>NPV= -165,000+149,211.12 = -15788.88</w:t>
      </w:r>
    </w:p>
    <w:p w:rsidR="003C4A33" w:rsidP="003C4A33">
      <w:pPr>
        <w:pStyle w:val="NormalWeb"/>
        <w:shd w:val="clear" w:color="auto" w:fill="FFFFFF"/>
      </w:pPr>
      <w:r>
        <w:t>IRR=</w:t>
      </w:r>
    </w:p>
    <w:p w:rsidR="00F41931" w:rsidP="003C4A33">
      <w:pPr>
        <w:pStyle w:val="NormalWeb"/>
        <w:shd w:val="clear" w:color="auto" w:fill="FFFFFF"/>
      </w:pPr>
      <w:r>
        <w:t xml:space="preserve">   B)</w:t>
      </w:r>
    </w:p>
    <w:p w:rsidR="005F29BE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N</w:t>
      </w:r>
      <w:r>
        <w:t>BP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Tr="005F29BE">
        <w:tblPrEx>
          <w:tblW w:w="0" w:type="auto"/>
          <w:tblLook w:val="04A0"/>
        </w:tblPrEx>
        <w:tc>
          <w:tcPr>
            <w:tcW w:w="3116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Y</w:t>
            </w:r>
            <w:r>
              <w:t>r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Am</w:t>
            </w:r>
            <w:r>
              <w:t>nt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Accumulated</w:t>
            </w:r>
          </w:p>
        </w:tc>
      </w:tr>
      <w:tr w:rsidTr="005F29BE">
        <w:tblPrEx>
          <w:tblW w:w="0" w:type="auto"/>
          <w:tblLook w:val="04A0"/>
        </w:tblPrEx>
        <w:tc>
          <w:tcPr>
            <w:tcW w:w="3116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One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60</w:t>
            </w:r>
            <w:r w:rsidR="00C33145">
              <w:t>,</w:t>
            </w:r>
            <w:r>
              <w:t>000</w:t>
            </w:r>
            <w:r w:rsidR="00722952">
              <w:t>.00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60,000</w:t>
            </w:r>
            <w:r w:rsidR="00722952">
              <w:t>.00</w:t>
            </w:r>
          </w:p>
        </w:tc>
      </w:tr>
      <w:tr w:rsidTr="005F29BE">
        <w:tblPrEx>
          <w:tblW w:w="0" w:type="auto"/>
          <w:tblLook w:val="04A0"/>
        </w:tblPrEx>
        <w:tc>
          <w:tcPr>
            <w:tcW w:w="3116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Two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72,600</w:t>
            </w:r>
            <w:r w:rsidR="00722952">
              <w:t>.00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132,600</w:t>
            </w:r>
            <w:r w:rsidR="00722952">
              <w:t>.00</w:t>
            </w:r>
          </w:p>
        </w:tc>
      </w:tr>
      <w:tr w:rsidTr="005F29BE">
        <w:tblPrEx>
          <w:tblW w:w="0" w:type="auto"/>
          <w:tblLook w:val="04A0"/>
        </w:tblPrEx>
        <w:tc>
          <w:tcPr>
            <w:tcW w:w="3116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Three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79,860</w:t>
            </w:r>
            <w:r w:rsidR="00722952">
              <w:t>.00</w:t>
            </w:r>
          </w:p>
        </w:tc>
        <w:tc>
          <w:tcPr>
            <w:tcW w:w="3117" w:type="dxa"/>
          </w:tcPr>
          <w:p w:rsidR="005F29BE" w:rsidP="007B37DF">
            <w:pPr>
              <w:pStyle w:val="NormalWeb"/>
              <w:tabs>
                <w:tab w:val="center" w:pos="4680"/>
                <w:tab w:val="left" w:pos="5115"/>
              </w:tabs>
            </w:pPr>
            <w:r>
              <w:t>212,460</w:t>
            </w:r>
            <w:r w:rsidR="00722952">
              <w:t>.00</w:t>
            </w:r>
          </w:p>
        </w:tc>
      </w:tr>
    </w:tbl>
    <w:p w:rsidR="00DD5106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 w:rsidRPr="00DD5106">
        <w:t xml:space="preserve">PBP </w:t>
      </w:r>
      <w:r w:rsidR="00022AA5">
        <w:t>79,860/12=6,655</w:t>
      </w:r>
    </w:p>
    <w:p w:rsidR="005F29BE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 xml:space="preserve">So the PBP is 2 </w:t>
      </w:r>
      <w:r>
        <w:t>yrs</w:t>
      </w:r>
      <w:r w:rsidR="00890F34">
        <w:t xml:space="preserve"> </w:t>
      </w:r>
      <w:r w:rsidRPr="00DD5106" w:rsidR="00DD5106">
        <w:t>1 month</w:t>
      </w:r>
    </w:p>
    <w:p w:rsidR="00D939B1" w:rsidP="007B37DF">
      <w:pPr>
        <w:pStyle w:val="NormalWeb"/>
        <w:shd w:val="clear" w:color="auto" w:fill="FFFFFF"/>
      </w:pPr>
      <w:r>
        <w:t>DB</w:t>
      </w:r>
      <w:r>
        <w:t>P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D939B1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D939B1" w:rsidP="007B37DF">
            <w:pPr>
              <w:pStyle w:val="NormalWeb"/>
            </w:pPr>
            <w:r>
              <w:t>Am</w:t>
            </w:r>
            <w:r>
              <w:t>nt</w:t>
            </w:r>
          </w:p>
        </w:tc>
        <w:tc>
          <w:tcPr>
            <w:tcW w:w="2026" w:type="dxa"/>
          </w:tcPr>
          <w:p w:rsidR="00D939B1" w:rsidP="007B37DF">
            <w:pPr>
              <w:pStyle w:val="NormalWeb"/>
            </w:pPr>
            <w:r w:rsidRPr="00E60519">
              <w:t>PVIF$1=1/(1+r)^n</w:t>
            </w:r>
          </w:p>
        </w:tc>
        <w:tc>
          <w:tcPr>
            <w:tcW w:w="1841" w:type="dxa"/>
          </w:tcPr>
          <w:p w:rsidR="00D939B1" w:rsidP="007B37DF">
            <w:pPr>
              <w:pStyle w:val="NormalWeb"/>
            </w:pPr>
            <w:r>
              <w:t>Discounted amount</w:t>
            </w:r>
          </w:p>
        </w:tc>
        <w:tc>
          <w:tcPr>
            <w:tcW w:w="1850" w:type="dxa"/>
          </w:tcPr>
          <w:p w:rsidR="00D939B1" w:rsidP="007B37DF">
            <w:pPr>
              <w:pStyle w:val="NormalWeb"/>
            </w:pPr>
            <w:r>
              <w:t>Cumulative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D939B1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D939B1" w:rsidP="007B37DF">
            <w:pPr>
              <w:pStyle w:val="NormalWeb"/>
            </w:pPr>
            <w:r>
              <w:t>60,000</w:t>
            </w:r>
            <w:r w:rsidR="00EA4936">
              <w:t>.00</w:t>
            </w:r>
          </w:p>
        </w:tc>
        <w:tc>
          <w:tcPr>
            <w:tcW w:w="2026" w:type="dxa"/>
          </w:tcPr>
          <w:p w:rsidR="00D939B1" w:rsidP="007B37DF">
            <w:pPr>
              <w:pStyle w:val="NormalWeb"/>
            </w:pPr>
            <w:r>
              <w:t>1.0</w:t>
            </w:r>
          </w:p>
        </w:tc>
        <w:tc>
          <w:tcPr>
            <w:tcW w:w="1841" w:type="dxa"/>
          </w:tcPr>
          <w:p w:rsidR="00D939B1" w:rsidP="007B37DF">
            <w:pPr>
              <w:pStyle w:val="NormalWeb"/>
            </w:pPr>
            <w:r>
              <w:t>54,545.45</w:t>
            </w:r>
          </w:p>
        </w:tc>
        <w:tc>
          <w:tcPr>
            <w:tcW w:w="1850" w:type="dxa"/>
          </w:tcPr>
          <w:p w:rsidR="00D939B1" w:rsidP="007B37DF">
            <w:pPr>
              <w:pStyle w:val="NormalWeb"/>
            </w:pPr>
            <w:r>
              <w:t>54,545.45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D939B1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D939B1" w:rsidP="007B37DF">
            <w:pPr>
              <w:pStyle w:val="NormalWeb"/>
            </w:pPr>
            <w:r>
              <w:t>72,600</w:t>
            </w:r>
            <w:r w:rsidR="00EA4936">
              <w:t>.00</w:t>
            </w:r>
          </w:p>
        </w:tc>
        <w:tc>
          <w:tcPr>
            <w:tcW w:w="2026" w:type="dxa"/>
          </w:tcPr>
          <w:p w:rsidR="00D939B1" w:rsidP="007B37DF">
            <w:pPr>
              <w:pStyle w:val="NormalWeb"/>
            </w:pPr>
            <w:r>
              <w:t>1.21</w:t>
            </w:r>
          </w:p>
        </w:tc>
        <w:tc>
          <w:tcPr>
            <w:tcW w:w="1841" w:type="dxa"/>
          </w:tcPr>
          <w:p w:rsidR="00D939B1" w:rsidP="007B37DF">
            <w:pPr>
              <w:pStyle w:val="NormalWeb"/>
            </w:pPr>
            <w:r>
              <w:t>60,000</w:t>
            </w:r>
          </w:p>
        </w:tc>
        <w:tc>
          <w:tcPr>
            <w:tcW w:w="1850" w:type="dxa"/>
          </w:tcPr>
          <w:p w:rsidR="00D939B1" w:rsidP="007B37DF">
            <w:pPr>
              <w:pStyle w:val="NormalWeb"/>
            </w:pPr>
            <w:r>
              <w:t>114,545.45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D939B1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D939B1" w:rsidP="007B37DF">
            <w:pPr>
              <w:pStyle w:val="NormalWeb"/>
            </w:pPr>
            <w:r>
              <w:t>79,860</w:t>
            </w:r>
            <w:r w:rsidR="00EA4936">
              <w:t>.00</w:t>
            </w:r>
          </w:p>
        </w:tc>
        <w:tc>
          <w:tcPr>
            <w:tcW w:w="2026" w:type="dxa"/>
          </w:tcPr>
          <w:p w:rsidR="00D939B1" w:rsidP="007B37DF">
            <w:pPr>
              <w:pStyle w:val="NormalWeb"/>
            </w:pPr>
            <w:r>
              <w:t>1.331</w:t>
            </w:r>
          </w:p>
        </w:tc>
        <w:tc>
          <w:tcPr>
            <w:tcW w:w="1841" w:type="dxa"/>
          </w:tcPr>
          <w:p w:rsidR="00D939B1" w:rsidP="007B37DF">
            <w:pPr>
              <w:pStyle w:val="NormalWeb"/>
            </w:pPr>
            <w:r>
              <w:t>60,000</w:t>
            </w:r>
          </w:p>
        </w:tc>
        <w:tc>
          <w:tcPr>
            <w:tcW w:w="1850" w:type="dxa"/>
          </w:tcPr>
          <w:p w:rsidR="00D939B1" w:rsidP="007B37DF">
            <w:pPr>
              <w:pStyle w:val="NormalWeb"/>
            </w:pPr>
            <w:r>
              <w:t>174545.45</w:t>
            </w:r>
          </w:p>
        </w:tc>
      </w:tr>
    </w:tbl>
    <w:p w:rsidR="00D939B1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The PBP is60</w:t>
      </w:r>
      <w:r w:rsidR="00391F25">
        <w:t>,</w:t>
      </w:r>
      <w:r>
        <w:t>000/12=</w:t>
      </w:r>
      <w:r w:rsidR="00391F25">
        <w:t xml:space="preserve"> 5,000</w:t>
      </w:r>
    </w:p>
    <w:p w:rsidR="00391F25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165,000-114,545.45=50,454.55</w:t>
      </w:r>
    </w:p>
    <w:p w:rsidR="00406F35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50,454.55/5000=10.1</w:t>
      </w:r>
    </w:p>
    <w:p w:rsidR="00406F35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PBP= 10 years and 1 month</w:t>
      </w:r>
    </w:p>
    <w:p w:rsidR="00115BAB" w:rsidP="007B37DF">
      <w:pPr>
        <w:pStyle w:val="NormalWeb"/>
        <w:shd w:val="clear" w:color="auto" w:fill="FFFFFF"/>
      </w:pPr>
      <w:r>
        <w:t>Net Present Value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115BAB" w:rsidP="00DC1D15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115BAB" w:rsidP="007B37DF">
            <w:pPr>
              <w:pStyle w:val="NormalWeb"/>
            </w:pPr>
            <w:r>
              <w:t>A</w:t>
            </w:r>
            <w:r w:rsidR="008A7B32">
              <w:t>m</w:t>
            </w:r>
            <w:r>
              <w:t>nt</w:t>
            </w:r>
          </w:p>
        </w:tc>
        <w:tc>
          <w:tcPr>
            <w:tcW w:w="2026" w:type="dxa"/>
          </w:tcPr>
          <w:p w:rsidR="00115BAB" w:rsidP="007B37DF">
            <w:pPr>
              <w:pStyle w:val="NormalWeb"/>
            </w:pPr>
            <w:r w:rsidRPr="00E60519">
              <w:t>PVIF$1=1/(1+r)^n</w:t>
            </w:r>
          </w:p>
        </w:tc>
        <w:tc>
          <w:tcPr>
            <w:tcW w:w="1841" w:type="dxa"/>
          </w:tcPr>
          <w:p w:rsidR="00115BAB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115BAB" w:rsidP="007B37DF">
            <w:pPr>
              <w:pStyle w:val="NormalWeb"/>
            </w:pPr>
            <w:r>
              <w:t>C</w:t>
            </w:r>
            <w:r w:rsidR="000F1FA0">
              <w:t>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115BAB" w:rsidP="007B37DF">
            <w:pPr>
              <w:pStyle w:val="NormalWeb"/>
            </w:pPr>
            <w:r>
              <w:t>0</w:t>
            </w:r>
          </w:p>
        </w:tc>
        <w:tc>
          <w:tcPr>
            <w:tcW w:w="1825" w:type="dxa"/>
          </w:tcPr>
          <w:p w:rsidR="00115BAB" w:rsidP="007B37DF">
            <w:pPr>
              <w:pStyle w:val="NormalWeb"/>
            </w:pPr>
            <w:r>
              <w:t>-165,000</w:t>
            </w:r>
            <w:r w:rsidR="00DC1D15">
              <w:t>.00</w:t>
            </w:r>
          </w:p>
        </w:tc>
        <w:tc>
          <w:tcPr>
            <w:tcW w:w="2026" w:type="dxa"/>
          </w:tcPr>
          <w:p w:rsidR="00115BAB" w:rsidP="007B37DF">
            <w:pPr>
              <w:pStyle w:val="NormalWeb"/>
            </w:pPr>
            <w:r>
              <w:t>1</w:t>
            </w:r>
            <w:r w:rsidR="00DC1D15">
              <w:t>.0</w:t>
            </w:r>
          </w:p>
        </w:tc>
        <w:tc>
          <w:tcPr>
            <w:tcW w:w="1841" w:type="dxa"/>
          </w:tcPr>
          <w:p w:rsidR="00115BAB" w:rsidP="007B37DF">
            <w:pPr>
              <w:pStyle w:val="NormalWeb"/>
            </w:pPr>
            <w:r>
              <w:t>-165,000</w:t>
            </w:r>
          </w:p>
        </w:tc>
        <w:tc>
          <w:tcPr>
            <w:tcW w:w="1850" w:type="dxa"/>
          </w:tcPr>
          <w:p w:rsidR="00115BAB" w:rsidP="007B37DF">
            <w:pPr>
              <w:pStyle w:val="NormalWeb"/>
            </w:pPr>
            <w:r>
              <w:t>-165,000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7131C3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7131C3" w:rsidP="007B37DF">
            <w:pPr>
              <w:pStyle w:val="NormalWeb"/>
            </w:pPr>
            <w:r>
              <w:t>60,000</w:t>
            </w:r>
            <w:r w:rsidR="00DC1D15">
              <w:t>.00</w:t>
            </w:r>
          </w:p>
        </w:tc>
        <w:tc>
          <w:tcPr>
            <w:tcW w:w="2026" w:type="dxa"/>
          </w:tcPr>
          <w:p w:rsidR="007131C3" w:rsidP="007B37DF">
            <w:pPr>
              <w:pStyle w:val="NormalWeb"/>
            </w:pPr>
            <w:r>
              <w:t>1.1</w:t>
            </w:r>
            <w:r w:rsidR="00DC1D15">
              <w:t>0</w:t>
            </w:r>
          </w:p>
        </w:tc>
        <w:tc>
          <w:tcPr>
            <w:tcW w:w="1841" w:type="dxa"/>
          </w:tcPr>
          <w:p w:rsidR="007131C3" w:rsidP="007B37DF">
            <w:pPr>
              <w:pStyle w:val="NormalWeb"/>
            </w:pPr>
            <w:r>
              <w:t>54,545.45</w:t>
            </w:r>
          </w:p>
        </w:tc>
        <w:tc>
          <w:tcPr>
            <w:tcW w:w="1850" w:type="dxa"/>
          </w:tcPr>
          <w:p w:rsidR="007131C3" w:rsidP="007B37DF">
            <w:pPr>
              <w:pStyle w:val="NormalWeb"/>
            </w:pPr>
            <w:r>
              <w:t>54,545.45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7131C3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7131C3" w:rsidP="007B37DF">
            <w:pPr>
              <w:pStyle w:val="NormalWeb"/>
            </w:pPr>
            <w:r>
              <w:t>72,600</w:t>
            </w:r>
            <w:r w:rsidR="00DC1D15">
              <w:t>.00</w:t>
            </w:r>
          </w:p>
        </w:tc>
        <w:tc>
          <w:tcPr>
            <w:tcW w:w="2026" w:type="dxa"/>
          </w:tcPr>
          <w:p w:rsidR="007131C3" w:rsidP="007B37DF">
            <w:pPr>
              <w:pStyle w:val="NormalWeb"/>
            </w:pPr>
            <w:r>
              <w:t>1.21</w:t>
            </w:r>
          </w:p>
        </w:tc>
        <w:tc>
          <w:tcPr>
            <w:tcW w:w="1841" w:type="dxa"/>
          </w:tcPr>
          <w:p w:rsidR="007131C3" w:rsidP="007B37DF">
            <w:pPr>
              <w:pStyle w:val="NormalWeb"/>
            </w:pPr>
            <w:r>
              <w:t>60,000</w:t>
            </w:r>
          </w:p>
        </w:tc>
        <w:tc>
          <w:tcPr>
            <w:tcW w:w="1850" w:type="dxa"/>
          </w:tcPr>
          <w:p w:rsidR="007131C3" w:rsidP="007B37DF">
            <w:pPr>
              <w:pStyle w:val="NormalWeb"/>
            </w:pPr>
            <w:r>
              <w:t>114,545.45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7131C3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7131C3" w:rsidP="007B37DF">
            <w:pPr>
              <w:pStyle w:val="NormalWeb"/>
            </w:pPr>
            <w:r>
              <w:t>79,860</w:t>
            </w:r>
            <w:r w:rsidR="00DC1D15">
              <w:t>.00</w:t>
            </w:r>
          </w:p>
        </w:tc>
        <w:tc>
          <w:tcPr>
            <w:tcW w:w="2026" w:type="dxa"/>
          </w:tcPr>
          <w:p w:rsidR="007131C3" w:rsidP="007B37DF">
            <w:pPr>
              <w:pStyle w:val="NormalWeb"/>
            </w:pPr>
            <w:r>
              <w:t>1.331</w:t>
            </w:r>
          </w:p>
        </w:tc>
        <w:tc>
          <w:tcPr>
            <w:tcW w:w="1841" w:type="dxa"/>
          </w:tcPr>
          <w:p w:rsidR="007131C3" w:rsidP="007B37DF">
            <w:pPr>
              <w:pStyle w:val="NormalWeb"/>
            </w:pPr>
            <w:r>
              <w:t>60,000</w:t>
            </w:r>
          </w:p>
        </w:tc>
        <w:tc>
          <w:tcPr>
            <w:tcW w:w="1850" w:type="dxa"/>
          </w:tcPr>
          <w:p w:rsidR="007131C3" w:rsidP="007B37DF">
            <w:pPr>
              <w:pStyle w:val="NormalWeb"/>
            </w:pPr>
            <w:r>
              <w:t>174545.45</w:t>
            </w:r>
          </w:p>
        </w:tc>
      </w:tr>
    </w:tbl>
    <w:p w:rsidR="00115BAB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NPV= -165,000+174,545.45</w:t>
      </w:r>
      <w:r w:rsidR="006C3EF7">
        <w:t xml:space="preserve"> = $9,545.45</w:t>
      </w:r>
    </w:p>
    <w:p w:rsidR="00556764" w:rsidP="007B37DF">
      <w:pPr>
        <w:pStyle w:val="NormalWeb"/>
        <w:shd w:val="clear" w:color="auto" w:fill="FFFFFF"/>
      </w:pPr>
      <w:r>
        <w:t>IRR=</w:t>
      </w:r>
    </w:p>
    <w:p w:rsidR="00DC1D15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 xml:space="preserve">   </w:t>
      </w:r>
      <w:r w:rsidRPr="003D67F9">
        <w:t>C</w:t>
      </w:r>
      <w:r>
        <w:t>)</w:t>
      </w:r>
    </w:p>
    <w:p w:rsidR="00D939B1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 w:rsidRPr="003D67F9">
        <w:t>NBP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Tr="00190C6C">
        <w:tblPrEx>
          <w:tblW w:w="0" w:type="auto"/>
          <w:tblLook w:val="04A0"/>
        </w:tblPrEx>
        <w:tc>
          <w:tcPr>
            <w:tcW w:w="3116" w:type="dxa"/>
          </w:tcPr>
          <w:p w:rsidR="003D67F9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Amount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C</w:t>
            </w:r>
            <w:r>
              <w:t>umulated Savings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3D67F9" w:rsidP="007B37DF">
            <w:pPr>
              <w:pStyle w:val="NormalWeb"/>
            </w:pPr>
            <w:r>
              <w:t>One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60,000</w:t>
            </w:r>
            <w:r w:rsidR="00DC1D15">
              <w:t>.00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60,000</w:t>
            </w:r>
            <w:r w:rsidR="00DC1D15">
              <w:t>.00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3D67F9" w:rsidP="007B37DF">
            <w:pPr>
              <w:pStyle w:val="NormalWeb"/>
            </w:pPr>
            <w:r>
              <w:t>Two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60,000</w:t>
            </w:r>
            <w:r w:rsidR="00DC1D15">
              <w:t>.00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120,000</w:t>
            </w:r>
            <w:r w:rsidR="00DC1D15">
              <w:t>.00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3D67F9" w:rsidP="007B37DF">
            <w:pPr>
              <w:pStyle w:val="NormalWeb"/>
            </w:pPr>
            <w:r>
              <w:t>Three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60,000</w:t>
            </w:r>
            <w:r w:rsidR="00DC1D15">
              <w:t>.00</w:t>
            </w:r>
          </w:p>
        </w:tc>
        <w:tc>
          <w:tcPr>
            <w:tcW w:w="3117" w:type="dxa"/>
          </w:tcPr>
          <w:p w:rsidR="003D67F9" w:rsidP="007B37DF">
            <w:pPr>
              <w:pStyle w:val="NormalWeb"/>
            </w:pPr>
            <w:r>
              <w:t>180,000</w:t>
            </w:r>
            <w:r w:rsidR="00DC1D15">
              <w:t>.00</w:t>
            </w:r>
          </w:p>
        </w:tc>
      </w:tr>
    </w:tbl>
    <w:p w:rsidR="003D67F9" w:rsidP="007B37DF">
      <w:pPr>
        <w:pStyle w:val="NormalWeb"/>
        <w:shd w:val="clear" w:color="auto" w:fill="FFFFFF"/>
      </w:pPr>
      <w:r>
        <w:t xml:space="preserve">PBP </w:t>
      </w:r>
      <w:r w:rsidR="00DC1D15">
        <w:t>=</w:t>
      </w:r>
      <w:r>
        <w:t>60</w:t>
      </w:r>
      <w:r w:rsidRPr="00D62AC0">
        <w:t>,</w:t>
      </w:r>
      <w:r>
        <w:t>000/12</w:t>
      </w:r>
      <w:r w:rsidR="00DC1D15">
        <w:t xml:space="preserve"> </w:t>
      </w:r>
      <w:r>
        <w:t>=</w:t>
      </w:r>
      <w:r w:rsidR="00DC1D15">
        <w:t xml:space="preserve"> </w:t>
      </w:r>
      <w:r>
        <w:t>5,000</w:t>
      </w:r>
    </w:p>
    <w:p w:rsidR="003D67F9" w:rsidP="007B37DF">
      <w:pPr>
        <w:pStyle w:val="NormalWeb"/>
        <w:shd w:val="clear" w:color="auto" w:fill="FFFFFF"/>
      </w:pPr>
      <w:r>
        <w:t xml:space="preserve">PBP = </w:t>
      </w:r>
      <w:r w:rsidR="0025365F">
        <w:t xml:space="preserve">2 </w:t>
      </w:r>
      <w:r w:rsidR="0025365F">
        <w:t>y</w:t>
      </w:r>
      <w:r>
        <w:t>rs</w:t>
      </w:r>
      <w:r>
        <w:t xml:space="preserve"> 9 </w:t>
      </w:r>
      <w:r w:rsidRPr="00103AEA">
        <w:t>months</w:t>
      </w:r>
      <w:r>
        <w:t>.</w:t>
      </w:r>
    </w:p>
    <w:p w:rsidR="003D67F9" w:rsidP="007B37DF">
      <w:pPr>
        <w:pStyle w:val="NormalWeb"/>
        <w:shd w:val="clear" w:color="auto" w:fill="FFFFFF"/>
      </w:pPr>
      <w:r>
        <w:t>Discounted PBP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3D67F9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3D67F9" w:rsidP="007B37DF">
            <w:pPr>
              <w:pStyle w:val="NormalWeb"/>
            </w:pPr>
            <w:r>
              <w:t>Amount</w:t>
            </w:r>
          </w:p>
        </w:tc>
        <w:tc>
          <w:tcPr>
            <w:tcW w:w="2026" w:type="dxa"/>
          </w:tcPr>
          <w:p w:rsidR="003D67F9" w:rsidP="007B37DF">
            <w:pPr>
              <w:pStyle w:val="NormalWeb"/>
            </w:pPr>
            <w:r>
              <w:t>Discounting factor</w:t>
            </w:r>
          </w:p>
        </w:tc>
        <w:tc>
          <w:tcPr>
            <w:tcW w:w="1841" w:type="dxa"/>
          </w:tcPr>
          <w:p w:rsidR="003D67F9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3D67F9" w:rsidP="007B37DF">
            <w:pPr>
              <w:pStyle w:val="NormalWeb"/>
            </w:pPr>
            <w:r>
              <w:t>Acc</w:t>
            </w:r>
            <w:r w:rsidR="00C671F5">
              <w:t>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3D67F9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3D67F9" w:rsidP="007B37DF">
            <w:pPr>
              <w:pStyle w:val="NormalWeb"/>
            </w:pPr>
            <w:r>
              <w:t>60,000</w:t>
            </w:r>
            <w:r w:rsidR="000A6082">
              <w:t>.00</w:t>
            </w:r>
          </w:p>
        </w:tc>
        <w:tc>
          <w:tcPr>
            <w:tcW w:w="2026" w:type="dxa"/>
          </w:tcPr>
          <w:p w:rsidR="003D67F9" w:rsidP="007B37DF">
            <w:pPr>
              <w:pStyle w:val="NormalWeb"/>
            </w:pPr>
            <w:r>
              <w:t>1.1</w:t>
            </w:r>
            <w:r w:rsidR="005C638B">
              <w:t>5</w:t>
            </w:r>
            <w:r w:rsidR="000A6082">
              <w:t>0</w:t>
            </w:r>
          </w:p>
        </w:tc>
        <w:tc>
          <w:tcPr>
            <w:tcW w:w="1841" w:type="dxa"/>
          </w:tcPr>
          <w:p w:rsidR="003D67F9" w:rsidP="007B37DF">
            <w:pPr>
              <w:pStyle w:val="NormalWeb"/>
            </w:pPr>
            <w:r>
              <w:t>52,173.91</w:t>
            </w:r>
          </w:p>
        </w:tc>
        <w:tc>
          <w:tcPr>
            <w:tcW w:w="1850" w:type="dxa"/>
          </w:tcPr>
          <w:p w:rsidR="003D67F9" w:rsidP="007B37DF">
            <w:pPr>
              <w:pStyle w:val="NormalWeb"/>
            </w:pPr>
            <w:r>
              <w:t>52,173.91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3D67F9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3D67F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3D67F9" w:rsidP="007B37DF">
            <w:pPr>
              <w:pStyle w:val="NormalWeb"/>
            </w:pPr>
            <w:r>
              <w:t>1.</w:t>
            </w:r>
            <w:r w:rsidR="005C638B">
              <w:t>332</w:t>
            </w:r>
          </w:p>
        </w:tc>
        <w:tc>
          <w:tcPr>
            <w:tcW w:w="1841" w:type="dxa"/>
          </w:tcPr>
          <w:p w:rsidR="003D67F9" w:rsidP="007B37DF">
            <w:pPr>
              <w:pStyle w:val="NormalWeb"/>
            </w:pPr>
            <w:r>
              <w:t>45,045.05</w:t>
            </w:r>
          </w:p>
        </w:tc>
        <w:tc>
          <w:tcPr>
            <w:tcW w:w="1850" w:type="dxa"/>
          </w:tcPr>
          <w:p w:rsidR="003D67F9" w:rsidP="007B37DF">
            <w:pPr>
              <w:pStyle w:val="NormalWeb"/>
            </w:pPr>
            <w:r>
              <w:t>97,218.96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3D67F9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3D67F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3D67F9" w:rsidP="007B37DF">
            <w:pPr>
              <w:pStyle w:val="NormalWeb"/>
            </w:pPr>
            <w:r>
              <w:t>1.52088</w:t>
            </w:r>
          </w:p>
        </w:tc>
        <w:tc>
          <w:tcPr>
            <w:tcW w:w="1841" w:type="dxa"/>
          </w:tcPr>
          <w:p w:rsidR="003D67F9" w:rsidP="007B37DF">
            <w:pPr>
              <w:pStyle w:val="NormalWeb"/>
            </w:pPr>
            <w:r>
              <w:t>39,450.84</w:t>
            </w:r>
          </w:p>
        </w:tc>
        <w:tc>
          <w:tcPr>
            <w:tcW w:w="1850" w:type="dxa"/>
          </w:tcPr>
          <w:p w:rsidR="003D67F9" w:rsidP="007B37DF">
            <w:pPr>
              <w:pStyle w:val="NormalWeb"/>
            </w:pPr>
            <w:r>
              <w:t>136,669.80</w:t>
            </w:r>
          </w:p>
        </w:tc>
      </w:tr>
    </w:tbl>
    <w:p w:rsidR="003D67F9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T</w:t>
      </w:r>
      <w:r w:rsidRPr="00F14C06" w:rsidR="00F14C06">
        <w:t>he amount</w:t>
      </w:r>
      <w:r w:rsidR="001A6C02">
        <w:t xml:space="preserve"> req</w:t>
      </w:r>
      <w:r>
        <w:t>u</w:t>
      </w:r>
      <w:r w:rsidR="001A6C02">
        <w:t>i</w:t>
      </w:r>
      <w:r>
        <w:t>red to attain</w:t>
      </w:r>
      <w:r w:rsidR="00F14C06">
        <w:t xml:space="preserve"> PBP</w:t>
      </w:r>
      <w:r>
        <w:t xml:space="preserve"> is not met</w:t>
      </w:r>
    </w:p>
    <w:p w:rsidR="002E7F11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NPV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2E7F11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2E7F11" w:rsidP="007B37DF">
            <w:pPr>
              <w:pStyle w:val="NormalWeb"/>
            </w:pPr>
            <w:r>
              <w:t>Am</w:t>
            </w:r>
            <w:r>
              <w:t>nt</w:t>
            </w:r>
          </w:p>
        </w:tc>
        <w:tc>
          <w:tcPr>
            <w:tcW w:w="2026" w:type="dxa"/>
          </w:tcPr>
          <w:p w:rsidR="002E7F11" w:rsidP="007B37DF">
            <w:pPr>
              <w:pStyle w:val="NormalWeb"/>
            </w:pPr>
            <w:r>
              <w:t>Discounting factor</w:t>
            </w:r>
          </w:p>
        </w:tc>
        <w:tc>
          <w:tcPr>
            <w:tcW w:w="1841" w:type="dxa"/>
          </w:tcPr>
          <w:p w:rsidR="002E7F11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2E7F11" w:rsidP="007B37DF">
            <w:pPr>
              <w:pStyle w:val="NormalWeb"/>
            </w:pPr>
            <w:r>
              <w:t>Acc</w:t>
            </w:r>
            <w:r>
              <w:t>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2E7F11" w:rsidP="007B37DF">
            <w:pPr>
              <w:pStyle w:val="NormalWeb"/>
            </w:pPr>
            <w:r>
              <w:t>0</w:t>
            </w:r>
          </w:p>
        </w:tc>
        <w:tc>
          <w:tcPr>
            <w:tcW w:w="1825" w:type="dxa"/>
          </w:tcPr>
          <w:p w:rsidR="002E7F11" w:rsidP="007B37DF">
            <w:pPr>
              <w:pStyle w:val="NormalWeb"/>
            </w:pPr>
            <w:r>
              <w:t>-165,000</w:t>
            </w:r>
            <w:r w:rsidR="002851B7">
              <w:t>,oo</w:t>
            </w:r>
          </w:p>
        </w:tc>
        <w:tc>
          <w:tcPr>
            <w:tcW w:w="2026" w:type="dxa"/>
          </w:tcPr>
          <w:p w:rsidR="002E7F11" w:rsidP="007B37DF">
            <w:pPr>
              <w:pStyle w:val="NormalWeb"/>
            </w:pPr>
            <w:r>
              <w:t>1</w:t>
            </w:r>
          </w:p>
        </w:tc>
        <w:tc>
          <w:tcPr>
            <w:tcW w:w="1841" w:type="dxa"/>
          </w:tcPr>
          <w:p w:rsidR="002E7F11" w:rsidP="007B37DF">
            <w:pPr>
              <w:pStyle w:val="NormalWeb"/>
            </w:pPr>
            <w:r>
              <w:t>-165,000</w:t>
            </w:r>
          </w:p>
        </w:tc>
        <w:tc>
          <w:tcPr>
            <w:tcW w:w="1850" w:type="dxa"/>
          </w:tcPr>
          <w:p w:rsidR="002E7F11" w:rsidP="007B37DF">
            <w:pPr>
              <w:pStyle w:val="NormalWeb"/>
            </w:pPr>
            <w:r>
              <w:t>-165,000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2E7F11" w:rsidP="007B37DF">
            <w:pPr>
              <w:pStyle w:val="NormalWeb"/>
            </w:pPr>
            <w:r>
              <w:t>1</w:t>
            </w:r>
          </w:p>
        </w:tc>
        <w:tc>
          <w:tcPr>
            <w:tcW w:w="1825" w:type="dxa"/>
          </w:tcPr>
          <w:p w:rsidR="002E7F11" w:rsidP="007B37DF">
            <w:pPr>
              <w:pStyle w:val="NormalWeb"/>
            </w:pPr>
            <w:r>
              <w:t>60,000</w:t>
            </w:r>
            <w:r w:rsidR="002851B7">
              <w:t>.00</w:t>
            </w:r>
          </w:p>
        </w:tc>
        <w:tc>
          <w:tcPr>
            <w:tcW w:w="2026" w:type="dxa"/>
          </w:tcPr>
          <w:p w:rsidR="002E7F11" w:rsidP="007B37DF">
            <w:pPr>
              <w:pStyle w:val="NormalWeb"/>
            </w:pPr>
            <w:r>
              <w:t>0.8696</w:t>
            </w:r>
            <w:r w:rsidR="002851B7">
              <w:t>00</w:t>
            </w:r>
          </w:p>
        </w:tc>
        <w:tc>
          <w:tcPr>
            <w:tcW w:w="1841" w:type="dxa"/>
          </w:tcPr>
          <w:p w:rsidR="002E7F11" w:rsidP="007B37DF">
            <w:pPr>
              <w:pStyle w:val="NormalWeb"/>
            </w:pPr>
            <w:r>
              <w:t>52,176</w:t>
            </w:r>
          </w:p>
        </w:tc>
        <w:tc>
          <w:tcPr>
            <w:tcW w:w="1850" w:type="dxa"/>
          </w:tcPr>
          <w:p w:rsidR="002E7F11" w:rsidP="007B37DF">
            <w:pPr>
              <w:pStyle w:val="NormalWeb"/>
            </w:pPr>
            <w:r>
              <w:t>112,824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2E7F11" w:rsidP="007B37DF">
            <w:pPr>
              <w:pStyle w:val="NormalWeb"/>
            </w:pPr>
            <w:r>
              <w:t>2</w:t>
            </w:r>
          </w:p>
        </w:tc>
        <w:tc>
          <w:tcPr>
            <w:tcW w:w="1825" w:type="dxa"/>
          </w:tcPr>
          <w:p w:rsidR="002E7F11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2E7F11" w:rsidP="007B37DF">
            <w:pPr>
              <w:pStyle w:val="NormalWeb"/>
            </w:pPr>
            <w:r>
              <w:t>0.7561</w:t>
            </w:r>
          </w:p>
        </w:tc>
        <w:tc>
          <w:tcPr>
            <w:tcW w:w="1841" w:type="dxa"/>
          </w:tcPr>
          <w:p w:rsidR="002E7F11" w:rsidP="007B37DF">
            <w:pPr>
              <w:pStyle w:val="NormalWeb"/>
            </w:pPr>
            <w:r>
              <w:t>45,366</w:t>
            </w:r>
          </w:p>
        </w:tc>
        <w:tc>
          <w:tcPr>
            <w:tcW w:w="1850" w:type="dxa"/>
          </w:tcPr>
          <w:p w:rsidR="002E7F11" w:rsidP="007B37DF">
            <w:pPr>
              <w:pStyle w:val="NormalWeb"/>
            </w:pPr>
            <w:r>
              <w:t>97,542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2E7F11" w:rsidP="007B37DF">
            <w:pPr>
              <w:pStyle w:val="NormalWeb"/>
            </w:pPr>
            <w:r>
              <w:t>3</w:t>
            </w:r>
          </w:p>
        </w:tc>
        <w:tc>
          <w:tcPr>
            <w:tcW w:w="1825" w:type="dxa"/>
          </w:tcPr>
          <w:p w:rsidR="002E7F11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2E7F11" w:rsidP="007B37DF">
            <w:pPr>
              <w:pStyle w:val="NormalWeb"/>
            </w:pPr>
            <w:r>
              <w:t>0.6575</w:t>
            </w:r>
          </w:p>
        </w:tc>
        <w:tc>
          <w:tcPr>
            <w:tcW w:w="1841" w:type="dxa"/>
          </w:tcPr>
          <w:p w:rsidR="002E7F11" w:rsidP="007B37DF">
            <w:pPr>
              <w:pStyle w:val="NormalWeb"/>
            </w:pPr>
            <w:r>
              <w:t>39,450</w:t>
            </w:r>
          </w:p>
        </w:tc>
        <w:tc>
          <w:tcPr>
            <w:tcW w:w="1850" w:type="dxa"/>
          </w:tcPr>
          <w:p w:rsidR="002E7F11" w:rsidP="007B37DF">
            <w:pPr>
              <w:pStyle w:val="NormalWeb"/>
            </w:pPr>
            <w:r>
              <w:t>136,992</w:t>
            </w:r>
          </w:p>
        </w:tc>
      </w:tr>
    </w:tbl>
    <w:p w:rsidR="002E7F11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NPV= -165,000+136,992= -28</w:t>
      </w:r>
      <w:r w:rsidR="0009176D">
        <w:t>,</w:t>
      </w:r>
      <w:r>
        <w:t>008</w:t>
      </w: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IRR</w:t>
      </w:r>
      <w:r w:rsidR="00712DAE">
        <w:t>=</w:t>
      </w:r>
    </w:p>
    <w:p w:rsidR="00A36A0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  <w:r>
        <w:t>D)</w:t>
      </w:r>
      <w:r w:rsidRPr="00E865BD">
        <w:t xml:space="preserve"> </w:t>
      </w:r>
    </w:p>
    <w:p w:rsidR="00E865BD" w:rsidP="007B37DF">
      <w:pPr>
        <w:pStyle w:val="NormalWeb"/>
        <w:shd w:val="clear" w:color="auto" w:fill="FFFFFF"/>
      </w:pPr>
      <w:r>
        <w:t>N</w:t>
      </w:r>
      <w:r>
        <w:t>BP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Tr="00190C6C">
        <w:tblPrEx>
          <w:tblW w:w="0" w:type="auto"/>
          <w:tblLook w:val="04A0"/>
        </w:tblPrEx>
        <w:tc>
          <w:tcPr>
            <w:tcW w:w="3116" w:type="dxa"/>
          </w:tcPr>
          <w:p w:rsidR="00E865BD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A</w:t>
            </w:r>
            <w:r>
              <w:t>mount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Accumulated amount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E865BD" w:rsidP="007B37DF">
            <w:pPr>
              <w:pStyle w:val="NormalWeb"/>
            </w:pPr>
            <w:r>
              <w:t>One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60,000</w:t>
            </w:r>
            <w:r w:rsidR="00082BCE">
              <w:t>.00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60,000</w:t>
            </w:r>
            <w:r w:rsidR="00082BCE">
              <w:t>.00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E865BD" w:rsidP="007B37DF">
            <w:pPr>
              <w:pStyle w:val="NormalWeb"/>
            </w:pPr>
            <w:r>
              <w:t>Two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60,000</w:t>
            </w:r>
            <w:r w:rsidR="00082BCE">
              <w:t>.00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120,000</w:t>
            </w:r>
            <w:r w:rsidR="00082BCE">
              <w:t>.00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3116" w:type="dxa"/>
          </w:tcPr>
          <w:p w:rsidR="00E865BD" w:rsidP="007B37DF">
            <w:pPr>
              <w:pStyle w:val="NormalWeb"/>
            </w:pPr>
            <w:r>
              <w:t>three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60,000</w:t>
            </w:r>
            <w:r w:rsidR="00082BCE">
              <w:t>.00</w:t>
            </w:r>
          </w:p>
        </w:tc>
        <w:tc>
          <w:tcPr>
            <w:tcW w:w="3117" w:type="dxa"/>
          </w:tcPr>
          <w:p w:rsidR="00E865BD" w:rsidP="007B37DF">
            <w:pPr>
              <w:pStyle w:val="NormalWeb"/>
            </w:pPr>
            <w:r>
              <w:t>180,000</w:t>
            </w:r>
            <w:r w:rsidR="00082BCE">
              <w:t>.00</w:t>
            </w:r>
          </w:p>
        </w:tc>
      </w:tr>
    </w:tbl>
    <w:p w:rsidR="0089064E" w:rsidP="007B37DF">
      <w:pPr>
        <w:pStyle w:val="NormalWeb"/>
        <w:shd w:val="clear" w:color="auto" w:fill="FFFFFF"/>
      </w:pPr>
      <w:r>
        <w:t>PBP =60</w:t>
      </w:r>
      <w:r w:rsidRPr="00D62AC0">
        <w:t>,</w:t>
      </w:r>
      <w:r>
        <w:t>000/12</w:t>
      </w:r>
      <w:r w:rsidR="00C24914">
        <w:t xml:space="preserve"> </w:t>
      </w:r>
      <w:r>
        <w:t>=</w:t>
      </w:r>
      <w:r w:rsidR="00C24914">
        <w:t xml:space="preserve"> </w:t>
      </w:r>
      <w:r>
        <w:t>5,000</w:t>
      </w:r>
    </w:p>
    <w:p w:rsidR="006638D9" w:rsidP="007B37DF">
      <w:pPr>
        <w:pStyle w:val="NormalWeb"/>
        <w:shd w:val="clear" w:color="auto" w:fill="FFFFFF"/>
      </w:pPr>
      <w:r>
        <w:t>PBP is</w:t>
      </w:r>
      <w:r w:rsidR="0089064E">
        <w:t xml:space="preserve"> 2 years and 9 </w:t>
      </w:r>
      <w:r w:rsidRPr="00103AEA" w:rsidR="0089064E">
        <w:t>months</w:t>
      </w:r>
      <w:r w:rsidR="0089064E">
        <w:t>.</w:t>
      </w:r>
    </w:p>
    <w:p w:rsidR="006638D9" w:rsidP="007B37DF">
      <w:pPr>
        <w:pStyle w:val="NormalWeb"/>
        <w:shd w:val="clear" w:color="auto" w:fill="FFFFFF"/>
      </w:pPr>
      <w:r>
        <w:t>DBP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6638D9" w:rsidP="001D1F48">
            <w:pPr>
              <w:pStyle w:val="NormalWeb"/>
            </w:pPr>
            <w:r>
              <w:t>Yr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A</w:t>
            </w:r>
            <w:r w:rsidR="001D1F48">
              <w:t>m</w:t>
            </w:r>
            <w:r>
              <w:t>nt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Discounting factor</w:t>
            </w:r>
          </w:p>
        </w:tc>
        <w:tc>
          <w:tcPr>
            <w:tcW w:w="1841" w:type="dxa"/>
          </w:tcPr>
          <w:p w:rsidR="006638D9" w:rsidP="001D1F48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6638D9" w:rsidP="001D1F48">
            <w:pPr>
              <w:pStyle w:val="NormalWeb"/>
            </w:pPr>
            <w:r>
              <w:t>Acc</w:t>
            </w:r>
            <w:r>
              <w:t>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0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165,000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1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-165,000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-165,000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1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0.909091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54,545.46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54,545.46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2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0.826446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49,586.76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104,132.22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3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0.751315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45,078.9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149,211.12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4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0.683013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40,980.78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190,191.9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6638D9" w:rsidP="007B37DF">
            <w:pPr>
              <w:pStyle w:val="NormalWeb"/>
            </w:pPr>
            <w:r>
              <w:t>5</w:t>
            </w:r>
          </w:p>
        </w:tc>
        <w:tc>
          <w:tcPr>
            <w:tcW w:w="1825" w:type="dxa"/>
          </w:tcPr>
          <w:p w:rsidR="006638D9" w:rsidP="007B37DF">
            <w:pPr>
              <w:pStyle w:val="NormalWeb"/>
            </w:pPr>
            <w:r>
              <w:t>60,000</w:t>
            </w:r>
          </w:p>
        </w:tc>
        <w:tc>
          <w:tcPr>
            <w:tcW w:w="2026" w:type="dxa"/>
          </w:tcPr>
          <w:p w:rsidR="006638D9" w:rsidP="007B37DF">
            <w:pPr>
              <w:pStyle w:val="NormalWeb"/>
            </w:pPr>
            <w:r>
              <w:t>0.620921</w:t>
            </w:r>
          </w:p>
        </w:tc>
        <w:tc>
          <w:tcPr>
            <w:tcW w:w="1841" w:type="dxa"/>
          </w:tcPr>
          <w:p w:rsidR="006638D9" w:rsidP="007B37DF">
            <w:pPr>
              <w:pStyle w:val="NormalWeb"/>
            </w:pPr>
            <w:r>
              <w:t>37,255.26</w:t>
            </w:r>
          </w:p>
        </w:tc>
        <w:tc>
          <w:tcPr>
            <w:tcW w:w="1850" w:type="dxa"/>
          </w:tcPr>
          <w:p w:rsidR="006638D9" w:rsidP="007B37DF">
            <w:pPr>
              <w:pStyle w:val="NormalWeb"/>
            </w:pPr>
            <w:r>
              <w:t>227,447.16</w:t>
            </w:r>
          </w:p>
        </w:tc>
      </w:tr>
    </w:tbl>
    <w:p w:rsidR="00043FC0" w:rsidP="007B37DF">
      <w:pPr>
        <w:pStyle w:val="NormalWeb"/>
        <w:shd w:val="clear" w:color="auto" w:fill="FFFFFF"/>
      </w:pPr>
      <w:r>
        <w:t xml:space="preserve">The PBP is </w:t>
      </w:r>
      <w:r w:rsidR="00A0763D">
        <w:t>165,000-104,132.22=60,868</w:t>
      </w:r>
    </w:p>
    <w:p w:rsidR="00043FC0" w:rsidP="007B37DF">
      <w:pPr>
        <w:pStyle w:val="NormalWeb"/>
        <w:shd w:val="clear" w:color="auto" w:fill="FFFFFF"/>
      </w:pPr>
      <w:r>
        <w:t xml:space="preserve">Assuming the 37,255.26 </w:t>
      </w:r>
      <w:r w:rsidRPr="00303ED8">
        <w:t xml:space="preserve">was </w:t>
      </w:r>
      <w:r>
        <w:t xml:space="preserve">evenly </w:t>
      </w:r>
      <w:r w:rsidRPr="00303ED8">
        <w:t xml:space="preserve">accrued </w:t>
      </w:r>
      <w:r>
        <w:t>60,868/3,104.61=19.6</w:t>
      </w:r>
    </w:p>
    <w:p w:rsidR="00043FC0" w:rsidP="007B37DF">
      <w:pPr>
        <w:pStyle w:val="NormalWeb"/>
        <w:shd w:val="clear" w:color="auto" w:fill="FFFFFF"/>
      </w:pPr>
      <w:r>
        <w:t>The PBP= 3 years and 6.6</w:t>
      </w:r>
      <w:r>
        <w:t xml:space="preserve"> months</w:t>
      </w:r>
    </w:p>
    <w:p w:rsidR="00903306" w:rsidP="007B37DF">
      <w:pPr>
        <w:pStyle w:val="NormalWeb"/>
        <w:shd w:val="clear" w:color="auto" w:fill="FFFFFF"/>
      </w:pPr>
      <w:r>
        <w:t>NPV</w:t>
      </w:r>
    </w:p>
    <w:tbl>
      <w:tblPr>
        <w:tblStyle w:val="TableGrid"/>
        <w:tblW w:w="0" w:type="auto"/>
        <w:tblLook w:val="04A0"/>
      </w:tblPr>
      <w:tblGrid>
        <w:gridCol w:w="1808"/>
        <w:gridCol w:w="1825"/>
        <w:gridCol w:w="2026"/>
        <w:gridCol w:w="1841"/>
        <w:gridCol w:w="1850"/>
      </w:tblGrid>
      <w:tr w:rsidTr="00190C6C">
        <w:tblPrEx>
          <w:tblW w:w="0" w:type="auto"/>
          <w:tblLook w:val="04A0"/>
        </w:tblPrEx>
        <w:trPr>
          <w:trHeight w:val="935"/>
        </w:trPr>
        <w:tc>
          <w:tcPr>
            <w:tcW w:w="1808" w:type="dxa"/>
          </w:tcPr>
          <w:p w:rsidR="00903306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Am</w:t>
            </w:r>
            <w:r>
              <w:t>nt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Discounting factor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Cumulative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0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165,000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1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-165,000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-165,000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One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60,000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0.909091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54,545.46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54,545.46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Two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60,000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0.826446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49,586.76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104,132.22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Three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60,000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0.751315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45,078.9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149,211.12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Four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60,000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0.683013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40,980.78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190,191.9</w:t>
            </w:r>
          </w:p>
        </w:tc>
      </w:tr>
      <w:tr w:rsidTr="00190C6C">
        <w:tblPrEx>
          <w:tblW w:w="0" w:type="auto"/>
          <w:tblLook w:val="04A0"/>
        </w:tblPrEx>
        <w:tc>
          <w:tcPr>
            <w:tcW w:w="1808" w:type="dxa"/>
          </w:tcPr>
          <w:p w:rsidR="00903306" w:rsidP="007B37DF">
            <w:pPr>
              <w:pStyle w:val="NormalWeb"/>
            </w:pPr>
            <w:r>
              <w:t>Five</w:t>
            </w:r>
          </w:p>
        </w:tc>
        <w:tc>
          <w:tcPr>
            <w:tcW w:w="1825" w:type="dxa"/>
          </w:tcPr>
          <w:p w:rsidR="00903306" w:rsidP="007B37DF">
            <w:pPr>
              <w:pStyle w:val="NormalWeb"/>
            </w:pPr>
            <w:r>
              <w:t>60,000</w:t>
            </w:r>
            <w:r w:rsidR="00627E4A">
              <w:t>.00</w:t>
            </w:r>
          </w:p>
        </w:tc>
        <w:tc>
          <w:tcPr>
            <w:tcW w:w="2026" w:type="dxa"/>
          </w:tcPr>
          <w:p w:rsidR="00903306" w:rsidP="007B37DF">
            <w:pPr>
              <w:pStyle w:val="NormalWeb"/>
            </w:pPr>
            <w:r>
              <w:t>0.620921</w:t>
            </w:r>
          </w:p>
        </w:tc>
        <w:tc>
          <w:tcPr>
            <w:tcW w:w="1841" w:type="dxa"/>
          </w:tcPr>
          <w:p w:rsidR="00903306" w:rsidP="007B37DF">
            <w:pPr>
              <w:pStyle w:val="NormalWeb"/>
            </w:pPr>
            <w:r>
              <w:t>37,255.26</w:t>
            </w:r>
          </w:p>
        </w:tc>
        <w:tc>
          <w:tcPr>
            <w:tcW w:w="1850" w:type="dxa"/>
          </w:tcPr>
          <w:p w:rsidR="00903306" w:rsidP="007B37DF">
            <w:pPr>
              <w:pStyle w:val="NormalWeb"/>
            </w:pPr>
            <w:r>
              <w:t>227,447.16</w:t>
            </w:r>
          </w:p>
        </w:tc>
      </w:tr>
    </w:tbl>
    <w:p w:rsidR="00903306" w:rsidP="007B37DF">
      <w:pPr>
        <w:pStyle w:val="NormalWeb"/>
        <w:shd w:val="clear" w:color="auto" w:fill="FFFFFF"/>
      </w:pPr>
      <w:r>
        <w:t>NPV= -165,000+227,447.16 = 62,447.16</w:t>
      </w:r>
    </w:p>
    <w:p w:rsidR="00E557DD" w:rsidP="007B37DF">
      <w:pPr>
        <w:pStyle w:val="NormalWeb"/>
        <w:shd w:val="clear" w:color="auto" w:fill="FFFFFF"/>
      </w:pPr>
      <w:r>
        <w:t>IRR</w:t>
      </w:r>
      <w:r w:rsidR="00712DAE">
        <w:t>=</w:t>
      </w:r>
    </w:p>
    <w:p w:rsidR="00E557DD" w:rsidP="007B37DF">
      <w:pPr>
        <w:pStyle w:val="NormalWeb"/>
        <w:shd w:val="clear" w:color="auto" w:fill="FFFFFF"/>
      </w:pPr>
      <w:r w:rsidRPr="00E557DD">
        <w:t>Dis</w:t>
      </w:r>
      <w:r w:rsidR="00627E4A">
        <w:t>cussion</w:t>
      </w:r>
    </w:p>
    <w:p w:rsidR="009F507A" w:rsidP="007B37DF">
      <w:pPr>
        <w:pStyle w:val="NormalWeb"/>
        <w:shd w:val="clear" w:color="auto" w:fill="FFFFFF"/>
      </w:pPr>
      <w:r w:rsidRPr="00E557DD">
        <w:t>1)</w:t>
      </w:r>
      <w:r w:rsidR="008869BB">
        <w:t xml:space="preserve"> R</w:t>
      </w:r>
      <w:r>
        <w:t>ecommend is scenario</w:t>
      </w:r>
      <w:r w:rsidRPr="00E557DD">
        <w:t xml:space="preserve"> D,</w:t>
      </w:r>
      <w:r>
        <w:t xml:space="preserve"> </w:t>
      </w:r>
      <w:r w:rsidR="008869BB">
        <w:t>because of its short PBP, top NPV and great</w:t>
      </w:r>
      <w:r>
        <w:t xml:space="preserve"> </w:t>
      </w:r>
      <w:r w:rsidRPr="00E557DD">
        <w:t>IRR</w:t>
      </w:r>
      <w:r>
        <w:t>.</w:t>
      </w:r>
    </w:p>
    <w:p w:rsidR="00E22984" w:rsidP="007B37DF">
      <w:pPr>
        <w:pStyle w:val="NormalWeb"/>
        <w:shd w:val="clear" w:color="auto" w:fill="FFFFFF"/>
      </w:pPr>
      <w:r>
        <w:t xml:space="preserve">2) </w:t>
      </w:r>
      <w:r w:rsidRPr="00E557DD" w:rsidR="00E557DD">
        <w:t>aggres</w:t>
      </w:r>
      <w:r>
        <w:t xml:space="preserve">sive scenario is B. </w:t>
      </w:r>
      <w:r w:rsidR="005D5091">
        <w:t>cash flows from both year 2 and 3 have to be compounded</w:t>
      </w:r>
      <w:r w:rsidRPr="00E557DD" w:rsidR="00E557DD">
        <w:t xml:space="preserve"> re-invested immediately after being realized.</w:t>
      </w:r>
    </w:p>
    <w:p w:rsidR="00E22984" w:rsidP="007B37DF">
      <w:pPr>
        <w:pStyle w:val="NormalWeb"/>
        <w:shd w:val="clear" w:color="auto" w:fill="FFFFFF"/>
      </w:pPr>
      <w:r>
        <w:t>3) the value of management in the discussed scenarios is to understand t</w:t>
      </w:r>
      <w:r w:rsidRPr="00E557DD" w:rsidR="00E557DD">
        <w:t xml:space="preserve">he difference between option A and </w:t>
      </w:r>
      <w:r w:rsidRPr="00E557DD" w:rsidR="00C76949">
        <w:t>B</w:t>
      </w:r>
      <w:r w:rsidR="00C76949">
        <w:t xml:space="preserve"> as well as</w:t>
      </w:r>
      <w:r>
        <w:t xml:space="preserve"> get to </w:t>
      </w:r>
      <w:r w:rsidR="00C76949">
        <w:t>know</w:t>
      </w:r>
      <w:r w:rsidRPr="00E557DD" w:rsidR="00C76949">
        <w:t xml:space="preserve"> part</w:t>
      </w:r>
      <w:r w:rsidRPr="00E557DD" w:rsidR="00E557DD">
        <w:t xml:space="preserve"> B</w:t>
      </w:r>
      <w:r w:rsidR="00C76949">
        <w:t xml:space="preserve"> earnings</w:t>
      </w:r>
      <w:r w:rsidRPr="00E557DD" w:rsidR="00E557DD">
        <w:t xml:space="preserve"> </w:t>
      </w:r>
      <w:r>
        <w:t xml:space="preserve">are </w:t>
      </w:r>
      <w:r w:rsidRPr="00E557DD" w:rsidR="00E557DD">
        <w:t>higher than those in A.</w:t>
      </w:r>
    </w:p>
    <w:p w:rsidR="00322529" w:rsidP="007B37DF">
      <w:pPr>
        <w:pStyle w:val="NormalWeb"/>
        <w:shd w:val="clear" w:color="auto" w:fill="FFFFFF"/>
      </w:pPr>
      <w:r>
        <w:t xml:space="preserve">4) What </w:t>
      </w:r>
      <w:r w:rsidR="00190C6C">
        <w:t xml:space="preserve">to consider </w:t>
      </w:r>
      <w:r w:rsidRPr="00E557DD" w:rsidR="00E557DD">
        <w:t>before</w:t>
      </w:r>
      <w:r w:rsidR="00190C6C">
        <w:t xml:space="preserve"> </w:t>
      </w:r>
      <w:r w:rsidR="00B85F67">
        <w:t xml:space="preserve">making a recommendation </w:t>
      </w:r>
      <w:r w:rsidRPr="003B02D2" w:rsidR="003B02D2">
        <w:t>(Nguyen)</w:t>
      </w:r>
    </w:p>
    <w:p w:rsidR="00322529" w:rsidP="007B37DF">
      <w:pPr>
        <w:pStyle w:val="NormalWeb"/>
        <w:numPr>
          <w:ilvl w:val="0"/>
          <w:numId w:val="6"/>
        </w:numPr>
        <w:shd w:val="clear" w:color="auto" w:fill="FFFFFF"/>
      </w:pPr>
      <w:r>
        <w:t xml:space="preserve">Present </w:t>
      </w:r>
      <w:r>
        <w:t>economic conditions</w:t>
      </w:r>
    </w:p>
    <w:p w:rsidR="00322529" w:rsidP="007B37DF">
      <w:pPr>
        <w:pStyle w:val="NormalWeb"/>
        <w:numPr>
          <w:ilvl w:val="0"/>
          <w:numId w:val="6"/>
        </w:numPr>
        <w:shd w:val="clear" w:color="auto" w:fill="FFFFFF"/>
      </w:pPr>
      <w:r>
        <w:t xml:space="preserve">Technology </w:t>
      </w:r>
    </w:p>
    <w:p w:rsidR="00455EFE" w:rsidP="008E4E48">
      <w:pPr>
        <w:pStyle w:val="NormalWeb"/>
        <w:numPr>
          <w:ilvl w:val="0"/>
          <w:numId w:val="6"/>
        </w:numPr>
        <w:shd w:val="clear" w:color="auto" w:fill="FFFFFF"/>
      </w:pPr>
      <w:r>
        <w:t>Government laws and policies</w:t>
      </w:r>
    </w:p>
    <w:p w:rsidR="00975218" w:rsidP="00455EFE">
      <w:pPr>
        <w:pStyle w:val="NormalWeb"/>
        <w:shd w:val="clear" w:color="auto" w:fill="FFFFFF"/>
      </w:pPr>
      <w:r>
        <w:t xml:space="preserve">5) I would approve this proposal because </w:t>
      </w:r>
      <w:r>
        <w:t>of the high returns I would gain.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Tr="00975218">
        <w:tblPrEx>
          <w:tblW w:w="0" w:type="auto"/>
          <w:tblLook w:val="04A0"/>
        </w:tblPrEx>
        <w:tc>
          <w:tcPr>
            <w:tcW w:w="3116" w:type="dxa"/>
          </w:tcPr>
          <w:p w:rsidR="00975218" w:rsidP="007B37DF">
            <w:pPr>
              <w:pStyle w:val="NormalWeb"/>
            </w:pPr>
            <w:r>
              <w:t>Y</w:t>
            </w:r>
            <w:r w:rsidR="007F6A18">
              <w:t>r</w:t>
            </w:r>
          </w:p>
        </w:tc>
        <w:tc>
          <w:tcPr>
            <w:tcW w:w="3117" w:type="dxa"/>
          </w:tcPr>
          <w:p w:rsidR="00975218" w:rsidP="007B37DF">
            <w:pPr>
              <w:pStyle w:val="NormalWeb"/>
            </w:pPr>
            <w:r>
              <w:t>Amount</w:t>
            </w:r>
          </w:p>
        </w:tc>
        <w:tc>
          <w:tcPr>
            <w:tcW w:w="3117" w:type="dxa"/>
          </w:tcPr>
          <w:p w:rsidR="00975218" w:rsidP="007B37DF">
            <w:pPr>
              <w:pStyle w:val="NormalWeb"/>
            </w:pPr>
            <w:r>
              <w:t xml:space="preserve">Cumulative </w:t>
            </w:r>
            <w:r>
              <w:t>am</w:t>
            </w:r>
            <w:r w:rsidR="007F6A18">
              <w:t>nt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975218" w:rsidP="007B37DF">
            <w:pPr>
              <w:pStyle w:val="NormalWeb"/>
            </w:pPr>
            <w:r>
              <w:t>0</w:t>
            </w:r>
          </w:p>
        </w:tc>
        <w:tc>
          <w:tcPr>
            <w:tcW w:w="3117" w:type="dxa"/>
          </w:tcPr>
          <w:p w:rsidR="00975218" w:rsidP="007B37DF">
            <w:pPr>
              <w:pStyle w:val="NormalWeb"/>
            </w:pPr>
            <w:r>
              <w:t>-585,000</w:t>
            </w:r>
            <w:r w:rsidR="00212805">
              <w:t>.00</w:t>
            </w:r>
          </w:p>
        </w:tc>
        <w:tc>
          <w:tcPr>
            <w:tcW w:w="3117" w:type="dxa"/>
          </w:tcPr>
          <w:p w:rsidR="00975218" w:rsidP="007B37DF">
            <w:pPr>
              <w:pStyle w:val="NormalWeb"/>
            </w:pPr>
            <w:r>
              <w:t>-585,000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Five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-20,000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-605,000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One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-85,000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-85,000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Two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15,000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-70,000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Three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48,600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-21,000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Four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72,200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50,800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Five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95,550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146,000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Six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101,300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247,650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Seven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125,200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372,850</w:t>
            </w:r>
            <w:r w:rsidR="00BF533E">
              <w:t>.00</w:t>
            </w:r>
          </w:p>
        </w:tc>
      </w:tr>
      <w:tr w:rsidTr="00975218">
        <w:tblPrEx>
          <w:tblW w:w="0" w:type="auto"/>
          <w:tblLook w:val="04A0"/>
        </w:tblPrEx>
        <w:tc>
          <w:tcPr>
            <w:tcW w:w="3116" w:type="dxa"/>
          </w:tcPr>
          <w:p w:rsidR="00B72A63" w:rsidP="007B37DF">
            <w:pPr>
              <w:pStyle w:val="NormalWeb"/>
            </w:pPr>
            <w:r>
              <w:t>Eight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140,000</w:t>
            </w:r>
            <w:r w:rsidR="00212805">
              <w:t>.00</w:t>
            </w:r>
          </w:p>
        </w:tc>
        <w:tc>
          <w:tcPr>
            <w:tcW w:w="3117" w:type="dxa"/>
          </w:tcPr>
          <w:p w:rsidR="00B72A63" w:rsidP="007B37DF">
            <w:pPr>
              <w:pStyle w:val="NormalWeb"/>
            </w:pPr>
            <w:r>
              <w:t>513,050</w:t>
            </w:r>
            <w:r w:rsidR="00BF533E">
              <w:t>.00</w:t>
            </w:r>
          </w:p>
        </w:tc>
      </w:tr>
    </w:tbl>
    <w:p w:rsidR="00940CBD" w:rsidP="007B37DF">
      <w:pPr>
        <w:pStyle w:val="NormalWeb"/>
        <w:shd w:val="clear" w:color="auto" w:fill="FFFFFF"/>
      </w:pPr>
      <w:r>
        <w:t>W</w:t>
      </w:r>
      <w:r>
        <w:t>e lack a</w:t>
      </w:r>
      <w:r w:rsidRPr="00940CBD">
        <w:t xml:space="preserve"> PBP</w:t>
      </w:r>
    </w:p>
    <w:p w:rsidR="006638D9" w:rsidP="007B37DF">
      <w:pPr>
        <w:pStyle w:val="NormalWeb"/>
        <w:shd w:val="clear" w:color="auto" w:fill="FFFFFF"/>
      </w:pPr>
      <w:r>
        <w:t xml:space="preserve">513,050 is less than </w:t>
      </w:r>
      <w:r w:rsidRPr="00940CBD">
        <w:t>605,000</w:t>
      </w:r>
    </w:p>
    <w:p w:rsidR="00712DAE" w:rsidP="007B37DF">
      <w:pPr>
        <w:pStyle w:val="NormalWeb"/>
        <w:shd w:val="clear" w:color="auto" w:fill="FFFFFF"/>
      </w:pPr>
    </w:p>
    <w:p w:rsidR="00712DAE" w:rsidP="007B37DF">
      <w:pPr>
        <w:pStyle w:val="NormalWeb"/>
        <w:shd w:val="clear" w:color="auto" w:fill="FFFFFF"/>
      </w:pPr>
    </w:p>
    <w:p w:rsidR="00712DAE" w:rsidP="007B37DF">
      <w:pPr>
        <w:pStyle w:val="NormalWeb"/>
        <w:shd w:val="clear" w:color="auto" w:fill="FFFFFF"/>
      </w:pPr>
    </w:p>
    <w:p w:rsidR="00712DAE" w:rsidP="007B37DF">
      <w:pPr>
        <w:pStyle w:val="NormalWeb"/>
        <w:shd w:val="clear" w:color="auto" w:fill="FFFFFF"/>
      </w:pPr>
    </w:p>
    <w:p w:rsidR="00712DAE" w:rsidP="007B37DF">
      <w:pPr>
        <w:pStyle w:val="NormalWeb"/>
        <w:shd w:val="clear" w:color="auto" w:fill="FFFFFF"/>
      </w:pPr>
    </w:p>
    <w:p w:rsidR="00940CBD" w:rsidP="007B37DF">
      <w:pPr>
        <w:pStyle w:val="NormalWeb"/>
        <w:shd w:val="clear" w:color="auto" w:fill="FFFFFF"/>
      </w:pPr>
      <w:r>
        <w:t>DBP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Tr="00514713">
        <w:tblPrEx>
          <w:tblW w:w="0" w:type="auto"/>
          <w:tblLook w:val="04A0"/>
        </w:tblPrEx>
        <w:tc>
          <w:tcPr>
            <w:tcW w:w="1870" w:type="dxa"/>
          </w:tcPr>
          <w:p w:rsidR="00514713" w:rsidP="007B37DF">
            <w:pPr>
              <w:pStyle w:val="NormalWeb"/>
            </w:pPr>
            <w:r>
              <w:t>Y</w:t>
            </w:r>
            <w:r>
              <w:t>r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Am</w:t>
            </w:r>
            <w:r>
              <w:t>nt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 w:rsidRPr="00514713">
              <w:t>1/(1+r)^n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 xml:space="preserve">Discounted </w:t>
            </w:r>
            <w:r>
              <w:t>am</w:t>
            </w:r>
            <w:r>
              <w:t>nt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 xml:space="preserve">Cumulative </w:t>
            </w:r>
            <w:r>
              <w:t>amnt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514713" w:rsidP="007B37DF">
            <w:pPr>
              <w:pStyle w:val="NormalWeb"/>
            </w:pPr>
            <w:r>
              <w:t>0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585,000</w:t>
            </w:r>
            <w:r w:rsidR="00F525E1">
              <w:t>.00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1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585,000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585,000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514713" w:rsidP="007B37DF">
            <w:pPr>
              <w:pStyle w:val="NormalWeb"/>
            </w:pPr>
            <w:r>
              <w:t>5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20,000</w:t>
            </w:r>
            <w:r w:rsidR="00F525E1">
              <w:t>.00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0.567427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11,348.54</w:t>
            </w:r>
          </w:p>
        </w:tc>
        <w:tc>
          <w:tcPr>
            <w:tcW w:w="1870" w:type="dxa"/>
          </w:tcPr>
          <w:p w:rsidR="00514713" w:rsidP="007B37DF">
            <w:pPr>
              <w:pStyle w:val="NormalWeb"/>
            </w:pPr>
            <w:r>
              <w:t>596,348.54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1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85,000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0.892857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75,892.86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75,892.86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2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15,000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0.797194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11,957.91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63,934.95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3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48,600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0.71178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34,592.52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29,342 .43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4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72,200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0.635518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45,884.41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16,541.98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5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95,500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0.5657427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54,189.26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70,731.24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6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101,300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0.506631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51,321.73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122,052.97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661373" w:rsidP="007B37DF">
            <w:pPr>
              <w:pStyle w:val="NormalWeb"/>
            </w:pPr>
            <w:r>
              <w:t>7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125,200</w:t>
            </w:r>
            <w:r w:rsidR="00F525E1">
              <w:t>.00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0.452349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56,634.12</w:t>
            </w:r>
          </w:p>
        </w:tc>
        <w:tc>
          <w:tcPr>
            <w:tcW w:w="1870" w:type="dxa"/>
          </w:tcPr>
          <w:p w:rsidR="00661373" w:rsidP="007B37DF">
            <w:pPr>
              <w:pStyle w:val="NormalWeb"/>
            </w:pPr>
            <w:r>
              <w:t>178,687.10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820EA5" w:rsidP="007B37DF">
            <w:pPr>
              <w:pStyle w:val="NormalWeb"/>
            </w:pPr>
            <w:r>
              <w:t>8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140,200</w:t>
            </w:r>
            <w:r w:rsidR="00F525E1">
              <w:t>.00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0.403883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56,624.43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235,311.52</w:t>
            </w:r>
          </w:p>
        </w:tc>
      </w:tr>
      <w:tr w:rsidTr="00514713">
        <w:tblPrEx>
          <w:tblW w:w="0" w:type="auto"/>
          <w:tblLook w:val="04A0"/>
        </w:tblPrEx>
        <w:tc>
          <w:tcPr>
            <w:tcW w:w="1870" w:type="dxa"/>
          </w:tcPr>
          <w:p w:rsidR="00820EA5" w:rsidP="007B37DF">
            <w:pPr>
              <w:pStyle w:val="NormalWeb"/>
            </w:pPr>
            <w:r>
              <w:t>9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300,000</w:t>
            </w:r>
            <w:r w:rsidR="00F525E1">
              <w:t>.00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0.403883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121,164.97</w:t>
            </w:r>
          </w:p>
        </w:tc>
        <w:tc>
          <w:tcPr>
            <w:tcW w:w="1870" w:type="dxa"/>
          </w:tcPr>
          <w:p w:rsidR="00820EA5" w:rsidP="007B37DF">
            <w:pPr>
              <w:pStyle w:val="NormalWeb"/>
            </w:pPr>
            <w:r>
              <w:t>356,,476.49</w:t>
            </w:r>
          </w:p>
        </w:tc>
      </w:tr>
    </w:tbl>
    <w:p w:rsidR="00514713" w:rsidP="007B37DF">
      <w:pPr>
        <w:pStyle w:val="NormalWeb"/>
        <w:shd w:val="clear" w:color="auto" w:fill="FFFFFF"/>
      </w:pPr>
      <w:r>
        <w:t>D</w:t>
      </w:r>
      <w:r w:rsidRPr="006D05A2" w:rsidR="006D05A2">
        <w:t>iscounted PBP is n</w:t>
      </w:r>
      <w:r>
        <w:t xml:space="preserve">ot achieved by </w:t>
      </w:r>
      <w:r w:rsidRPr="006D05A2" w:rsidR="006D05A2">
        <w:t>operations</w:t>
      </w:r>
      <w:r>
        <w:t xml:space="preserve"> cash inflow</w:t>
      </w:r>
      <w:r w:rsidRPr="006D05A2" w:rsidR="006D05A2">
        <w:t>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</w:tblGrid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Amount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D</w:t>
            </w:r>
            <w:r w:rsidRPr="00514713">
              <w:t>iscounting factor 1/(1+r)^n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Discounted amount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Cumulative amount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585,000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585,000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585,000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20,000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0.567427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11,348.54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596,348.54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85,000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0.892857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75,892.86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75,892.86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15,000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0.797194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11,957.91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63,934.95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48,600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0.71178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34,592.52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29,342 .43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72,200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0.635518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45,884.41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16,541.98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95,500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0.5657427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54,189.26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70,731.24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101,300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0.506631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51,321.73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122,052.97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125,200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0.452349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56,634.12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178,687.10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140,200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0.403883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56,624.43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235,311.52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  <w:r>
              <w:t>300,000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0.403883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121,164.97</w:t>
            </w: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  <w:r>
              <w:t>356,,476.49</w:t>
            </w:r>
          </w:p>
        </w:tc>
      </w:tr>
      <w:tr w:rsidTr="00EF1C2C">
        <w:tblPrEx>
          <w:tblW w:w="0" w:type="auto"/>
          <w:tblLook w:val="04A0"/>
        </w:tblPrEx>
        <w:tc>
          <w:tcPr>
            <w:tcW w:w="1870" w:type="dxa"/>
          </w:tcPr>
          <w:p w:rsidR="00EC4692" w:rsidP="007B37DF">
            <w:pPr>
              <w:pStyle w:val="NormalWeb"/>
            </w:pP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</w:p>
        </w:tc>
        <w:tc>
          <w:tcPr>
            <w:tcW w:w="1870" w:type="dxa"/>
          </w:tcPr>
          <w:p w:rsidR="00EC4692" w:rsidP="007B37DF">
            <w:pPr>
              <w:pStyle w:val="NormalWeb"/>
            </w:pPr>
          </w:p>
        </w:tc>
      </w:tr>
    </w:tbl>
    <w:p w:rsidR="00DA3599" w:rsidP="007B37DF">
      <w:pPr>
        <w:pStyle w:val="NormalWeb"/>
        <w:shd w:val="clear" w:color="auto" w:fill="FFFFFF"/>
      </w:pPr>
      <w:r>
        <w:t>NPV= -370,717.47</w:t>
      </w:r>
    </w:p>
    <w:p w:rsidR="00824556" w:rsidP="007B37DF">
      <w:pPr>
        <w:pStyle w:val="NormalWeb"/>
        <w:shd w:val="clear" w:color="auto" w:fill="FFFFFF"/>
      </w:pPr>
      <w:r>
        <w:t>IRR=4%</w:t>
      </w:r>
    </w:p>
    <w:p w:rsidR="00824556" w:rsidP="007B37DF">
      <w:pPr>
        <w:pStyle w:val="NormalWeb"/>
        <w:shd w:val="clear" w:color="auto" w:fill="FFFFFF"/>
      </w:pPr>
      <w:r w:rsidRPr="00824556">
        <w:t xml:space="preserve">Discussion </w:t>
      </w:r>
    </w:p>
    <w:p w:rsidR="00824556" w:rsidP="007B37DF">
      <w:pPr>
        <w:pStyle w:val="NormalWeb"/>
        <w:shd w:val="clear" w:color="auto" w:fill="FFFFFF"/>
      </w:pPr>
      <w:r>
        <w:t>:1) I would n</w:t>
      </w:r>
      <w:r w:rsidRPr="00824556">
        <w:t>o</w:t>
      </w:r>
      <w:r>
        <w:t xml:space="preserve">t recommend this purchase </w:t>
      </w:r>
      <w:r w:rsidR="00985B4E">
        <w:t xml:space="preserve">because NPV is negative, </w:t>
      </w:r>
      <w:r>
        <w:t>IRR</w:t>
      </w:r>
      <w:r w:rsidRPr="00824556">
        <w:t xml:space="preserve"> </w:t>
      </w:r>
      <w:r w:rsidR="00985B4E">
        <w:t xml:space="preserve">is low </w:t>
      </w:r>
      <w:r>
        <w:t xml:space="preserve">and </w:t>
      </w:r>
      <w:r w:rsidRPr="00824556">
        <w:t>the</w:t>
      </w:r>
      <w:r w:rsidR="00BA41C7">
        <w:t xml:space="preserve"> absence</w:t>
      </w:r>
      <w:r>
        <w:t xml:space="preserve"> of PBP it </w:t>
      </w:r>
      <w:r w:rsidRPr="00824556">
        <w:t>seems very much not viable</w:t>
      </w:r>
      <w:r>
        <w:t>.</w:t>
      </w:r>
    </w:p>
    <w:p w:rsidR="005B6DC8" w:rsidP="005B6DC8">
      <w:pPr>
        <w:pStyle w:val="NormalWeb"/>
        <w:shd w:val="clear" w:color="auto" w:fill="FFFFFF"/>
      </w:pPr>
    </w:p>
    <w:p w:rsidR="005B6DC8" w:rsidP="005B6DC8">
      <w:pPr>
        <w:pStyle w:val="NormalWeb"/>
        <w:shd w:val="clear" w:color="auto" w:fill="FFFFFF"/>
      </w:pPr>
      <w:r>
        <w:t>2)</w:t>
      </w:r>
      <w:r>
        <w:t xml:space="preserve">  -</w:t>
      </w:r>
      <w:r w:rsidR="00D671A9">
        <w:t>The period of to accomplish</w:t>
      </w:r>
      <w:r w:rsidRPr="00824556">
        <w:t xml:space="preserve"> the project</w:t>
      </w:r>
    </w:p>
    <w:p w:rsidR="005B6DC8" w:rsidP="005B6DC8">
      <w:pPr>
        <w:pStyle w:val="NormalWeb"/>
        <w:shd w:val="clear" w:color="auto" w:fill="FFFFFF"/>
      </w:pPr>
      <w:r>
        <w:t xml:space="preserve">     -Dynamic </w:t>
      </w:r>
      <w:r w:rsidRPr="00824556" w:rsidR="00824556">
        <w:t>economic conditions</w:t>
      </w:r>
    </w:p>
    <w:p w:rsidR="00824556" w:rsidP="005B6DC8">
      <w:pPr>
        <w:pStyle w:val="NormalWeb"/>
        <w:shd w:val="clear" w:color="auto" w:fill="FFFFFF"/>
      </w:pPr>
      <w:r>
        <w:t xml:space="preserve">      -extra</w:t>
      </w:r>
      <w:r w:rsidRPr="00824556">
        <w:t xml:space="preserve"> tax benefits</w:t>
      </w:r>
    </w:p>
    <w:p w:rsidR="00886FF0" w:rsidP="00886FF0">
      <w:pPr>
        <w:pStyle w:val="NormalWeb"/>
        <w:numPr>
          <w:ilvl w:val="0"/>
          <w:numId w:val="10"/>
        </w:numPr>
        <w:shd w:val="clear" w:color="auto" w:fill="FFFFFF"/>
      </w:pPr>
      <w:r>
        <w:t>-</w:t>
      </w:r>
      <w:r w:rsidR="00824556">
        <w:t>NPV below zero</w:t>
      </w:r>
    </w:p>
    <w:p w:rsidR="00886FF0" w:rsidP="00886FF0">
      <w:pPr>
        <w:pStyle w:val="NormalWeb"/>
        <w:shd w:val="clear" w:color="auto" w:fill="FFFFFF"/>
        <w:ind w:left="720"/>
      </w:pPr>
      <w:r>
        <w:t>-</w:t>
      </w:r>
      <w:r w:rsidR="00824556">
        <w:t>L</w:t>
      </w:r>
      <w:r w:rsidRPr="00824556" w:rsidR="00824556">
        <w:t>ow</w:t>
      </w:r>
      <w:r w:rsidR="00824556">
        <w:t xml:space="preserve"> return rate</w:t>
      </w:r>
    </w:p>
    <w:p w:rsidR="00DA3599" w:rsidP="00886FF0">
      <w:pPr>
        <w:pStyle w:val="NormalWeb"/>
        <w:shd w:val="clear" w:color="auto" w:fill="FFFFFF"/>
        <w:ind w:left="720"/>
      </w:pPr>
      <w:r>
        <w:t>-</w:t>
      </w:r>
      <w:r w:rsidRPr="00824556" w:rsidR="00824556">
        <w:t>The PBP is not achieved</w:t>
      </w:r>
    </w:p>
    <w:p w:rsidR="002E5FA6" w:rsidP="007B37DF">
      <w:pPr>
        <w:pStyle w:val="NormalWeb"/>
        <w:shd w:val="clear" w:color="auto" w:fill="FFFFFF"/>
      </w:pPr>
    </w:p>
    <w:p w:rsidR="002E5FA6" w:rsidP="007B37DF">
      <w:pPr>
        <w:pStyle w:val="NormalWeb"/>
        <w:shd w:val="clear" w:color="auto" w:fill="FFFFFF"/>
      </w:pPr>
    </w:p>
    <w:p w:rsidR="002E5FA6" w:rsidP="007B37DF">
      <w:pPr>
        <w:pStyle w:val="NormalWeb"/>
        <w:shd w:val="clear" w:color="auto" w:fill="FFFFFF"/>
      </w:pPr>
    </w:p>
    <w:p w:rsidR="002E5FA6" w:rsidP="007B37DF">
      <w:pPr>
        <w:pStyle w:val="NormalWeb"/>
        <w:shd w:val="clear" w:color="auto" w:fill="FFFFFF"/>
      </w:pPr>
    </w:p>
    <w:p w:rsidR="002E5FA6" w:rsidP="007B37DF">
      <w:pPr>
        <w:pStyle w:val="NormalWeb"/>
        <w:shd w:val="clear" w:color="auto" w:fill="FFFFFF"/>
      </w:pPr>
    </w:p>
    <w:p w:rsidR="002E5FA6" w:rsidP="007B37DF">
      <w:pPr>
        <w:pStyle w:val="NormalWeb"/>
        <w:shd w:val="clear" w:color="auto" w:fill="FFFFFF"/>
      </w:pPr>
    </w:p>
    <w:p w:rsidR="007F1A51" w:rsidP="007B37DF">
      <w:pPr>
        <w:pStyle w:val="NormalWeb"/>
        <w:shd w:val="clear" w:color="auto" w:fill="FFFFFF"/>
        <w:jc w:val="center"/>
      </w:pPr>
    </w:p>
    <w:p w:rsidR="007F1A51" w:rsidP="007B37DF">
      <w:pPr>
        <w:pStyle w:val="NormalWeb"/>
        <w:shd w:val="clear" w:color="auto" w:fill="FFFFFF"/>
        <w:jc w:val="center"/>
      </w:pPr>
    </w:p>
    <w:p w:rsidR="007F1A51" w:rsidP="007B37DF">
      <w:pPr>
        <w:pStyle w:val="NormalWeb"/>
        <w:shd w:val="clear" w:color="auto" w:fill="FFFFFF"/>
        <w:jc w:val="center"/>
      </w:pPr>
    </w:p>
    <w:p w:rsidR="007F1A51" w:rsidP="007B37DF">
      <w:pPr>
        <w:pStyle w:val="NormalWeb"/>
        <w:shd w:val="clear" w:color="auto" w:fill="FFFFFF"/>
        <w:jc w:val="center"/>
      </w:pPr>
    </w:p>
    <w:p w:rsidR="00712DAE" w:rsidP="007B37DF">
      <w:pPr>
        <w:pStyle w:val="NormalWeb"/>
        <w:shd w:val="clear" w:color="auto" w:fill="FFFFFF"/>
        <w:jc w:val="center"/>
      </w:pPr>
    </w:p>
    <w:p w:rsidR="00712DAE" w:rsidP="007B37DF">
      <w:pPr>
        <w:pStyle w:val="NormalWeb"/>
        <w:shd w:val="clear" w:color="auto" w:fill="FFFFFF"/>
        <w:jc w:val="center"/>
      </w:pPr>
    </w:p>
    <w:p w:rsidR="00712DAE" w:rsidP="007B37DF">
      <w:pPr>
        <w:pStyle w:val="NormalWeb"/>
        <w:shd w:val="clear" w:color="auto" w:fill="FFFFFF"/>
        <w:jc w:val="center"/>
      </w:pPr>
    </w:p>
    <w:p w:rsidR="00712DAE" w:rsidP="007B37DF">
      <w:pPr>
        <w:pStyle w:val="NormalWeb"/>
        <w:shd w:val="clear" w:color="auto" w:fill="FFFFFF"/>
        <w:jc w:val="center"/>
      </w:pPr>
    </w:p>
    <w:p w:rsidR="00886FF0" w:rsidP="007B37DF">
      <w:pPr>
        <w:pStyle w:val="NormalWeb"/>
        <w:shd w:val="clear" w:color="auto" w:fill="FFFFFF"/>
        <w:jc w:val="center"/>
      </w:pPr>
    </w:p>
    <w:p w:rsidR="00886FF0" w:rsidP="007B37DF">
      <w:pPr>
        <w:pStyle w:val="NormalWeb"/>
        <w:shd w:val="clear" w:color="auto" w:fill="FFFFFF"/>
        <w:jc w:val="center"/>
      </w:pPr>
    </w:p>
    <w:p w:rsidR="00886FF0" w:rsidP="007B37DF">
      <w:pPr>
        <w:pStyle w:val="NormalWeb"/>
        <w:shd w:val="clear" w:color="auto" w:fill="FFFFFF"/>
        <w:jc w:val="center"/>
      </w:pPr>
    </w:p>
    <w:p w:rsidR="00886FF0" w:rsidP="007B37DF">
      <w:pPr>
        <w:pStyle w:val="NormalWeb"/>
        <w:shd w:val="clear" w:color="auto" w:fill="FFFFFF"/>
        <w:jc w:val="center"/>
      </w:pPr>
    </w:p>
    <w:p w:rsidR="002E5FA6" w:rsidP="007B37DF">
      <w:pPr>
        <w:pStyle w:val="NormalWeb"/>
        <w:shd w:val="clear" w:color="auto" w:fill="FFFFFF"/>
        <w:jc w:val="center"/>
      </w:pPr>
      <w:r>
        <w:t>References</w:t>
      </w:r>
    </w:p>
    <w:p w:rsidR="003B02D2" w:rsidP="007B37DF">
      <w:pPr>
        <w:pStyle w:val="NormalWeb"/>
        <w:shd w:val="clear" w:color="auto" w:fill="FFFFFF"/>
        <w:jc w:val="center"/>
      </w:pPr>
      <w:r w:rsidRPr="009C5C56">
        <w:t>Branislav</w:t>
      </w:r>
      <w:r w:rsidRPr="009C5C56">
        <w:t xml:space="preserve"> </w:t>
      </w:r>
      <w:r w:rsidRPr="009C5C56">
        <w:t>Marić</w:t>
      </w:r>
      <w:r w:rsidRPr="009C5C56">
        <w:t xml:space="preserve">. "Observing The Dependence Between Dynamic Indicators </w:t>
      </w:r>
      <w:r w:rsidRPr="009C5C56">
        <w:t>Of</w:t>
      </w:r>
      <w:r w:rsidRPr="009C5C56">
        <w:t xml:space="preserve"> Investment Profitability - Relative Net Present Value And Internal Rate Of Return". AFRICAN JOURNAL OF BUSINESS MANAGEMENT, </w:t>
      </w:r>
      <w:r w:rsidRPr="009C5C56">
        <w:t>vol</w:t>
      </w:r>
      <w:r w:rsidRPr="009C5C56">
        <w:t xml:space="preserve"> 5, no. 26, 2011. Academic Journals, doi:10.5897/ajbm10.1464.</w:t>
      </w:r>
    </w:p>
    <w:p w:rsidR="003B02D2" w:rsidP="007B37DF">
      <w:pPr>
        <w:pStyle w:val="NormalWeb"/>
        <w:shd w:val="clear" w:color="auto" w:fill="FFFFFF"/>
        <w:jc w:val="center"/>
      </w:pPr>
      <w:r w:rsidRPr="003B02D2">
        <w:t xml:space="preserve">Nguyen, </w:t>
      </w:r>
      <w:r w:rsidRPr="003B02D2">
        <w:t>Vy</w:t>
      </w:r>
      <w:r w:rsidRPr="003B02D2">
        <w:t xml:space="preserve">. Evaluation </w:t>
      </w:r>
      <w:r w:rsidRPr="003B02D2">
        <w:t>Of</w:t>
      </w:r>
      <w:r w:rsidRPr="003B02D2">
        <w:t xml:space="preserve"> Capital Investments At </w:t>
      </w:r>
      <w:r w:rsidRPr="003B02D2">
        <w:t>Cliniqa</w:t>
      </w:r>
      <w:r w:rsidRPr="003B02D2">
        <w:t xml:space="preserve"> Corporation.</w:t>
      </w:r>
    </w:p>
    <w:p w:rsidR="003B02D2" w:rsidP="007B37DF">
      <w:pPr>
        <w:pStyle w:val="NormalWeb"/>
        <w:shd w:val="clear" w:color="auto" w:fill="FFFFFF"/>
        <w:jc w:val="center"/>
      </w:pPr>
      <w:r w:rsidRPr="007F1A51">
        <w:t xml:space="preserve">Nijman, C, and A. A </w:t>
      </w:r>
      <w:r w:rsidRPr="007F1A51">
        <w:t>Kampfraath</w:t>
      </w:r>
      <w:r w:rsidRPr="007F1A51">
        <w:t xml:space="preserve">. The Management Perspective On </w:t>
      </w:r>
      <w:r w:rsidRPr="007F1A51">
        <w:t>The</w:t>
      </w:r>
      <w:r w:rsidRPr="007F1A51">
        <w:t xml:space="preserve"> Performance Of The Irrigation Subsector.</w:t>
      </w: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  <w:ind w:firstLine="4680"/>
      </w:pPr>
    </w:p>
    <w:p w:rsidR="00E865BD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</w:p>
    <w:p w:rsidR="002E7F11" w:rsidRPr="00F14C06" w:rsidP="007B37DF">
      <w:pPr>
        <w:pStyle w:val="NormalWeb"/>
        <w:shd w:val="clear" w:color="auto" w:fill="FFFFFF"/>
        <w:tabs>
          <w:tab w:val="center" w:pos="4680"/>
          <w:tab w:val="left" w:pos="5115"/>
        </w:tabs>
      </w:pPr>
    </w:p>
    <w:p w:rsidR="003065BC" w:rsidP="007B37DF">
      <w:pPr>
        <w:pStyle w:val="NormalWeb"/>
        <w:shd w:val="clear" w:color="auto" w:fill="FFFFFF"/>
      </w:pPr>
    </w:p>
    <w:p w:rsidR="004F4D5E" w:rsidRPr="00786A52" w:rsidP="007B37DF">
      <w:pPr>
        <w:pStyle w:val="NormalWeb"/>
        <w:shd w:val="clear" w:color="auto" w:fill="FFFFFF"/>
      </w:pPr>
      <w:bookmarkStart w:id="0" w:name="_GoBack"/>
      <w:bookmarkEnd w:id="0"/>
    </w:p>
    <w:sectPr w:rsidSect="00786A52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C6C">
    <w:pPr>
      <w:pStyle w:val="Header"/>
      <w:jc w:val="right"/>
    </w:pPr>
    <w:r>
      <w:t>CAPITAL INVESTMENET TECHNIQUES</w:t>
    </w:r>
    <w:r>
      <w:tab/>
    </w:r>
    <w:r>
      <w:tab/>
    </w:r>
    <w:sdt>
      <w:sdtPr>
        <w:id w:val="16641218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A0D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19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C6C">
    <w:pPr>
      <w:pStyle w:val="Header"/>
      <w:jc w:val="right"/>
    </w:pPr>
    <w:r>
      <w:t>Running head: CAPITAL INVESMENT TECHNIQUES</w:t>
    </w:r>
    <w:r>
      <w:tab/>
    </w:r>
    <w:r>
      <w:tab/>
    </w:r>
    <w:sdt>
      <w:sdtPr>
        <w:id w:val="-16677025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D1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9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961665"/>
    <w:multiLevelType w:val="hybridMultilevel"/>
    <w:tmpl w:val="90EE6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273"/>
    <w:multiLevelType w:val="hybridMultilevel"/>
    <w:tmpl w:val="ED4C41C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4F1E"/>
    <w:multiLevelType w:val="hybridMultilevel"/>
    <w:tmpl w:val="D0C81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01F80"/>
    <w:multiLevelType w:val="hybridMultilevel"/>
    <w:tmpl w:val="E79E14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042"/>
    <w:multiLevelType w:val="hybridMultilevel"/>
    <w:tmpl w:val="3208A8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1AC4"/>
    <w:multiLevelType w:val="hybridMultilevel"/>
    <w:tmpl w:val="26C6B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37D3E"/>
    <w:multiLevelType w:val="hybridMultilevel"/>
    <w:tmpl w:val="478AE09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60B9"/>
    <w:multiLevelType w:val="multilevel"/>
    <w:tmpl w:val="E5E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36E86"/>
    <w:multiLevelType w:val="hybridMultilevel"/>
    <w:tmpl w:val="B10A3D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674D6"/>
    <w:multiLevelType w:val="hybridMultilevel"/>
    <w:tmpl w:val="B5B6BB5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2"/>
    <w:rsid w:val="00022AA5"/>
    <w:rsid w:val="00035223"/>
    <w:rsid w:val="00043FC0"/>
    <w:rsid w:val="00050895"/>
    <w:rsid w:val="00066F92"/>
    <w:rsid w:val="00070364"/>
    <w:rsid w:val="00082BCE"/>
    <w:rsid w:val="0008554B"/>
    <w:rsid w:val="0009176D"/>
    <w:rsid w:val="000A0F11"/>
    <w:rsid w:val="000A194E"/>
    <w:rsid w:val="000A6082"/>
    <w:rsid w:val="000D379B"/>
    <w:rsid w:val="000F1FA0"/>
    <w:rsid w:val="00103AEA"/>
    <w:rsid w:val="00107A73"/>
    <w:rsid w:val="00115BAB"/>
    <w:rsid w:val="0016123C"/>
    <w:rsid w:val="001843D1"/>
    <w:rsid w:val="0018659B"/>
    <w:rsid w:val="00190C6C"/>
    <w:rsid w:val="001A6C02"/>
    <w:rsid w:val="001B333F"/>
    <w:rsid w:val="001D1F48"/>
    <w:rsid w:val="001D6767"/>
    <w:rsid w:val="00202C09"/>
    <w:rsid w:val="00211191"/>
    <w:rsid w:val="00212805"/>
    <w:rsid w:val="002453B7"/>
    <w:rsid w:val="0025365F"/>
    <w:rsid w:val="002851B7"/>
    <w:rsid w:val="00286547"/>
    <w:rsid w:val="00286590"/>
    <w:rsid w:val="002909BA"/>
    <w:rsid w:val="0029467B"/>
    <w:rsid w:val="002A19AA"/>
    <w:rsid w:val="002A1B7C"/>
    <w:rsid w:val="002A2229"/>
    <w:rsid w:val="002B5C29"/>
    <w:rsid w:val="002E36B6"/>
    <w:rsid w:val="002E5FA6"/>
    <w:rsid w:val="002E7F11"/>
    <w:rsid w:val="00303ED8"/>
    <w:rsid w:val="003065BC"/>
    <w:rsid w:val="003216B4"/>
    <w:rsid w:val="00322529"/>
    <w:rsid w:val="00334E65"/>
    <w:rsid w:val="003738D1"/>
    <w:rsid w:val="00386964"/>
    <w:rsid w:val="00391F25"/>
    <w:rsid w:val="003B02D2"/>
    <w:rsid w:val="003C4A33"/>
    <w:rsid w:val="003D67F9"/>
    <w:rsid w:val="004010F3"/>
    <w:rsid w:val="00406F35"/>
    <w:rsid w:val="00455EFE"/>
    <w:rsid w:val="00470BDB"/>
    <w:rsid w:val="00476E76"/>
    <w:rsid w:val="004F4D5E"/>
    <w:rsid w:val="00514713"/>
    <w:rsid w:val="00556764"/>
    <w:rsid w:val="00571270"/>
    <w:rsid w:val="00582260"/>
    <w:rsid w:val="005869E5"/>
    <w:rsid w:val="005945D0"/>
    <w:rsid w:val="0059583E"/>
    <w:rsid w:val="005964B1"/>
    <w:rsid w:val="00597051"/>
    <w:rsid w:val="005B6B99"/>
    <w:rsid w:val="005B6DC8"/>
    <w:rsid w:val="005C3659"/>
    <w:rsid w:val="005C638B"/>
    <w:rsid w:val="005D5091"/>
    <w:rsid w:val="005E2978"/>
    <w:rsid w:val="005F29BE"/>
    <w:rsid w:val="00604362"/>
    <w:rsid w:val="00620B57"/>
    <w:rsid w:val="00627E4A"/>
    <w:rsid w:val="00631219"/>
    <w:rsid w:val="00661373"/>
    <w:rsid w:val="006638D9"/>
    <w:rsid w:val="006B4FBF"/>
    <w:rsid w:val="006C3EF7"/>
    <w:rsid w:val="006D05A2"/>
    <w:rsid w:val="006E33C1"/>
    <w:rsid w:val="00712DAE"/>
    <w:rsid w:val="007131C3"/>
    <w:rsid w:val="00722952"/>
    <w:rsid w:val="007320F0"/>
    <w:rsid w:val="007360F6"/>
    <w:rsid w:val="00760A1C"/>
    <w:rsid w:val="007741E5"/>
    <w:rsid w:val="00786A52"/>
    <w:rsid w:val="00787075"/>
    <w:rsid w:val="007A680C"/>
    <w:rsid w:val="007B2216"/>
    <w:rsid w:val="007B37DF"/>
    <w:rsid w:val="007D5C2B"/>
    <w:rsid w:val="007F1A51"/>
    <w:rsid w:val="007F6A18"/>
    <w:rsid w:val="00820EA5"/>
    <w:rsid w:val="00824556"/>
    <w:rsid w:val="0083398C"/>
    <w:rsid w:val="00845501"/>
    <w:rsid w:val="00856C1D"/>
    <w:rsid w:val="008869BB"/>
    <w:rsid w:val="00886FF0"/>
    <w:rsid w:val="0089064E"/>
    <w:rsid w:val="00890F34"/>
    <w:rsid w:val="008A7B32"/>
    <w:rsid w:val="008E4E48"/>
    <w:rsid w:val="008E7DFE"/>
    <w:rsid w:val="00903306"/>
    <w:rsid w:val="00903873"/>
    <w:rsid w:val="00940CBD"/>
    <w:rsid w:val="00975218"/>
    <w:rsid w:val="00985B4E"/>
    <w:rsid w:val="009A62DF"/>
    <w:rsid w:val="009C5C56"/>
    <w:rsid w:val="009E3486"/>
    <w:rsid w:val="009F507A"/>
    <w:rsid w:val="00A02771"/>
    <w:rsid w:val="00A0763D"/>
    <w:rsid w:val="00A11D48"/>
    <w:rsid w:val="00A15AAE"/>
    <w:rsid w:val="00A21057"/>
    <w:rsid w:val="00A36A0D"/>
    <w:rsid w:val="00A526DB"/>
    <w:rsid w:val="00A536F5"/>
    <w:rsid w:val="00A54E13"/>
    <w:rsid w:val="00A7619F"/>
    <w:rsid w:val="00A97A65"/>
    <w:rsid w:val="00AA4E71"/>
    <w:rsid w:val="00AA6407"/>
    <w:rsid w:val="00AE733E"/>
    <w:rsid w:val="00B51C3A"/>
    <w:rsid w:val="00B64D5D"/>
    <w:rsid w:val="00B652B0"/>
    <w:rsid w:val="00B72A63"/>
    <w:rsid w:val="00B85F67"/>
    <w:rsid w:val="00B92681"/>
    <w:rsid w:val="00BA41C7"/>
    <w:rsid w:val="00BB3B4F"/>
    <w:rsid w:val="00BB41E7"/>
    <w:rsid w:val="00BC72F8"/>
    <w:rsid w:val="00BF284E"/>
    <w:rsid w:val="00BF3B78"/>
    <w:rsid w:val="00BF533E"/>
    <w:rsid w:val="00C24914"/>
    <w:rsid w:val="00C33145"/>
    <w:rsid w:val="00C642E8"/>
    <w:rsid w:val="00C671F5"/>
    <w:rsid w:val="00C76949"/>
    <w:rsid w:val="00C76A36"/>
    <w:rsid w:val="00C76D7D"/>
    <w:rsid w:val="00C77D4D"/>
    <w:rsid w:val="00D0657E"/>
    <w:rsid w:val="00D1627F"/>
    <w:rsid w:val="00D50D1D"/>
    <w:rsid w:val="00D62AC0"/>
    <w:rsid w:val="00D671A9"/>
    <w:rsid w:val="00D939B1"/>
    <w:rsid w:val="00DA3599"/>
    <w:rsid w:val="00DA68BE"/>
    <w:rsid w:val="00DC1D15"/>
    <w:rsid w:val="00DD5106"/>
    <w:rsid w:val="00E22984"/>
    <w:rsid w:val="00E37D8D"/>
    <w:rsid w:val="00E557DD"/>
    <w:rsid w:val="00E60519"/>
    <w:rsid w:val="00E84C3F"/>
    <w:rsid w:val="00E865BD"/>
    <w:rsid w:val="00EA389E"/>
    <w:rsid w:val="00EA4936"/>
    <w:rsid w:val="00EC4692"/>
    <w:rsid w:val="00EF1A78"/>
    <w:rsid w:val="00EF3B91"/>
    <w:rsid w:val="00F14C06"/>
    <w:rsid w:val="00F414F1"/>
    <w:rsid w:val="00F41931"/>
    <w:rsid w:val="00F525E1"/>
    <w:rsid w:val="00F545D5"/>
    <w:rsid w:val="00F57FC0"/>
    <w:rsid w:val="00F81DB9"/>
    <w:rsid w:val="00F91A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152302-33C4-4E25-97BE-19CFBA1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52"/>
  </w:style>
  <w:style w:type="paragraph" w:styleId="Footer">
    <w:name w:val="footer"/>
    <w:basedOn w:val="Normal"/>
    <w:link w:val="FooterChar"/>
    <w:uiPriority w:val="99"/>
    <w:unhideWhenUsed/>
    <w:rsid w:val="0078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52"/>
  </w:style>
  <w:style w:type="paragraph" w:styleId="NormalWeb">
    <w:name w:val="Normal (Web)"/>
    <w:basedOn w:val="Normal"/>
    <w:uiPriority w:val="99"/>
    <w:unhideWhenUsed/>
    <w:rsid w:val="00F9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0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MZITOH</dc:creator>
  <cp:lastModifiedBy>MZITOH</cp:lastModifiedBy>
  <cp:revision>155</cp:revision>
  <dcterms:created xsi:type="dcterms:W3CDTF">2019-03-10T03:19:00Z</dcterms:created>
  <dcterms:modified xsi:type="dcterms:W3CDTF">2019-03-10T14:52:00Z</dcterms:modified>
</cp:coreProperties>
</file>