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592" w:rsidRPr="00F36592" w:rsidRDefault="008A6A22" w:rsidP="00F36592">
      <w:pPr>
        <w:spacing w:after="0" w:line="480" w:lineRule="auto"/>
        <w:rPr>
          <w:rFonts w:ascii="Times New Roman" w:hAnsi="Times New Roman" w:cs="Times New Roman"/>
          <w:sz w:val="24"/>
        </w:rPr>
      </w:pPr>
      <w:r w:rsidRPr="00F36592">
        <w:rPr>
          <w:rFonts w:ascii="Times New Roman" w:hAnsi="Times New Roman" w:cs="Times New Roman"/>
          <w:sz w:val="24"/>
        </w:rPr>
        <w:t>Name</w:t>
      </w:r>
    </w:p>
    <w:p w:rsidR="00F36592" w:rsidRDefault="008A6A22" w:rsidP="00F36592">
      <w:pPr>
        <w:spacing w:after="0" w:line="480" w:lineRule="auto"/>
        <w:rPr>
          <w:rFonts w:ascii="Times New Roman" w:hAnsi="Times New Roman" w:cs="Times New Roman"/>
          <w:sz w:val="24"/>
        </w:rPr>
      </w:pPr>
      <w:r w:rsidRPr="00F36592">
        <w:rPr>
          <w:rFonts w:ascii="Times New Roman" w:hAnsi="Times New Roman" w:cs="Times New Roman"/>
          <w:sz w:val="24"/>
        </w:rPr>
        <w:t>Course</w:t>
      </w:r>
    </w:p>
    <w:p w:rsidR="00F36592" w:rsidRPr="00F36592" w:rsidRDefault="008A6A22" w:rsidP="00F36592">
      <w:pPr>
        <w:spacing w:after="0" w:line="480" w:lineRule="auto"/>
        <w:rPr>
          <w:rFonts w:ascii="Times New Roman" w:hAnsi="Times New Roman" w:cs="Times New Roman"/>
          <w:sz w:val="24"/>
        </w:rPr>
      </w:pPr>
      <w:r>
        <w:rPr>
          <w:rFonts w:ascii="Times New Roman" w:hAnsi="Times New Roman" w:cs="Times New Roman"/>
          <w:sz w:val="24"/>
        </w:rPr>
        <w:t xml:space="preserve">Instructor </w:t>
      </w:r>
    </w:p>
    <w:p w:rsidR="00F36592" w:rsidRPr="00F36592" w:rsidRDefault="008A6A22" w:rsidP="00F36592">
      <w:pPr>
        <w:spacing w:after="0" w:line="480" w:lineRule="auto"/>
        <w:rPr>
          <w:rFonts w:ascii="Times New Roman" w:hAnsi="Times New Roman" w:cs="Times New Roman"/>
          <w:sz w:val="24"/>
        </w:rPr>
      </w:pPr>
      <w:r w:rsidRPr="00F36592">
        <w:rPr>
          <w:rFonts w:ascii="Times New Roman" w:hAnsi="Times New Roman" w:cs="Times New Roman"/>
          <w:sz w:val="24"/>
        </w:rPr>
        <w:t>Date</w:t>
      </w:r>
    </w:p>
    <w:p w:rsidR="00F36592" w:rsidRDefault="00F36592" w:rsidP="00F36592">
      <w:pPr>
        <w:spacing w:after="0" w:line="480" w:lineRule="auto"/>
        <w:rPr>
          <w:rFonts w:ascii="Times New Roman" w:hAnsi="Times New Roman" w:cs="Times New Roman"/>
          <w:b/>
          <w:sz w:val="24"/>
        </w:rPr>
      </w:pPr>
    </w:p>
    <w:p w:rsidR="00796191" w:rsidRDefault="008A6A22" w:rsidP="00F36592">
      <w:pPr>
        <w:spacing w:after="0" w:line="480" w:lineRule="auto"/>
        <w:rPr>
          <w:rFonts w:ascii="Times New Roman" w:hAnsi="Times New Roman" w:cs="Times New Roman"/>
          <w:b/>
          <w:sz w:val="24"/>
        </w:rPr>
      </w:pPr>
      <w:bookmarkStart w:id="0" w:name="_GoBack"/>
      <w:r>
        <w:rPr>
          <w:rFonts w:ascii="Times New Roman" w:hAnsi="Times New Roman" w:cs="Times New Roman"/>
          <w:b/>
          <w:sz w:val="24"/>
        </w:rPr>
        <w:t xml:space="preserve">Article 1 </w:t>
      </w:r>
      <w:r w:rsidRPr="00796191">
        <w:rPr>
          <w:rFonts w:ascii="Times New Roman" w:hAnsi="Times New Roman" w:cs="Times New Roman"/>
          <w:b/>
          <w:sz w:val="24"/>
        </w:rPr>
        <w:t>Tafunell, (2013)</w:t>
      </w:r>
    </w:p>
    <w:p w:rsidR="0067005C" w:rsidRPr="00824F3F" w:rsidRDefault="008A6A22" w:rsidP="00F36592">
      <w:pPr>
        <w:spacing w:after="0" w:line="480" w:lineRule="auto"/>
        <w:rPr>
          <w:rFonts w:ascii="Times New Roman" w:hAnsi="Times New Roman" w:cs="Times New Roman"/>
          <w:sz w:val="24"/>
        </w:rPr>
      </w:pPr>
      <w:r w:rsidRPr="00824F3F">
        <w:rPr>
          <w:rFonts w:ascii="Times New Roman" w:hAnsi="Times New Roman" w:cs="Times New Roman"/>
          <w:sz w:val="24"/>
        </w:rPr>
        <w:t xml:space="preserve">Question: </w:t>
      </w:r>
      <w:r w:rsidR="004712A6" w:rsidRPr="00824F3F">
        <w:rPr>
          <w:rFonts w:ascii="Times New Roman" w:hAnsi="Times New Roman" w:cs="Times New Roman"/>
          <w:sz w:val="24"/>
        </w:rPr>
        <w:t xml:space="preserve">How </w:t>
      </w:r>
      <w:r w:rsidR="00EB7916">
        <w:rPr>
          <w:rFonts w:ascii="Times New Roman" w:hAnsi="Times New Roman" w:cs="Times New Roman"/>
          <w:sz w:val="24"/>
        </w:rPr>
        <w:t xml:space="preserve">has </w:t>
      </w:r>
      <w:r w:rsidR="004712A6" w:rsidRPr="00824F3F">
        <w:rPr>
          <w:rFonts w:ascii="Times New Roman" w:hAnsi="Times New Roman" w:cs="Times New Roman"/>
          <w:sz w:val="24"/>
        </w:rPr>
        <w:t>m</w:t>
      </w:r>
      <w:r w:rsidR="00EF06A4" w:rsidRPr="00824F3F">
        <w:rPr>
          <w:rFonts w:ascii="Times New Roman" w:hAnsi="Times New Roman" w:cs="Times New Roman"/>
          <w:sz w:val="24"/>
        </w:rPr>
        <w:t>acroeconomic</w:t>
      </w:r>
      <w:r w:rsidR="004712A6" w:rsidRPr="00824F3F">
        <w:rPr>
          <w:rFonts w:ascii="Times New Roman" w:hAnsi="Times New Roman" w:cs="Times New Roman"/>
          <w:sz w:val="24"/>
        </w:rPr>
        <w:t>s</w:t>
      </w:r>
      <w:r w:rsidR="00C216FA" w:rsidRPr="00824F3F">
        <w:rPr>
          <w:rFonts w:ascii="Times New Roman" w:hAnsi="Times New Roman" w:cs="Times New Roman"/>
          <w:sz w:val="24"/>
        </w:rPr>
        <w:t xml:space="preserve"> </w:t>
      </w:r>
      <w:r w:rsidR="004712A6" w:rsidRPr="00824F3F">
        <w:rPr>
          <w:rFonts w:ascii="Times New Roman" w:hAnsi="Times New Roman" w:cs="Times New Roman"/>
          <w:sz w:val="24"/>
        </w:rPr>
        <w:t>indicate</w:t>
      </w:r>
      <w:r w:rsidR="00EF06A4" w:rsidRPr="00824F3F">
        <w:rPr>
          <w:rFonts w:ascii="Times New Roman" w:hAnsi="Times New Roman" w:cs="Times New Roman"/>
          <w:sz w:val="24"/>
        </w:rPr>
        <w:t>d</w:t>
      </w:r>
      <w:r w:rsidR="004712A6" w:rsidRPr="00824F3F">
        <w:rPr>
          <w:rFonts w:ascii="Times New Roman" w:hAnsi="Times New Roman" w:cs="Times New Roman"/>
          <w:sz w:val="24"/>
        </w:rPr>
        <w:t xml:space="preserve"> that physical capital </w:t>
      </w:r>
      <w:r w:rsidR="00EF06A4" w:rsidRPr="00824F3F">
        <w:rPr>
          <w:rFonts w:ascii="Times New Roman" w:hAnsi="Times New Roman" w:cs="Times New Roman"/>
          <w:sz w:val="24"/>
        </w:rPr>
        <w:t>realization</w:t>
      </w:r>
      <w:r w:rsidR="004712A6" w:rsidRPr="00824F3F">
        <w:rPr>
          <w:rFonts w:ascii="Times New Roman" w:hAnsi="Times New Roman" w:cs="Times New Roman"/>
          <w:sz w:val="24"/>
        </w:rPr>
        <w:t xml:space="preserve"> has played a </w:t>
      </w:r>
      <w:r w:rsidR="00EF06A4" w:rsidRPr="00824F3F">
        <w:rPr>
          <w:rFonts w:ascii="Times New Roman" w:hAnsi="Times New Roman" w:cs="Times New Roman"/>
          <w:sz w:val="24"/>
        </w:rPr>
        <w:t>fundamental</w:t>
      </w:r>
      <w:r w:rsidR="004712A6" w:rsidRPr="00824F3F">
        <w:rPr>
          <w:rFonts w:ascii="Times New Roman" w:hAnsi="Times New Roman" w:cs="Times New Roman"/>
          <w:sz w:val="24"/>
        </w:rPr>
        <w:t xml:space="preserve"> role in </w:t>
      </w:r>
      <w:r w:rsidR="00EF06A4" w:rsidRPr="00824F3F">
        <w:rPr>
          <w:rFonts w:ascii="Times New Roman" w:hAnsi="Times New Roman" w:cs="Times New Roman"/>
          <w:sz w:val="24"/>
        </w:rPr>
        <w:t>long-standing</w:t>
      </w:r>
      <w:r w:rsidR="004712A6" w:rsidRPr="00824F3F">
        <w:rPr>
          <w:rFonts w:ascii="Times New Roman" w:hAnsi="Times New Roman" w:cs="Times New Roman"/>
          <w:sz w:val="24"/>
        </w:rPr>
        <w:t xml:space="preserve"> economic </w:t>
      </w:r>
      <w:r w:rsidR="00EF06A4" w:rsidRPr="00824F3F">
        <w:rPr>
          <w:rFonts w:ascii="Times New Roman" w:hAnsi="Times New Roman" w:cs="Times New Roman"/>
          <w:sz w:val="24"/>
        </w:rPr>
        <w:t>progression</w:t>
      </w:r>
      <w:r w:rsidR="00EB7916">
        <w:rPr>
          <w:rFonts w:ascii="Times New Roman" w:hAnsi="Times New Roman" w:cs="Times New Roman"/>
          <w:sz w:val="24"/>
        </w:rPr>
        <w:t>?</w:t>
      </w:r>
      <w:r w:rsidR="00796191" w:rsidRPr="00824F3F">
        <w:rPr>
          <w:rFonts w:ascii="Times New Roman" w:hAnsi="Times New Roman" w:cs="Times New Roman"/>
          <w:i/>
          <w:sz w:val="24"/>
        </w:rPr>
        <w:t xml:space="preserve"> </w:t>
      </w:r>
    </w:p>
    <w:p w:rsidR="00DF41A4" w:rsidRDefault="008A6A22" w:rsidP="00F36592">
      <w:pPr>
        <w:spacing w:after="0" w:line="480" w:lineRule="auto"/>
        <w:ind w:firstLine="720"/>
        <w:rPr>
          <w:rFonts w:ascii="Times New Roman" w:hAnsi="Times New Roman" w:cs="Times New Roman"/>
          <w:sz w:val="24"/>
        </w:rPr>
      </w:pPr>
      <w:r w:rsidRPr="002A57E2">
        <w:rPr>
          <w:rFonts w:ascii="Times New Roman" w:hAnsi="Times New Roman" w:cs="Times New Roman"/>
          <w:sz w:val="24"/>
        </w:rPr>
        <w:t xml:space="preserve">The role of export to economic growth has been analyzed as found in a few past exact literary works. Notwithstanding, the outcomes were nation explicit and did not demonstrate general agreement. The significant distinction that the information </w:t>
      </w:r>
      <w:r w:rsidR="00F64ED0" w:rsidRPr="002A57E2">
        <w:rPr>
          <w:rFonts w:ascii="Times New Roman" w:hAnsi="Times New Roman" w:cs="Times New Roman"/>
          <w:sz w:val="24"/>
        </w:rPr>
        <w:t>has</w:t>
      </w:r>
      <w:r w:rsidRPr="002A57E2">
        <w:rPr>
          <w:rFonts w:ascii="Times New Roman" w:hAnsi="Times New Roman" w:cs="Times New Roman"/>
          <w:sz w:val="24"/>
        </w:rPr>
        <w:t xml:space="preserve"> indicate</w:t>
      </w:r>
      <w:r w:rsidRPr="002A57E2">
        <w:rPr>
          <w:rFonts w:ascii="Times New Roman" w:hAnsi="Times New Roman" w:cs="Times New Roman"/>
          <w:sz w:val="24"/>
        </w:rPr>
        <w:t xml:space="preserve">d is the determination of the model. </w:t>
      </w:r>
      <w:r w:rsidR="00F64ED0" w:rsidRPr="002A57E2">
        <w:rPr>
          <w:rFonts w:ascii="Times New Roman" w:hAnsi="Times New Roman" w:cs="Times New Roman"/>
          <w:sz w:val="24"/>
        </w:rPr>
        <w:t>A portion of the past literary works found that the job of imports is</w:t>
      </w:r>
      <w:r w:rsidRPr="002A57E2">
        <w:rPr>
          <w:rFonts w:ascii="Times New Roman" w:hAnsi="Times New Roman" w:cs="Times New Roman"/>
          <w:sz w:val="24"/>
        </w:rPr>
        <w:t xml:space="preserve"> an imperative extra factor to decide the unmistakable job of fare to economic growth. Be that as it may, hypothetical written works demonstrate that,</w:t>
      </w:r>
      <w:r w:rsidRPr="002A57E2">
        <w:rPr>
          <w:rFonts w:ascii="Times New Roman" w:hAnsi="Times New Roman" w:cs="Times New Roman"/>
          <w:sz w:val="24"/>
        </w:rPr>
        <w:t xml:space="preserve"> the residential venture is an essential perspective in supporting the job of fare to economic growth. However, few investigations have observationally inspected the relationship of fare, import and household venture with economic growth</w:t>
      </w:r>
      <w:r w:rsidRPr="00DF41A4">
        <w:rPr>
          <w:rFonts w:ascii="Times New Roman" w:hAnsi="Times New Roman" w:cs="Times New Roman"/>
          <w:sz w:val="24"/>
        </w:rPr>
        <w:t>.</w:t>
      </w:r>
    </w:p>
    <w:p w:rsidR="005966B7" w:rsidRPr="007D1614" w:rsidRDefault="008A6A22" w:rsidP="00F36592">
      <w:pPr>
        <w:spacing w:after="0" w:line="480" w:lineRule="auto"/>
        <w:ind w:firstLine="720"/>
        <w:rPr>
          <w:rFonts w:ascii="Times New Roman" w:hAnsi="Times New Roman" w:cs="Times New Roman"/>
          <w:sz w:val="24"/>
          <w:szCs w:val="24"/>
        </w:rPr>
      </w:pPr>
      <w:r w:rsidRPr="000B51CC">
        <w:rPr>
          <w:rFonts w:ascii="Times New Roman" w:hAnsi="Times New Roman" w:cs="Times New Roman"/>
          <w:sz w:val="24"/>
        </w:rPr>
        <w:t xml:space="preserve">Economic history </w:t>
      </w:r>
      <w:r w:rsidRPr="000B51CC">
        <w:rPr>
          <w:rFonts w:ascii="Times New Roman" w:hAnsi="Times New Roman" w:cs="Times New Roman"/>
          <w:sz w:val="24"/>
        </w:rPr>
        <w:t>specialists and authorities in the macroeconomics of advancement are persistently endeavoring to recognize the logical powers behind long haul growth. As far back as the season of the established financial analysts, the possibility that physical capital de</w:t>
      </w:r>
      <w:r w:rsidRPr="000B51CC">
        <w:rPr>
          <w:rFonts w:ascii="Times New Roman" w:hAnsi="Times New Roman" w:cs="Times New Roman"/>
          <w:sz w:val="24"/>
        </w:rPr>
        <w:t>velopment is one of the determinants of growth has been noticeable all around. Financial analysts who have tried to dissect this inquiry exactly have utilized one of two methodologies: growth relapses or growth bookkeeping. While interest in physical capit</w:t>
      </w:r>
      <w:r w:rsidRPr="000B51CC">
        <w:rPr>
          <w:rFonts w:ascii="Times New Roman" w:hAnsi="Times New Roman" w:cs="Times New Roman"/>
          <w:sz w:val="24"/>
        </w:rPr>
        <w:t xml:space="preserve">al is fundamental to growth in labor </w:t>
      </w:r>
      <w:r w:rsidRPr="000B51CC">
        <w:rPr>
          <w:rFonts w:ascii="Times New Roman" w:hAnsi="Times New Roman" w:cs="Times New Roman"/>
          <w:sz w:val="24"/>
        </w:rPr>
        <w:lastRenderedPageBreak/>
        <w:t>profitability and GDP per capita, building human capital is at any rate as imperative. Economic growth isn't simply an issue of more machines and structures</w:t>
      </w:r>
      <w:r w:rsidR="007D1614" w:rsidRPr="007D1614">
        <w:rPr>
          <w:rFonts w:ascii="Times New Roman" w:hAnsi="Times New Roman" w:cs="Times New Roman"/>
          <w:color w:val="373D3F"/>
          <w:sz w:val="24"/>
          <w:szCs w:val="24"/>
          <w:shd w:val="clear" w:color="auto" w:fill="FFFFFF"/>
        </w:rPr>
        <w:t>. </w:t>
      </w:r>
    </w:p>
    <w:p w:rsidR="00E97EE7" w:rsidRDefault="008A6A22" w:rsidP="00F36592">
      <w:pPr>
        <w:spacing w:after="0" w:line="480" w:lineRule="auto"/>
        <w:ind w:firstLine="720"/>
        <w:rPr>
          <w:rFonts w:ascii="Times New Roman" w:hAnsi="Times New Roman" w:cs="Times New Roman"/>
          <w:sz w:val="24"/>
        </w:rPr>
      </w:pPr>
      <w:r w:rsidRPr="000B51CC">
        <w:rPr>
          <w:rFonts w:ascii="Times New Roman" w:hAnsi="Times New Roman" w:cs="Times New Roman"/>
          <w:sz w:val="24"/>
        </w:rPr>
        <w:t>These mechanical advancements are regularly thoughts that ca</w:t>
      </w:r>
      <w:r w:rsidRPr="000B51CC">
        <w:rPr>
          <w:rFonts w:ascii="Times New Roman" w:hAnsi="Times New Roman" w:cs="Times New Roman"/>
          <w:sz w:val="24"/>
        </w:rPr>
        <w:t>n't build generation until they turn into a piece of new interest in physical capital. The principal target of this investigation is essential to decide the yearly dimensions of fixed capital development in every one of the nations of the area amid a timef</w:t>
      </w:r>
      <w:r w:rsidRPr="000B51CC">
        <w:rPr>
          <w:rFonts w:ascii="Times New Roman" w:hAnsi="Times New Roman" w:cs="Times New Roman"/>
          <w:sz w:val="24"/>
        </w:rPr>
        <w:t>rame going before the presentation of authority national records. To what extent should this period be? In a perfect world, the information ought to return similar to the mid-nineteenth century, when these nations were getting to be autonomous</w:t>
      </w:r>
      <w:r w:rsidRPr="00E97EE7">
        <w:rPr>
          <w:rFonts w:ascii="Times New Roman" w:hAnsi="Times New Roman" w:cs="Times New Roman"/>
          <w:sz w:val="24"/>
        </w:rPr>
        <w:t>.</w:t>
      </w:r>
      <w:r w:rsidR="00862A34">
        <w:rPr>
          <w:rFonts w:ascii="Times New Roman" w:hAnsi="Times New Roman" w:cs="Times New Roman"/>
          <w:sz w:val="24"/>
        </w:rPr>
        <w:t xml:space="preserve"> </w:t>
      </w:r>
      <w:r w:rsidR="004356C2" w:rsidRPr="004356C2">
        <w:rPr>
          <w:rFonts w:ascii="Times New Roman" w:hAnsi="Times New Roman" w:cs="Times New Roman"/>
          <w:sz w:val="24"/>
        </w:rPr>
        <w:t>The early measurable proof is of such low quality, be that as it may, that the beginning stage for the arrangement must be climbed to halfway as the century progressed: 1856, to be careful (Tafunell, 2011). The progressing common struggle and out and out confusion experienced by numerous individuals of these nations up to around that time (or even later) authenticates exactly how troublesome it is evaluated speculation levels on any steady premise amid the decades following these nations' political liberation</w:t>
      </w:r>
      <w:r w:rsidR="00F368A7">
        <w:rPr>
          <w:rFonts w:ascii="Times New Roman" w:hAnsi="Times New Roman" w:cs="Times New Roman"/>
          <w:sz w:val="24"/>
        </w:rPr>
        <w:t>.</w:t>
      </w:r>
      <w:r w:rsidR="004356C2" w:rsidRPr="004356C2">
        <w:rPr>
          <w:rFonts w:ascii="Times New Roman" w:hAnsi="Times New Roman" w:cs="Times New Roman"/>
          <w:sz w:val="24"/>
        </w:rPr>
        <w:t xml:space="preserve"> This ought to in no way, shape or form be deciphered as inferring that the two </w:t>
      </w:r>
      <w:r w:rsidR="00046CCE" w:rsidRPr="004356C2">
        <w:rPr>
          <w:rFonts w:ascii="Times New Roman" w:hAnsi="Times New Roman" w:cs="Times New Roman"/>
          <w:sz w:val="24"/>
        </w:rPr>
        <w:t>arrangements</w:t>
      </w:r>
      <w:r w:rsidR="004356C2" w:rsidRPr="004356C2">
        <w:rPr>
          <w:rFonts w:ascii="Times New Roman" w:hAnsi="Times New Roman" w:cs="Times New Roman"/>
          <w:sz w:val="24"/>
        </w:rPr>
        <w:t xml:space="preserve"> are of </w:t>
      </w:r>
      <w:r w:rsidR="00406C45">
        <w:rPr>
          <w:rFonts w:ascii="Times New Roman" w:hAnsi="Times New Roman" w:cs="Times New Roman"/>
          <w:sz w:val="24"/>
        </w:rPr>
        <w:t>great</w:t>
      </w:r>
      <w:r w:rsidR="004356C2" w:rsidRPr="004356C2">
        <w:rPr>
          <w:rFonts w:ascii="Times New Roman" w:hAnsi="Times New Roman" w:cs="Times New Roman"/>
          <w:sz w:val="24"/>
        </w:rPr>
        <w:t xml:space="preserve"> quality</w:t>
      </w:r>
      <w:r w:rsidRPr="00E97EE7">
        <w:rPr>
          <w:rFonts w:ascii="Times New Roman" w:hAnsi="Times New Roman" w:cs="Times New Roman"/>
          <w:sz w:val="24"/>
        </w:rPr>
        <w:t>.</w:t>
      </w:r>
    </w:p>
    <w:p w:rsidR="003C24C3" w:rsidRDefault="003C24C3" w:rsidP="00F36592">
      <w:pPr>
        <w:spacing w:after="0" w:line="480" w:lineRule="auto"/>
        <w:ind w:firstLine="720"/>
        <w:rPr>
          <w:rFonts w:ascii="Times New Roman" w:hAnsi="Times New Roman" w:cs="Times New Roman"/>
          <w:sz w:val="24"/>
        </w:rPr>
      </w:pPr>
    </w:p>
    <w:p w:rsidR="003C24C3" w:rsidRDefault="003C24C3" w:rsidP="00F36592">
      <w:pPr>
        <w:spacing w:after="0" w:line="480" w:lineRule="auto"/>
        <w:ind w:firstLine="720"/>
        <w:rPr>
          <w:rFonts w:ascii="Times New Roman" w:hAnsi="Times New Roman" w:cs="Times New Roman"/>
          <w:sz w:val="24"/>
        </w:rPr>
      </w:pPr>
    </w:p>
    <w:p w:rsidR="00F368A7" w:rsidRDefault="00F368A7" w:rsidP="00F36592">
      <w:pPr>
        <w:spacing w:after="0" w:line="480" w:lineRule="auto"/>
        <w:ind w:firstLine="720"/>
        <w:rPr>
          <w:rFonts w:ascii="Times New Roman" w:hAnsi="Times New Roman" w:cs="Times New Roman"/>
          <w:sz w:val="24"/>
        </w:rPr>
      </w:pPr>
    </w:p>
    <w:p w:rsidR="00F368A7" w:rsidRDefault="00F368A7" w:rsidP="00F36592">
      <w:pPr>
        <w:spacing w:after="0" w:line="480" w:lineRule="auto"/>
        <w:ind w:firstLine="720"/>
        <w:rPr>
          <w:rFonts w:ascii="Times New Roman" w:hAnsi="Times New Roman" w:cs="Times New Roman"/>
          <w:sz w:val="24"/>
        </w:rPr>
      </w:pPr>
    </w:p>
    <w:p w:rsidR="00C606EA" w:rsidRDefault="00C606EA" w:rsidP="00F36592">
      <w:pPr>
        <w:spacing w:after="0" w:line="480" w:lineRule="auto"/>
        <w:ind w:firstLine="720"/>
        <w:rPr>
          <w:rFonts w:ascii="Times New Roman" w:hAnsi="Times New Roman" w:cs="Times New Roman"/>
          <w:sz w:val="24"/>
        </w:rPr>
      </w:pPr>
    </w:p>
    <w:p w:rsidR="00C606EA" w:rsidRDefault="00C606EA" w:rsidP="00F36592">
      <w:pPr>
        <w:spacing w:after="0" w:line="480" w:lineRule="auto"/>
        <w:ind w:firstLine="720"/>
        <w:rPr>
          <w:rFonts w:ascii="Times New Roman" w:hAnsi="Times New Roman" w:cs="Times New Roman"/>
          <w:sz w:val="24"/>
        </w:rPr>
      </w:pPr>
    </w:p>
    <w:p w:rsidR="003C24C3" w:rsidRDefault="003C24C3" w:rsidP="00F36592">
      <w:pPr>
        <w:spacing w:after="0" w:line="480" w:lineRule="auto"/>
        <w:ind w:firstLine="720"/>
        <w:rPr>
          <w:rFonts w:ascii="Times New Roman" w:hAnsi="Times New Roman" w:cs="Times New Roman"/>
          <w:sz w:val="24"/>
        </w:rPr>
      </w:pPr>
    </w:p>
    <w:p w:rsidR="003C24C3" w:rsidRDefault="003C24C3" w:rsidP="00F36592">
      <w:pPr>
        <w:spacing w:after="0" w:line="480" w:lineRule="auto"/>
        <w:ind w:firstLine="720"/>
        <w:rPr>
          <w:rFonts w:ascii="Times New Roman" w:hAnsi="Times New Roman" w:cs="Times New Roman"/>
          <w:sz w:val="24"/>
        </w:rPr>
      </w:pPr>
    </w:p>
    <w:p w:rsidR="009C5D5E" w:rsidRPr="008B2994" w:rsidRDefault="008A6A22" w:rsidP="00F36592">
      <w:pPr>
        <w:spacing w:after="0" w:line="480" w:lineRule="auto"/>
        <w:rPr>
          <w:rFonts w:ascii="Times New Roman" w:hAnsi="Times New Roman" w:cs="Times New Roman"/>
          <w:b/>
          <w:sz w:val="24"/>
        </w:rPr>
      </w:pPr>
      <w:r>
        <w:rPr>
          <w:rFonts w:ascii="Times New Roman" w:hAnsi="Times New Roman" w:cs="Times New Roman"/>
          <w:b/>
          <w:sz w:val="24"/>
        </w:rPr>
        <w:lastRenderedPageBreak/>
        <w:t xml:space="preserve">Article 2 by Perri &amp; Quadrini </w:t>
      </w:r>
      <w:r w:rsidR="003C24C3" w:rsidRPr="008B2994">
        <w:rPr>
          <w:rFonts w:ascii="Times New Roman" w:hAnsi="Times New Roman" w:cs="Times New Roman"/>
          <w:b/>
          <w:sz w:val="24"/>
        </w:rPr>
        <w:t>(2018</w:t>
      </w:r>
      <w:r w:rsidRPr="008B2994">
        <w:rPr>
          <w:rFonts w:ascii="Times New Roman" w:hAnsi="Times New Roman" w:cs="Times New Roman"/>
          <w:b/>
          <w:sz w:val="24"/>
        </w:rPr>
        <w:t>)</w:t>
      </w:r>
    </w:p>
    <w:p w:rsidR="00733A0B" w:rsidRPr="003C24C3" w:rsidRDefault="008A6A22" w:rsidP="00F36592">
      <w:pPr>
        <w:spacing w:after="0" w:line="480" w:lineRule="auto"/>
        <w:rPr>
          <w:rFonts w:ascii="Times New Roman" w:hAnsi="Times New Roman" w:cs="Times New Roman"/>
          <w:b/>
          <w:sz w:val="24"/>
        </w:rPr>
      </w:pPr>
      <w:r w:rsidRPr="00824F3F">
        <w:rPr>
          <w:rFonts w:ascii="Times New Roman" w:eastAsia="Times New Roman" w:hAnsi="Times New Roman" w:cs="Times New Roman"/>
          <w:color w:val="000000"/>
          <w:sz w:val="24"/>
          <w:szCs w:val="24"/>
        </w:rPr>
        <w:t xml:space="preserve">Question: </w:t>
      </w:r>
      <w:r w:rsidRPr="00824F3F">
        <w:rPr>
          <w:rFonts w:ascii="Times New Roman" w:hAnsi="Times New Roman" w:cs="Times New Roman"/>
          <w:sz w:val="24"/>
        </w:rPr>
        <w:t xml:space="preserve">How has the </w:t>
      </w:r>
      <w:r w:rsidR="00AD1676" w:rsidRPr="00824F3F">
        <w:rPr>
          <w:rFonts w:ascii="Times New Roman" w:hAnsi="Times New Roman" w:cs="Times New Roman"/>
          <w:sz w:val="24"/>
        </w:rPr>
        <w:t>contemporary</w:t>
      </w:r>
      <w:r w:rsidRPr="00824F3F">
        <w:rPr>
          <w:rFonts w:ascii="Times New Roman" w:hAnsi="Times New Roman" w:cs="Times New Roman"/>
          <w:sz w:val="24"/>
        </w:rPr>
        <w:t xml:space="preserve"> financial crisis been </w:t>
      </w:r>
      <w:r w:rsidR="00EF06A4" w:rsidRPr="00824F3F">
        <w:rPr>
          <w:rFonts w:ascii="Times New Roman" w:hAnsi="Times New Roman" w:cs="Times New Roman"/>
          <w:sz w:val="24"/>
        </w:rPr>
        <w:t>categorized</w:t>
      </w:r>
      <w:r w:rsidRPr="00824F3F">
        <w:rPr>
          <w:rFonts w:ascii="Times New Roman" w:hAnsi="Times New Roman" w:cs="Times New Roman"/>
          <w:sz w:val="24"/>
        </w:rPr>
        <w:t xml:space="preserve"> by a high </w:t>
      </w:r>
      <w:r w:rsidR="00EF06A4" w:rsidRPr="00824F3F">
        <w:rPr>
          <w:rFonts w:ascii="Times New Roman" w:hAnsi="Times New Roman" w:cs="Times New Roman"/>
          <w:sz w:val="24"/>
        </w:rPr>
        <w:t>point</w:t>
      </w:r>
      <w:r w:rsidRPr="00824F3F">
        <w:rPr>
          <w:rFonts w:ascii="Times New Roman" w:hAnsi="Times New Roman" w:cs="Times New Roman"/>
          <w:sz w:val="24"/>
        </w:rPr>
        <w:t xml:space="preserve"> of </w:t>
      </w:r>
      <w:r w:rsidR="00EF06A4" w:rsidRPr="00824F3F">
        <w:rPr>
          <w:rFonts w:ascii="Times New Roman" w:hAnsi="Times New Roman" w:cs="Times New Roman"/>
          <w:sz w:val="24"/>
        </w:rPr>
        <w:t>global</w:t>
      </w:r>
      <w:r w:rsidRPr="00824F3F">
        <w:rPr>
          <w:rFonts w:ascii="Times New Roman" w:hAnsi="Times New Roman" w:cs="Times New Roman"/>
          <w:sz w:val="24"/>
        </w:rPr>
        <w:t xml:space="preserve"> </w:t>
      </w:r>
      <w:r w:rsidR="00EF06A4" w:rsidRPr="00824F3F">
        <w:rPr>
          <w:rFonts w:ascii="Times New Roman" w:hAnsi="Times New Roman" w:cs="Times New Roman"/>
          <w:sz w:val="24"/>
        </w:rPr>
        <w:t>harmonization</w:t>
      </w:r>
      <w:r w:rsidRPr="00824F3F">
        <w:rPr>
          <w:rFonts w:ascii="Times New Roman" w:hAnsi="Times New Roman" w:cs="Times New Roman"/>
          <w:sz w:val="24"/>
        </w:rPr>
        <w:t xml:space="preserve"> in real and </w:t>
      </w:r>
      <w:r w:rsidR="00EF06A4" w:rsidRPr="00824F3F">
        <w:rPr>
          <w:rFonts w:ascii="Times New Roman" w:hAnsi="Times New Roman" w:cs="Times New Roman"/>
          <w:sz w:val="24"/>
        </w:rPr>
        <w:t>economic</w:t>
      </w:r>
      <w:r w:rsidRPr="00824F3F">
        <w:rPr>
          <w:rFonts w:ascii="Times New Roman" w:hAnsi="Times New Roman" w:cs="Times New Roman"/>
          <w:sz w:val="24"/>
        </w:rPr>
        <w:t xml:space="preserve"> variables</w:t>
      </w:r>
      <w:r w:rsidR="003C24C3" w:rsidRPr="00824F3F">
        <w:rPr>
          <w:rFonts w:ascii="Times New Roman" w:hAnsi="Times New Roman" w:cs="Times New Roman"/>
          <w:sz w:val="24"/>
        </w:rPr>
        <w:t>?</w:t>
      </w:r>
    </w:p>
    <w:p w:rsidR="008C0D3E" w:rsidRPr="00C5049C" w:rsidRDefault="008A6A22" w:rsidP="00F36592">
      <w:pPr>
        <w:spacing w:after="0" w:line="480" w:lineRule="auto"/>
        <w:ind w:firstLine="720"/>
        <w:rPr>
          <w:rFonts w:ascii="Times New Roman" w:hAnsi="Times New Roman" w:cs="Times New Roman"/>
          <w:color w:val="000000" w:themeColor="text1"/>
          <w:sz w:val="24"/>
        </w:rPr>
      </w:pPr>
      <w:r w:rsidRPr="00C5049C">
        <w:rPr>
          <w:rFonts w:ascii="Times New Roman" w:hAnsi="Times New Roman" w:cs="Times New Roman"/>
          <w:color w:val="000000" w:themeColor="text1"/>
          <w:sz w:val="24"/>
        </w:rPr>
        <w:t>The disappointment of monetary organizations is just the same old thing new to the area since throughout the years. Of the writing regarding the matter, a survey of the materials has appeared high level of clos</w:t>
      </w:r>
      <w:r w:rsidRPr="00C5049C">
        <w:rPr>
          <w:rFonts w:ascii="Times New Roman" w:hAnsi="Times New Roman" w:cs="Times New Roman"/>
          <w:color w:val="000000" w:themeColor="text1"/>
          <w:sz w:val="24"/>
        </w:rPr>
        <w:t>eness with what was knowledgeable about numerous nations. One of the essential purposes behind its event was the rise of extensive money related combinations that exploited administrative exchange. These elements were said to have extended quickly into man</w:t>
      </w:r>
      <w:r w:rsidRPr="00C5049C">
        <w:rPr>
          <w:rFonts w:ascii="Times New Roman" w:hAnsi="Times New Roman" w:cs="Times New Roman"/>
          <w:color w:val="000000" w:themeColor="text1"/>
          <w:sz w:val="24"/>
        </w:rPr>
        <w:t>y centers and non-conventional business regions, which frequently extended the limits of reasonable practices. Concerning a definitive trigger for the emergency the creator referred to this was principally the aftereffect of illiquidity of the extra securi</w:t>
      </w:r>
      <w:r w:rsidRPr="00C5049C">
        <w:rPr>
          <w:rFonts w:ascii="Times New Roman" w:hAnsi="Times New Roman" w:cs="Times New Roman"/>
          <w:color w:val="000000" w:themeColor="text1"/>
          <w:sz w:val="24"/>
        </w:rPr>
        <w:t>ty organizations which was an immediate result of the downturn in the household land and financial exchanges.</w:t>
      </w:r>
    </w:p>
    <w:p w:rsidR="00E0771D" w:rsidRPr="00CA6417" w:rsidRDefault="008A6A22" w:rsidP="00F36592">
      <w:pPr>
        <w:spacing w:after="0" w:line="480" w:lineRule="auto"/>
        <w:ind w:firstLine="720"/>
        <w:rPr>
          <w:rFonts w:ascii="Times New Roman" w:hAnsi="Times New Roman" w:cs="Times New Roman"/>
          <w:color w:val="000000" w:themeColor="text1"/>
          <w:sz w:val="24"/>
        </w:rPr>
      </w:pPr>
      <w:r w:rsidRPr="00C5049C">
        <w:rPr>
          <w:rFonts w:ascii="Times New Roman" w:hAnsi="Times New Roman" w:cs="Times New Roman"/>
          <w:color w:val="000000" w:themeColor="text1"/>
          <w:sz w:val="24"/>
        </w:rPr>
        <w:t xml:space="preserve">The hypothesis of endogenous </w:t>
      </w:r>
      <w:r w:rsidR="00D7772E" w:rsidRPr="00C5049C">
        <w:rPr>
          <w:rFonts w:ascii="Times New Roman" w:hAnsi="Times New Roman" w:cs="Times New Roman"/>
          <w:color w:val="000000" w:themeColor="text1"/>
          <w:sz w:val="24"/>
        </w:rPr>
        <w:t>exchange</w:t>
      </w:r>
      <w:r w:rsidRPr="00C5049C">
        <w:rPr>
          <w:rFonts w:ascii="Times New Roman" w:hAnsi="Times New Roman" w:cs="Times New Roman"/>
          <w:color w:val="000000" w:themeColor="text1"/>
          <w:sz w:val="24"/>
        </w:rPr>
        <w:t xml:space="preserve"> related </w:t>
      </w:r>
      <w:r w:rsidR="00D7772E" w:rsidRPr="00C5049C">
        <w:rPr>
          <w:rFonts w:ascii="Times New Roman" w:hAnsi="Times New Roman" w:cs="Times New Roman"/>
          <w:color w:val="000000" w:themeColor="text1"/>
          <w:sz w:val="24"/>
        </w:rPr>
        <w:t>explosions</w:t>
      </w:r>
      <w:r w:rsidRPr="00C5049C">
        <w:rPr>
          <w:rFonts w:ascii="Times New Roman" w:hAnsi="Times New Roman" w:cs="Times New Roman"/>
          <w:color w:val="000000" w:themeColor="text1"/>
          <w:sz w:val="24"/>
        </w:rPr>
        <w:t xml:space="preserve"> and </w:t>
      </w:r>
      <w:r w:rsidR="00D7772E" w:rsidRPr="00C5049C">
        <w:rPr>
          <w:rFonts w:ascii="Times New Roman" w:hAnsi="Times New Roman" w:cs="Times New Roman"/>
          <w:color w:val="000000" w:themeColor="text1"/>
          <w:sz w:val="24"/>
        </w:rPr>
        <w:t>statues</w:t>
      </w:r>
      <w:r w:rsidRPr="00C5049C">
        <w:rPr>
          <w:rFonts w:ascii="Times New Roman" w:hAnsi="Times New Roman" w:cs="Times New Roman"/>
          <w:color w:val="000000" w:themeColor="text1"/>
          <w:sz w:val="24"/>
        </w:rPr>
        <w:t xml:space="preserve"> are imperative in two regards. With endogenous </w:t>
      </w:r>
      <w:r w:rsidR="00D8532F" w:rsidRPr="00C5049C">
        <w:rPr>
          <w:rFonts w:ascii="Times New Roman" w:hAnsi="Times New Roman" w:cs="Times New Roman"/>
          <w:color w:val="000000" w:themeColor="text1"/>
          <w:sz w:val="24"/>
        </w:rPr>
        <w:t>acknowledgment</w:t>
      </w:r>
      <w:r w:rsidRPr="00C5049C">
        <w:rPr>
          <w:rFonts w:ascii="Times New Roman" w:hAnsi="Times New Roman" w:cs="Times New Roman"/>
          <w:color w:val="000000" w:themeColor="text1"/>
          <w:sz w:val="24"/>
        </w:rPr>
        <w:t xml:space="preserve"> stuns the </w:t>
      </w:r>
      <w:r w:rsidR="00D8532F" w:rsidRPr="00C5049C">
        <w:rPr>
          <w:rFonts w:ascii="Times New Roman" w:hAnsi="Times New Roman" w:cs="Times New Roman"/>
          <w:color w:val="000000" w:themeColor="text1"/>
          <w:sz w:val="24"/>
        </w:rPr>
        <w:t>prototypical</w:t>
      </w:r>
      <w:r w:rsidRPr="00C5049C">
        <w:rPr>
          <w:rFonts w:ascii="Times New Roman" w:hAnsi="Times New Roman" w:cs="Times New Roman"/>
          <w:color w:val="000000" w:themeColor="text1"/>
          <w:sz w:val="24"/>
        </w:rPr>
        <w:t xml:space="preserve"> produces cross-country movement in genuine factors as well as in </w:t>
      </w:r>
      <w:r w:rsidR="00D7772E" w:rsidRPr="00C5049C">
        <w:rPr>
          <w:rFonts w:ascii="Times New Roman" w:hAnsi="Times New Roman" w:cs="Times New Roman"/>
          <w:color w:val="000000" w:themeColor="text1"/>
          <w:sz w:val="24"/>
        </w:rPr>
        <w:t>commercial</w:t>
      </w:r>
      <w:r w:rsidRPr="00C5049C">
        <w:rPr>
          <w:rFonts w:ascii="Times New Roman" w:hAnsi="Times New Roman" w:cs="Times New Roman"/>
          <w:color w:val="000000" w:themeColor="text1"/>
          <w:sz w:val="24"/>
        </w:rPr>
        <w:t xml:space="preserve">ly related </w:t>
      </w:r>
      <w:r w:rsidR="00D7772E" w:rsidRPr="00C5049C">
        <w:rPr>
          <w:rFonts w:ascii="Times New Roman" w:hAnsi="Times New Roman" w:cs="Times New Roman"/>
          <w:color w:val="000000" w:themeColor="text1"/>
          <w:sz w:val="24"/>
        </w:rPr>
        <w:t>totalities</w:t>
      </w:r>
      <w:r w:rsidRPr="00C5049C">
        <w:rPr>
          <w:rFonts w:ascii="Times New Roman" w:hAnsi="Times New Roman" w:cs="Times New Roman"/>
          <w:color w:val="000000" w:themeColor="text1"/>
          <w:sz w:val="24"/>
        </w:rPr>
        <w:t xml:space="preserve">. To demonstrate this, we first examination an adaptation of the model in which nation explicit credit </w:t>
      </w:r>
      <w:r w:rsidR="00171D9D" w:rsidRPr="00C5049C">
        <w:rPr>
          <w:rFonts w:ascii="Times New Roman" w:hAnsi="Times New Roman" w:cs="Times New Roman"/>
          <w:color w:val="000000" w:themeColor="text1"/>
          <w:sz w:val="24"/>
        </w:rPr>
        <w:t>circumstances</w:t>
      </w:r>
      <w:r w:rsidRPr="00C5049C">
        <w:rPr>
          <w:rFonts w:ascii="Times New Roman" w:hAnsi="Times New Roman" w:cs="Times New Roman"/>
          <w:color w:val="000000" w:themeColor="text1"/>
          <w:sz w:val="24"/>
        </w:rPr>
        <w:t xml:space="preserve"> change exogenously. On the off chan</w:t>
      </w:r>
      <w:r w:rsidRPr="00C5049C">
        <w:rPr>
          <w:rFonts w:ascii="Times New Roman" w:hAnsi="Times New Roman" w:cs="Times New Roman"/>
          <w:color w:val="000000" w:themeColor="text1"/>
          <w:sz w:val="24"/>
        </w:rPr>
        <w:t xml:space="preserve">ce that budgetary </w:t>
      </w:r>
      <w:r w:rsidRPr="00305F45">
        <w:rPr>
          <w:rFonts w:ascii="Times New Roman" w:hAnsi="Times New Roman" w:cs="Times New Roman"/>
          <w:sz w:val="24"/>
        </w:rPr>
        <w:t>markets are coordinated, an exogenous fixing of credit in one nation discourages work and yield in the two nations. In any case, while the nation hit by the stun encounters a credit crunch, the other nation encounters a credit blast. Cons</w:t>
      </w:r>
      <w:r w:rsidRPr="00305F45">
        <w:rPr>
          <w:rFonts w:ascii="Times New Roman" w:hAnsi="Times New Roman" w:cs="Times New Roman"/>
          <w:sz w:val="24"/>
        </w:rPr>
        <w:t>equently, except if exogenous credit stuns are corresponded crosswise over nations, the model would not create money related synchronization. We at that point demonstrated that by making credit conditions endogenous, the model creates synchronized developm</w:t>
      </w:r>
      <w:r w:rsidRPr="00305F45">
        <w:rPr>
          <w:rFonts w:ascii="Times New Roman" w:hAnsi="Times New Roman" w:cs="Times New Roman"/>
          <w:sz w:val="24"/>
        </w:rPr>
        <w:t xml:space="preserve">ents in both genuine and money-related factors. This outcome bolsters the view that an inevitable, worldwide </w:t>
      </w:r>
      <w:r w:rsidRPr="00305F45">
        <w:rPr>
          <w:rFonts w:ascii="Times New Roman" w:hAnsi="Times New Roman" w:cs="Times New Roman"/>
          <w:sz w:val="24"/>
        </w:rPr>
        <w:lastRenderedPageBreak/>
        <w:t xml:space="preserve">liquidity deficiency, as opposed to confined nation explicit stuns, is imperative for understanding the </w:t>
      </w:r>
      <w:r w:rsidRPr="00CA6417">
        <w:rPr>
          <w:rFonts w:ascii="Times New Roman" w:hAnsi="Times New Roman" w:cs="Times New Roman"/>
          <w:color w:val="000000" w:themeColor="text1"/>
          <w:sz w:val="24"/>
        </w:rPr>
        <w:t>2008 emergency.</w:t>
      </w:r>
    </w:p>
    <w:p w:rsidR="00496AE4" w:rsidRPr="00CA6417" w:rsidRDefault="008A6A22" w:rsidP="00F36592">
      <w:pPr>
        <w:spacing w:after="0" w:line="480" w:lineRule="auto"/>
        <w:ind w:firstLine="720"/>
        <w:rPr>
          <w:rFonts w:ascii="Times New Roman" w:hAnsi="Times New Roman" w:cs="Times New Roman"/>
          <w:color w:val="000000" w:themeColor="text1"/>
          <w:sz w:val="24"/>
        </w:rPr>
      </w:pPr>
      <w:r w:rsidRPr="00CA6417">
        <w:rPr>
          <w:rFonts w:ascii="Times New Roman" w:hAnsi="Times New Roman" w:cs="Times New Roman"/>
          <w:color w:val="000000" w:themeColor="text1"/>
          <w:sz w:val="24"/>
        </w:rPr>
        <w:t>The administrative exchange</w:t>
      </w:r>
      <w:r w:rsidRPr="00CA6417">
        <w:rPr>
          <w:rFonts w:ascii="Times New Roman" w:hAnsi="Times New Roman" w:cs="Times New Roman"/>
          <w:color w:val="000000" w:themeColor="text1"/>
          <w:sz w:val="24"/>
        </w:rPr>
        <w:t xml:space="preserve"> such a development can permit, for example, moving operational territories to substances that are not directed, perpetually would have made the exercises inside the gathering entirely helpless against perilous/hasty practices. The business and supervisory</w:t>
      </w:r>
      <w:r w:rsidRPr="00CA6417">
        <w:rPr>
          <w:rFonts w:ascii="Times New Roman" w:hAnsi="Times New Roman" w:cs="Times New Roman"/>
          <w:color w:val="000000" w:themeColor="text1"/>
          <w:sz w:val="24"/>
        </w:rPr>
        <w:t xml:space="preserve"> difficulties that typically go with such advancement have additionally been recorded as being an integral part of the underlying drivers of budgetary emergency.</w:t>
      </w:r>
    </w:p>
    <w:p w:rsidR="00E0771D" w:rsidRDefault="008A6A22" w:rsidP="00F36592">
      <w:pPr>
        <w:spacing w:after="0" w:line="480" w:lineRule="auto"/>
        <w:ind w:firstLine="720"/>
        <w:rPr>
          <w:rFonts w:ascii="Times New Roman" w:hAnsi="Times New Roman" w:cs="Times New Roman"/>
          <w:sz w:val="24"/>
        </w:rPr>
      </w:pPr>
      <w:r w:rsidRPr="00CA6417">
        <w:rPr>
          <w:rFonts w:ascii="Times New Roman" w:hAnsi="Times New Roman" w:cs="Times New Roman"/>
          <w:color w:val="000000" w:themeColor="text1"/>
          <w:sz w:val="24"/>
        </w:rPr>
        <w:t xml:space="preserve">The setup additionally </w:t>
      </w:r>
      <w:r w:rsidRPr="00D55085">
        <w:rPr>
          <w:rFonts w:ascii="Times New Roman" w:hAnsi="Times New Roman" w:cs="Times New Roman"/>
          <w:sz w:val="24"/>
        </w:rPr>
        <w:t>comprehends various highlights that are signs of money related emergenc</w:t>
      </w:r>
      <w:r w:rsidRPr="00D55085">
        <w:rPr>
          <w:rFonts w:ascii="Times New Roman" w:hAnsi="Times New Roman" w:cs="Times New Roman"/>
          <w:sz w:val="24"/>
        </w:rPr>
        <w:t>ies as a rule. Specifically, the model creates (I) filter kilter elements of genuine factors in credit blasts and credit crashes, (ii) countercyclical work profitability, and (iii) emergencies that are increasingly serious when they emerge after a signific</w:t>
      </w:r>
      <w:r w:rsidRPr="00D55085">
        <w:rPr>
          <w:rFonts w:ascii="Times New Roman" w:hAnsi="Times New Roman" w:cs="Times New Roman"/>
          <w:sz w:val="24"/>
        </w:rPr>
        <w:t>ant lot of credit extension. Be that as it may, the model does not catch the lazy recuperation after the emergency. This recommends a liquidity deficiency can be in charge of the underlying breakdown in economic movement run of the mill of a budgetary emer</w:t>
      </w:r>
      <w:r w:rsidRPr="00D55085">
        <w:rPr>
          <w:rFonts w:ascii="Times New Roman" w:hAnsi="Times New Roman" w:cs="Times New Roman"/>
          <w:sz w:val="24"/>
        </w:rPr>
        <w:t>gency, yet extra systems are expected to comprehend the lazy recuperation that normally pursues the emergency</w:t>
      </w:r>
      <w:r w:rsidRPr="00E0771D">
        <w:rPr>
          <w:rFonts w:ascii="Times New Roman" w:hAnsi="Times New Roman" w:cs="Times New Roman"/>
          <w:sz w:val="24"/>
        </w:rPr>
        <w:t>.</w:t>
      </w:r>
      <w:r w:rsidR="00CA6417">
        <w:rPr>
          <w:rFonts w:ascii="Times New Roman" w:hAnsi="Times New Roman" w:cs="Times New Roman"/>
          <w:sz w:val="24"/>
        </w:rPr>
        <w:t xml:space="preserve"> </w:t>
      </w:r>
      <w:r w:rsidR="00CA6417" w:rsidRPr="00CA6417">
        <w:rPr>
          <w:rFonts w:ascii="Times New Roman" w:hAnsi="Times New Roman" w:cs="Times New Roman"/>
          <w:sz w:val="24"/>
        </w:rPr>
        <w:t>As for organization, an overview of contrasting disseminations on the failure or close frustration of the substances demonstrated stresses at the directorship level with respect to control, the dissatisfaction of boss in their watchman commitments, deficient opportunity, and wrong risk the administrators. These stresses were seen to be particularly exceptional for components which had an average financial specialist, who in like manner worked in the point of confinement of board director.</w:t>
      </w:r>
    </w:p>
    <w:p w:rsidR="008B2994" w:rsidRDefault="008B2994" w:rsidP="00F36592">
      <w:pPr>
        <w:shd w:val="clear" w:color="auto" w:fill="FFFFFF"/>
        <w:spacing w:after="0" w:line="480" w:lineRule="auto"/>
        <w:ind w:left="720" w:right="75" w:hanging="720"/>
        <w:rPr>
          <w:rFonts w:ascii="Times New Roman" w:eastAsia="Times New Roman" w:hAnsi="Times New Roman" w:cs="Times New Roman"/>
          <w:b/>
          <w:color w:val="000000"/>
          <w:sz w:val="24"/>
          <w:szCs w:val="24"/>
        </w:rPr>
      </w:pPr>
    </w:p>
    <w:p w:rsidR="00406C45" w:rsidRDefault="00406C45" w:rsidP="00F36592">
      <w:pPr>
        <w:shd w:val="clear" w:color="auto" w:fill="FFFFFF"/>
        <w:spacing w:after="0" w:line="480" w:lineRule="auto"/>
        <w:ind w:left="720" w:right="75" w:hanging="720"/>
        <w:rPr>
          <w:rFonts w:ascii="Times New Roman" w:eastAsia="Times New Roman" w:hAnsi="Times New Roman" w:cs="Times New Roman"/>
          <w:b/>
          <w:color w:val="000000"/>
          <w:sz w:val="24"/>
          <w:szCs w:val="24"/>
        </w:rPr>
      </w:pPr>
    </w:p>
    <w:p w:rsidR="00406C45" w:rsidRDefault="00406C45" w:rsidP="00F36592">
      <w:pPr>
        <w:shd w:val="clear" w:color="auto" w:fill="FFFFFF"/>
        <w:spacing w:after="0" w:line="480" w:lineRule="auto"/>
        <w:ind w:left="720" w:right="75" w:hanging="720"/>
        <w:rPr>
          <w:rFonts w:ascii="Times New Roman" w:eastAsia="Times New Roman" w:hAnsi="Times New Roman" w:cs="Times New Roman"/>
          <w:b/>
          <w:color w:val="000000"/>
          <w:sz w:val="24"/>
          <w:szCs w:val="24"/>
        </w:rPr>
      </w:pPr>
    </w:p>
    <w:p w:rsidR="008B2994" w:rsidRPr="00824F3F" w:rsidRDefault="008A6A22" w:rsidP="00F36592">
      <w:pPr>
        <w:shd w:val="clear" w:color="auto" w:fill="FFFFFF"/>
        <w:spacing w:after="0" w:line="480" w:lineRule="auto"/>
        <w:ind w:left="720" w:right="75" w:hanging="720"/>
        <w:rPr>
          <w:rFonts w:ascii="Times New Roman" w:eastAsia="Times New Roman" w:hAnsi="Times New Roman" w:cs="Times New Roman"/>
          <w:b/>
          <w:color w:val="000000"/>
          <w:sz w:val="24"/>
          <w:szCs w:val="24"/>
        </w:rPr>
      </w:pPr>
      <w:r w:rsidRPr="00824F3F">
        <w:rPr>
          <w:rFonts w:ascii="Times New Roman" w:hAnsi="Times New Roman" w:cs="Times New Roman"/>
          <w:b/>
          <w:sz w:val="24"/>
        </w:rPr>
        <w:lastRenderedPageBreak/>
        <w:t xml:space="preserve">Article </w:t>
      </w:r>
      <w:r w:rsidR="00F368A7">
        <w:rPr>
          <w:rFonts w:ascii="Times New Roman" w:hAnsi="Times New Roman" w:cs="Times New Roman"/>
          <w:b/>
          <w:sz w:val="24"/>
        </w:rPr>
        <w:t>3</w:t>
      </w:r>
      <w:r w:rsidRPr="00824F3F">
        <w:rPr>
          <w:rFonts w:ascii="Times New Roman" w:hAnsi="Times New Roman" w:cs="Times New Roman"/>
          <w:b/>
          <w:sz w:val="24"/>
        </w:rPr>
        <w:t xml:space="preserve">: </w:t>
      </w:r>
      <w:r w:rsidRPr="009C5D5E">
        <w:rPr>
          <w:rFonts w:ascii="Times New Roman" w:eastAsia="Times New Roman" w:hAnsi="Times New Roman" w:cs="Times New Roman"/>
          <w:b/>
          <w:color w:val="000000"/>
          <w:sz w:val="24"/>
          <w:szCs w:val="24"/>
        </w:rPr>
        <w:t>Adam, K., Marcet, A., &amp; Beutel, J. (2017).</w:t>
      </w:r>
    </w:p>
    <w:p w:rsidR="00806639" w:rsidRPr="00824F3F" w:rsidRDefault="008A6A22" w:rsidP="00F36592">
      <w:pPr>
        <w:shd w:val="clear" w:color="auto" w:fill="FFFFFF"/>
        <w:spacing w:after="0" w:line="480" w:lineRule="auto"/>
        <w:ind w:left="720" w:right="75" w:hanging="720"/>
        <w:rPr>
          <w:rFonts w:ascii="Times New Roman" w:eastAsia="Times New Roman" w:hAnsi="Times New Roman" w:cs="Times New Roman"/>
          <w:color w:val="000000"/>
          <w:sz w:val="24"/>
          <w:szCs w:val="24"/>
        </w:rPr>
      </w:pPr>
      <w:r w:rsidRPr="00824F3F">
        <w:rPr>
          <w:rFonts w:ascii="Times New Roman" w:eastAsia="Times New Roman" w:hAnsi="Times New Roman" w:cs="Times New Roman"/>
          <w:color w:val="000000"/>
          <w:sz w:val="24"/>
          <w:szCs w:val="24"/>
        </w:rPr>
        <w:t xml:space="preserve">Question: How have Investors' subjective capital gains </w:t>
      </w:r>
      <w:r w:rsidR="00AD1676" w:rsidRPr="00824F3F">
        <w:rPr>
          <w:rFonts w:ascii="Times New Roman" w:eastAsia="Times New Roman" w:hAnsi="Times New Roman" w:cs="Times New Roman"/>
          <w:color w:val="000000"/>
          <w:sz w:val="24"/>
          <w:szCs w:val="24"/>
        </w:rPr>
        <w:t>anticipations</w:t>
      </w:r>
      <w:r w:rsidRPr="00824F3F">
        <w:rPr>
          <w:rFonts w:ascii="Times New Roman" w:eastAsia="Times New Roman" w:hAnsi="Times New Roman" w:cs="Times New Roman"/>
          <w:color w:val="000000"/>
          <w:sz w:val="24"/>
          <w:szCs w:val="24"/>
        </w:rPr>
        <w:t xml:space="preserve"> been </w:t>
      </w:r>
      <w:r w:rsidR="00AD1676" w:rsidRPr="00824F3F">
        <w:rPr>
          <w:rFonts w:ascii="Times New Roman" w:eastAsia="Times New Roman" w:hAnsi="Times New Roman" w:cs="Times New Roman"/>
          <w:color w:val="000000"/>
          <w:sz w:val="24"/>
          <w:szCs w:val="24"/>
        </w:rPr>
        <w:t>an</w:t>
      </w:r>
      <w:r w:rsidRPr="00824F3F">
        <w:rPr>
          <w:rFonts w:ascii="Times New Roman" w:eastAsia="Times New Roman" w:hAnsi="Times New Roman" w:cs="Times New Roman"/>
          <w:color w:val="000000"/>
          <w:sz w:val="24"/>
          <w:szCs w:val="24"/>
        </w:rPr>
        <w:t xml:space="preserve"> </w:t>
      </w:r>
      <w:r w:rsidR="00AD1676" w:rsidRPr="00824F3F">
        <w:rPr>
          <w:rFonts w:ascii="Times New Roman" w:eastAsia="Times New Roman" w:hAnsi="Times New Roman" w:cs="Times New Roman"/>
          <w:color w:val="000000"/>
          <w:sz w:val="24"/>
          <w:szCs w:val="24"/>
        </w:rPr>
        <w:t>important</w:t>
      </w:r>
      <w:r w:rsidRPr="00824F3F">
        <w:rPr>
          <w:rFonts w:ascii="Times New Roman" w:eastAsia="Times New Roman" w:hAnsi="Times New Roman" w:cs="Times New Roman"/>
          <w:color w:val="000000"/>
          <w:sz w:val="24"/>
          <w:szCs w:val="24"/>
        </w:rPr>
        <w:t xml:space="preserve"> </w:t>
      </w:r>
      <w:r w:rsidR="00AD1676" w:rsidRPr="00824F3F">
        <w:rPr>
          <w:rFonts w:ascii="Times New Roman" w:eastAsia="Times New Roman" w:hAnsi="Times New Roman" w:cs="Times New Roman"/>
          <w:color w:val="000000"/>
          <w:sz w:val="24"/>
          <w:szCs w:val="24"/>
        </w:rPr>
        <w:t>factor</w:t>
      </w:r>
      <w:r w:rsidRPr="00824F3F">
        <w:rPr>
          <w:rFonts w:ascii="Times New Roman" w:eastAsia="Times New Roman" w:hAnsi="Times New Roman" w:cs="Times New Roman"/>
          <w:color w:val="000000"/>
          <w:sz w:val="24"/>
          <w:szCs w:val="24"/>
        </w:rPr>
        <w:t xml:space="preserve"> explaining stock price </w:t>
      </w:r>
      <w:r w:rsidR="00AD1676" w:rsidRPr="00824F3F">
        <w:rPr>
          <w:rFonts w:ascii="Times New Roman" w:eastAsia="Times New Roman" w:hAnsi="Times New Roman" w:cs="Times New Roman"/>
          <w:color w:val="000000"/>
          <w:sz w:val="24"/>
          <w:szCs w:val="24"/>
        </w:rPr>
        <w:t>variations</w:t>
      </w:r>
      <w:r w:rsidRPr="00824F3F">
        <w:rPr>
          <w:rFonts w:ascii="Times New Roman" w:eastAsia="Times New Roman" w:hAnsi="Times New Roman" w:cs="Times New Roman"/>
          <w:color w:val="000000"/>
          <w:sz w:val="24"/>
          <w:szCs w:val="24"/>
        </w:rPr>
        <w:t>?</w:t>
      </w:r>
    </w:p>
    <w:p w:rsidR="007D3238" w:rsidRDefault="007D3238" w:rsidP="00F36592">
      <w:pPr>
        <w:spacing w:after="0" w:line="480" w:lineRule="auto"/>
        <w:rPr>
          <w:rFonts w:ascii="Times New Roman" w:hAnsi="Times New Roman" w:cs="Times New Roman"/>
          <w:sz w:val="24"/>
        </w:rPr>
      </w:pPr>
    </w:p>
    <w:p w:rsidR="002F64FC" w:rsidRDefault="008A6A22" w:rsidP="00D55085">
      <w:pPr>
        <w:spacing w:after="0" w:line="480" w:lineRule="auto"/>
        <w:ind w:firstLine="720"/>
        <w:rPr>
          <w:rFonts w:ascii="Times New Roman" w:hAnsi="Times New Roman" w:cs="Times New Roman"/>
          <w:sz w:val="24"/>
        </w:rPr>
      </w:pPr>
      <w:r w:rsidRPr="00406C45">
        <w:rPr>
          <w:rFonts w:ascii="Times New Roman" w:hAnsi="Times New Roman" w:cs="Times New Roman"/>
          <w:sz w:val="24"/>
        </w:rPr>
        <w:t>Addressing disappointments in administration implies that sheets of chiefs must turn out to be progressively mindful of their trustee obligations and abstain from participating in exercises that may act naturally servin</w:t>
      </w:r>
      <w:r w:rsidRPr="00406C45">
        <w:rPr>
          <w:rFonts w:ascii="Times New Roman" w:hAnsi="Times New Roman" w:cs="Times New Roman"/>
          <w:sz w:val="24"/>
        </w:rPr>
        <w:t>g. The furnishing of the governing body necessitates that people so assigned to fill in as individuals are educated in a few regards of the establishment's the same old thing so they may (a) settle on educated choices and (b) abstain from getting to be ind</w:t>
      </w:r>
      <w:r w:rsidRPr="00406C45">
        <w:rPr>
          <w:rFonts w:ascii="Times New Roman" w:hAnsi="Times New Roman" w:cs="Times New Roman"/>
          <w:sz w:val="24"/>
        </w:rPr>
        <w:t>ividuals just to meet administrative or consolidation prerequisites. Board individuals must be set up to act freely, and all the while, alleviate any potential irreconcilable situation among the partners of the establishment. Setting the tone and guarantee</w:t>
      </w:r>
      <w:r w:rsidRPr="00406C45">
        <w:rPr>
          <w:rFonts w:ascii="Times New Roman" w:hAnsi="Times New Roman" w:cs="Times New Roman"/>
          <w:sz w:val="24"/>
        </w:rPr>
        <w:t>ing that a powerful oversight structure exists inside the establishment requires the board to have an essential influence in the improvement of manuals, approaches and methods and their execution at the operational dimension. As industry partners, the onus</w:t>
      </w:r>
      <w:r w:rsidRPr="00406C45">
        <w:rPr>
          <w:rFonts w:ascii="Times New Roman" w:hAnsi="Times New Roman" w:cs="Times New Roman"/>
          <w:sz w:val="24"/>
        </w:rPr>
        <w:t xml:space="preserve"> is likewise on controllers to guarantee adherence to the tripartite gauges set by establishments, household laws, directions with going with rules, and worldwide prescribed procedures.</w:t>
      </w:r>
      <w:r>
        <w:rPr>
          <w:rFonts w:ascii="Times New Roman" w:hAnsi="Times New Roman" w:cs="Times New Roman"/>
          <w:sz w:val="24"/>
        </w:rPr>
        <w:t xml:space="preserve"> </w:t>
      </w:r>
      <w:r w:rsidR="00D55085" w:rsidRPr="00D55085">
        <w:rPr>
          <w:rFonts w:ascii="Times New Roman" w:hAnsi="Times New Roman" w:cs="Times New Roman"/>
          <w:sz w:val="24"/>
        </w:rPr>
        <w:t xml:space="preserve">This infers, any economic arrangements to improve fare, import, and residential speculation would have no effect on economic growth as time goes on. In any case, in the short run fare is a critical factor in supporting imports. Tragically, imports don't have any effect on economic growth. This shows a serious issue in economic approaches. The administration needs to guarantee that, imports would bolster economic growth through bringing in increasingly suitable merchandise, for example, capital products, and machines. </w:t>
      </w:r>
      <w:r w:rsidR="007A518D" w:rsidRPr="00D55085">
        <w:rPr>
          <w:rFonts w:ascii="Times New Roman" w:hAnsi="Times New Roman" w:cs="Times New Roman"/>
          <w:sz w:val="24"/>
        </w:rPr>
        <w:t>That as well as, we ha</w:t>
      </w:r>
      <w:r w:rsidR="00D55085" w:rsidRPr="00D55085">
        <w:rPr>
          <w:rFonts w:ascii="Times New Roman" w:hAnsi="Times New Roman" w:cs="Times New Roman"/>
          <w:sz w:val="24"/>
        </w:rPr>
        <w:t xml:space="preserve">ve seen that send out has a direct effect to residential venture however this effect isn't </w:t>
      </w:r>
      <w:r w:rsidR="00D55085" w:rsidRPr="00D55085">
        <w:rPr>
          <w:rFonts w:ascii="Times New Roman" w:hAnsi="Times New Roman" w:cs="Times New Roman"/>
          <w:sz w:val="24"/>
        </w:rPr>
        <w:lastRenderedPageBreak/>
        <w:t xml:space="preserve">moved into economic growth. Rather, higher economic growth has a direct effect on the residential venture. This suggests, </w:t>
      </w:r>
      <w:r w:rsidR="007A518D" w:rsidRPr="00D55085">
        <w:rPr>
          <w:rFonts w:ascii="Times New Roman" w:hAnsi="Times New Roman" w:cs="Times New Roman"/>
          <w:sz w:val="24"/>
        </w:rPr>
        <w:t>improving</w:t>
      </w:r>
      <w:r w:rsidR="00D55085" w:rsidRPr="00D55085">
        <w:rPr>
          <w:rFonts w:ascii="Times New Roman" w:hAnsi="Times New Roman" w:cs="Times New Roman"/>
          <w:sz w:val="24"/>
        </w:rPr>
        <w:t xml:space="preserve"> residential speculation, it needs to help increase economic growth. Real approaches must be changed to guarantee the long run effect of fare to economic growth. The legislature needs to guarantee more advancement of residential creations through expense decrease, upgrade of more framework improvement, fabricated items, and household innovation</w:t>
      </w:r>
      <w:r w:rsidRPr="002F64FC">
        <w:rPr>
          <w:rFonts w:ascii="Times New Roman" w:hAnsi="Times New Roman" w:cs="Times New Roman"/>
          <w:sz w:val="24"/>
        </w:rPr>
        <w:t>.</w:t>
      </w:r>
    </w:p>
    <w:p w:rsidR="00CC7401" w:rsidRDefault="008A6A22" w:rsidP="00CC7401">
      <w:pPr>
        <w:spacing w:after="0" w:line="480" w:lineRule="auto"/>
        <w:ind w:firstLine="720"/>
        <w:rPr>
          <w:rFonts w:ascii="Times New Roman" w:hAnsi="Times New Roman" w:cs="Times New Roman"/>
          <w:sz w:val="24"/>
        </w:rPr>
      </w:pPr>
      <w:r w:rsidRPr="00320FA5">
        <w:rPr>
          <w:rFonts w:ascii="Times New Roman" w:hAnsi="Times New Roman" w:cs="Times New Roman"/>
          <w:sz w:val="24"/>
        </w:rPr>
        <w:t>Financial specialists' emotional capital increases desires are a key component clarifying stock cost changes. Study proportions of these desires show unnecessary good faith (cynicism) at market crests (troughs). We formally dismiss the</w:t>
      </w:r>
      <w:r w:rsidRPr="00320FA5">
        <w:rPr>
          <w:rFonts w:ascii="Times New Roman" w:hAnsi="Times New Roman" w:cs="Times New Roman"/>
          <w:sz w:val="24"/>
        </w:rPr>
        <w:t xml:space="preserve"> speculation this is good with objective desires. We at that point consolidate emotional value convictions with such properties into a standard resource evaluating model with reasonable specialists (interior discernment). We present an advantage in evaluat</w:t>
      </w:r>
      <w:r w:rsidRPr="00320FA5">
        <w:rPr>
          <w:rFonts w:ascii="Times New Roman" w:hAnsi="Times New Roman" w:cs="Times New Roman"/>
          <w:sz w:val="24"/>
        </w:rPr>
        <w:t xml:space="preserve">ing a model that consolidates endogenous conviction elements about anticipated capital additions. The model offers to ascend to </w:t>
      </w:r>
      <w:r w:rsidR="007A518D" w:rsidRPr="00320FA5">
        <w:rPr>
          <w:rFonts w:ascii="Times New Roman" w:hAnsi="Times New Roman" w:cs="Times New Roman"/>
          <w:sz w:val="24"/>
        </w:rPr>
        <w:t>continue</w:t>
      </w:r>
      <w:r w:rsidRPr="00320FA5">
        <w:rPr>
          <w:rFonts w:ascii="Times New Roman" w:hAnsi="Times New Roman" w:cs="Times New Roman"/>
          <w:sz w:val="24"/>
        </w:rPr>
        <w:t xml:space="preserve"> stock value blasts and busts and is steady with the conduct of financial specialists' capital additions desires, as estimated by overview information. The introduced demonstrating approach varies prominently from the standard methodology in the utilizatio</w:t>
      </w:r>
      <w:r w:rsidRPr="00320FA5">
        <w:rPr>
          <w:rFonts w:ascii="Times New Roman" w:hAnsi="Times New Roman" w:cs="Times New Roman"/>
          <w:sz w:val="24"/>
        </w:rPr>
        <w:t>n based resource estimating writing, which continues by expecting that stock value changes are completely effective.</w:t>
      </w:r>
    </w:p>
    <w:p w:rsidR="00351113" w:rsidRDefault="008A6A22" w:rsidP="00CC7401">
      <w:pPr>
        <w:spacing w:after="0" w:line="480" w:lineRule="auto"/>
        <w:ind w:firstLine="720"/>
        <w:rPr>
          <w:rFonts w:ascii="Times New Roman" w:hAnsi="Times New Roman" w:cs="Times New Roman"/>
          <w:sz w:val="24"/>
        </w:rPr>
      </w:pPr>
      <w:r>
        <w:rPr>
          <w:rFonts w:ascii="Times New Roman" w:hAnsi="Times New Roman" w:cs="Times New Roman"/>
          <w:sz w:val="24"/>
        </w:rPr>
        <w:t>A</w:t>
      </w:r>
      <w:r w:rsidRPr="00CC7401">
        <w:rPr>
          <w:rFonts w:ascii="Times New Roman" w:hAnsi="Times New Roman" w:cs="Times New Roman"/>
          <w:sz w:val="24"/>
        </w:rPr>
        <w:t>dam et al. (2017) first present experimental proof giving occasion to feel qualms about extending the overall view that stock value vacill</w:t>
      </w:r>
      <w:r w:rsidRPr="00CC7401">
        <w:rPr>
          <w:rFonts w:ascii="Times New Roman" w:hAnsi="Times New Roman" w:cs="Times New Roman"/>
          <w:sz w:val="24"/>
        </w:rPr>
        <w:t>ations are productive. In particular, we demonstrate that the levelheaded desires (RE) theory offers to ascend to a critical counterfactual forecast for the conduct of financial specialists' arrival or capital increase desires. This counterfactual forecast</w:t>
      </w:r>
      <w:r w:rsidRPr="00CC7401">
        <w:rPr>
          <w:rFonts w:ascii="Times New Roman" w:hAnsi="Times New Roman" w:cs="Times New Roman"/>
          <w:sz w:val="24"/>
        </w:rPr>
        <w:t xml:space="preserve"> is a model-free ramification of the RE speculation, in any case, as we clarify beneath, the key for understanding stock value instability and its proficiency properties.</w:t>
      </w:r>
    </w:p>
    <w:bookmarkEnd w:id="0"/>
    <w:p w:rsidR="00351113" w:rsidRPr="00351113" w:rsidRDefault="008A6A22" w:rsidP="00351113">
      <w:pPr>
        <w:shd w:val="clear" w:color="auto" w:fill="FFFFFF"/>
        <w:spacing w:after="0" w:line="240" w:lineRule="auto"/>
        <w:jc w:val="center"/>
        <w:rPr>
          <w:rFonts w:ascii="Times New Roman" w:eastAsia="Times New Roman" w:hAnsi="Times New Roman" w:cs="Times New Roman"/>
          <w:b/>
          <w:color w:val="000000"/>
          <w:sz w:val="24"/>
          <w:szCs w:val="24"/>
        </w:rPr>
      </w:pPr>
      <w:r w:rsidRPr="00351113">
        <w:rPr>
          <w:rFonts w:ascii="Times New Roman" w:eastAsia="Times New Roman" w:hAnsi="Times New Roman" w:cs="Times New Roman"/>
          <w:b/>
          <w:color w:val="000000"/>
          <w:sz w:val="24"/>
          <w:szCs w:val="24"/>
        </w:rPr>
        <w:lastRenderedPageBreak/>
        <w:t>Works Cited</w:t>
      </w:r>
    </w:p>
    <w:p w:rsidR="00351113" w:rsidRPr="00351113" w:rsidRDefault="008A6A22" w:rsidP="00351113">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351113">
        <w:rPr>
          <w:rFonts w:ascii="Times New Roman" w:eastAsia="Times New Roman" w:hAnsi="Times New Roman" w:cs="Times New Roman"/>
          <w:color w:val="000000"/>
          <w:sz w:val="24"/>
          <w:szCs w:val="24"/>
        </w:rPr>
        <w:t>Adam, K., et al. "Stock Price Booms and Expected Capital Gains." </w:t>
      </w:r>
      <w:r w:rsidRPr="00351113">
        <w:rPr>
          <w:rFonts w:ascii="Times New Roman" w:eastAsia="Times New Roman" w:hAnsi="Times New Roman" w:cs="Times New Roman"/>
          <w:i/>
          <w:iCs/>
          <w:color w:val="000000"/>
          <w:sz w:val="24"/>
          <w:szCs w:val="24"/>
        </w:rPr>
        <w:t>American</w:t>
      </w:r>
      <w:r w:rsidRPr="00351113">
        <w:rPr>
          <w:rFonts w:ascii="Times New Roman" w:eastAsia="Times New Roman" w:hAnsi="Times New Roman" w:cs="Times New Roman"/>
          <w:i/>
          <w:iCs/>
          <w:color w:val="000000"/>
          <w:sz w:val="24"/>
          <w:szCs w:val="24"/>
        </w:rPr>
        <w:t xml:space="preserve"> Economic Review</w:t>
      </w:r>
      <w:r w:rsidRPr="00351113">
        <w:rPr>
          <w:rFonts w:ascii="Times New Roman" w:eastAsia="Times New Roman" w:hAnsi="Times New Roman" w:cs="Times New Roman"/>
          <w:color w:val="000000"/>
          <w:sz w:val="24"/>
          <w:szCs w:val="24"/>
        </w:rPr>
        <w:t>, vol. 107, no. 8, 2017, pp. 2352-2408, doi:10.1257/aer.20140205.</w:t>
      </w:r>
    </w:p>
    <w:p w:rsidR="00351113" w:rsidRPr="00351113" w:rsidRDefault="008A6A22" w:rsidP="00351113">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351113">
        <w:rPr>
          <w:rFonts w:ascii="Times New Roman" w:eastAsia="Times New Roman" w:hAnsi="Times New Roman" w:cs="Times New Roman"/>
          <w:color w:val="000000"/>
          <w:sz w:val="24"/>
          <w:szCs w:val="24"/>
        </w:rPr>
        <w:t>Perri, F., and V. Quadrini. "International Recessions." </w:t>
      </w:r>
      <w:r w:rsidRPr="00351113">
        <w:rPr>
          <w:rFonts w:ascii="Times New Roman" w:eastAsia="Times New Roman" w:hAnsi="Times New Roman" w:cs="Times New Roman"/>
          <w:i/>
          <w:iCs/>
          <w:color w:val="000000"/>
          <w:sz w:val="24"/>
          <w:szCs w:val="24"/>
        </w:rPr>
        <w:t>American Economic Review</w:t>
      </w:r>
      <w:r w:rsidRPr="00351113">
        <w:rPr>
          <w:rFonts w:ascii="Times New Roman" w:eastAsia="Times New Roman" w:hAnsi="Times New Roman" w:cs="Times New Roman"/>
          <w:color w:val="000000"/>
          <w:sz w:val="24"/>
          <w:szCs w:val="24"/>
        </w:rPr>
        <w:t>, vol. 108, no. 4-5, 2018, pp. 935-984, doi:10.1257/aer.20140412.</w:t>
      </w:r>
    </w:p>
    <w:p w:rsidR="00351113" w:rsidRPr="00351113" w:rsidRDefault="008A6A22" w:rsidP="00351113">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351113">
        <w:rPr>
          <w:rFonts w:ascii="Times New Roman" w:eastAsia="Times New Roman" w:hAnsi="Times New Roman" w:cs="Times New Roman"/>
          <w:color w:val="000000"/>
          <w:sz w:val="24"/>
          <w:szCs w:val="24"/>
        </w:rPr>
        <w:t>Tafunell, X. "Capital format</w:t>
      </w:r>
      <w:r w:rsidRPr="00351113">
        <w:rPr>
          <w:rFonts w:ascii="Times New Roman" w:eastAsia="Times New Roman" w:hAnsi="Times New Roman" w:cs="Times New Roman"/>
          <w:color w:val="000000"/>
          <w:sz w:val="24"/>
          <w:szCs w:val="24"/>
        </w:rPr>
        <w:t>ion in Latin America: One and a half century of macroeconomic dynamics." </w:t>
      </w:r>
      <w:r w:rsidRPr="00351113">
        <w:rPr>
          <w:rFonts w:ascii="Times New Roman" w:eastAsia="Times New Roman" w:hAnsi="Times New Roman" w:cs="Times New Roman"/>
          <w:i/>
          <w:iCs/>
          <w:color w:val="000000"/>
          <w:sz w:val="24"/>
          <w:szCs w:val="24"/>
        </w:rPr>
        <w:t>CEPAL Review</w:t>
      </w:r>
      <w:r w:rsidRPr="00351113">
        <w:rPr>
          <w:rFonts w:ascii="Times New Roman" w:eastAsia="Times New Roman" w:hAnsi="Times New Roman" w:cs="Times New Roman"/>
          <w:color w:val="000000"/>
          <w:sz w:val="24"/>
          <w:szCs w:val="24"/>
        </w:rPr>
        <w:t>, vol. 2013, no. 109, 2013, pp. 7-26, doi:10.18356/b81065d1-en.</w:t>
      </w:r>
    </w:p>
    <w:p w:rsidR="00351113" w:rsidRPr="00351113" w:rsidRDefault="008A6A22" w:rsidP="00351113">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351113">
        <w:rPr>
          <w:rFonts w:ascii="Times New Roman" w:eastAsia="Times New Roman" w:hAnsi="Times New Roman" w:cs="Times New Roman"/>
          <w:color w:val="000000"/>
          <w:sz w:val="24"/>
          <w:szCs w:val="24"/>
        </w:rPr>
        <w:t>"Two important keys that unlock international macroeconomics." </w:t>
      </w:r>
      <w:r w:rsidRPr="00351113">
        <w:rPr>
          <w:rFonts w:ascii="Times New Roman" w:eastAsia="Times New Roman" w:hAnsi="Times New Roman" w:cs="Times New Roman"/>
          <w:i/>
          <w:iCs/>
          <w:color w:val="000000"/>
          <w:sz w:val="24"/>
          <w:szCs w:val="24"/>
        </w:rPr>
        <w:t>International Macroeconomics for Business an</w:t>
      </w:r>
      <w:r w:rsidRPr="00351113">
        <w:rPr>
          <w:rFonts w:ascii="Times New Roman" w:eastAsia="Times New Roman" w:hAnsi="Times New Roman" w:cs="Times New Roman"/>
          <w:i/>
          <w:iCs/>
          <w:color w:val="000000"/>
          <w:sz w:val="24"/>
          <w:szCs w:val="24"/>
        </w:rPr>
        <w:t>d Political Leaders</w:t>
      </w:r>
      <w:r w:rsidRPr="00351113">
        <w:rPr>
          <w:rFonts w:ascii="Times New Roman" w:eastAsia="Times New Roman" w:hAnsi="Times New Roman" w:cs="Times New Roman"/>
          <w:color w:val="000000"/>
          <w:sz w:val="24"/>
          <w:szCs w:val="24"/>
        </w:rPr>
        <w:t>, 2017, pp. 15-23, doi:10.4324/9781315206417-2.</w:t>
      </w:r>
    </w:p>
    <w:p w:rsidR="009C5D5E" w:rsidRPr="00E97EE7" w:rsidRDefault="009C5D5E" w:rsidP="00351113">
      <w:pPr>
        <w:shd w:val="clear" w:color="auto" w:fill="FFFFFF"/>
        <w:spacing w:after="0" w:line="480" w:lineRule="auto"/>
        <w:jc w:val="center"/>
        <w:rPr>
          <w:rFonts w:ascii="Times New Roman" w:hAnsi="Times New Roman" w:cs="Times New Roman"/>
          <w:sz w:val="24"/>
        </w:rPr>
      </w:pPr>
    </w:p>
    <w:sectPr w:rsidR="009C5D5E" w:rsidRPr="00E97E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A22" w:rsidRDefault="008A6A22">
      <w:pPr>
        <w:spacing w:after="0" w:line="240" w:lineRule="auto"/>
      </w:pPr>
      <w:r>
        <w:separator/>
      </w:r>
    </w:p>
  </w:endnote>
  <w:endnote w:type="continuationSeparator" w:id="0">
    <w:p w:rsidR="008A6A22" w:rsidRDefault="008A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A22" w:rsidRDefault="008A6A22">
      <w:pPr>
        <w:spacing w:after="0" w:line="240" w:lineRule="auto"/>
      </w:pPr>
      <w:r>
        <w:separator/>
      </w:r>
    </w:p>
  </w:footnote>
  <w:footnote w:type="continuationSeparator" w:id="0">
    <w:p w:rsidR="008A6A22" w:rsidRDefault="008A6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92" w:rsidRPr="00F36592" w:rsidRDefault="008A6A22" w:rsidP="00F36592">
    <w:pPr>
      <w:pStyle w:val="Header"/>
      <w:jc w:val="right"/>
      <w:rPr>
        <w:rFonts w:ascii="Times New Roman" w:hAnsi="Times New Roman" w:cs="Times New Roman"/>
        <w:sz w:val="24"/>
        <w:szCs w:val="24"/>
      </w:rPr>
    </w:pPr>
    <w:r w:rsidRPr="00F36592">
      <w:rPr>
        <w:rFonts w:ascii="Times New Roman" w:hAnsi="Times New Roman" w:cs="Times New Roman"/>
        <w:sz w:val="24"/>
        <w:szCs w:val="24"/>
      </w:rPr>
      <w:t xml:space="preserve">SURNAME </w:t>
    </w:r>
    <w:sdt>
      <w:sdtPr>
        <w:rPr>
          <w:rFonts w:ascii="Times New Roman" w:hAnsi="Times New Roman" w:cs="Times New Roman"/>
          <w:sz w:val="24"/>
          <w:szCs w:val="24"/>
        </w:rPr>
        <w:id w:val="-1290200708"/>
        <w:docPartObj>
          <w:docPartGallery w:val="Page Numbers (Top of Page)"/>
          <w:docPartUnique/>
        </w:docPartObj>
      </w:sdtPr>
      <w:sdtEndPr>
        <w:rPr>
          <w:noProof/>
        </w:rPr>
      </w:sdtEndPr>
      <w:sdtContent>
        <w:r w:rsidRPr="00F36592">
          <w:rPr>
            <w:rFonts w:ascii="Times New Roman" w:hAnsi="Times New Roman" w:cs="Times New Roman"/>
            <w:sz w:val="24"/>
            <w:szCs w:val="24"/>
          </w:rPr>
          <w:fldChar w:fldCharType="begin"/>
        </w:r>
        <w:r w:rsidRPr="00F36592">
          <w:rPr>
            <w:rFonts w:ascii="Times New Roman" w:hAnsi="Times New Roman" w:cs="Times New Roman"/>
            <w:sz w:val="24"/>
            <w:szCs w:val="24"/>
          </w:rPr>
          <w:instrText xml:space="preserve"> PAGE   \* MERGEFORMAT </w:instrText>
        </w:r>
        <w:r w:rsidRPr="00F36592">
          <w:rPr>
            <w:rFonts w:ascii="Times New Roman" w:hAnsi="Times New Roman" w:cs="Times New Roman"/>
            <w:sz w:val="24"/>
            <w:szCs w:val="24"/>
          </w:rPr>
          <w:fldChar w:fldCharType="separate"/>
        </w:r>
        <w:r w:rsidR="00193739">
          <w:rPr>
            <w:rFonts w:ascii="Times New Roman" w:hAnsi="Times New Roman" w:cs="Times New Roman"/>
            <w:noProof/>
            <w:sz w:val="24"/>
            <w:szCs w:val="24"/>
          </w:rPr>
          <w:t>1</w:t>
        </w:r>
        <w:r w:rsidRPr="00F36592">
          <w:rPr>
            <w:rFonts w:ascii="Times New Roman" w:hAnsi="Times New Roman" w:cs="Times New Roman"/>
            <w:noProof/>
            <w:sz w:val="24"/>
            <w:szCs w:val="24"/>
          </w:rPr>
          <w:fldChar w:fldCharType="end"/>
        </w:r>
      </w:sdtContent>
    </w:sdt>
  </w:p>
  <w:p w:rsidR="00F36592" w:rsidRPr="00F36592" w:rsidRDefault="00F36592" w:rsidP="00F36592">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A6"/>
    <w:rsid w:val="00046CCE"/>
    <w:rsid w:val="000B51CC"/>
    <w:rsid w:val="00171D9D"/>
    <w:rsid w:val="00193739"/>
    <w:rsid w:val="002A57E2"/>
    <w:rsid w:val="002F64FC"/>
    <w:rsid w:val="00305F45"/>
    <w:rsid w:val="00320FA5"/>
    <w:rsid w:val="003270A8"/>
    <w:rsid w:val="00351113"/>
    <w:rsid w:val="003922BE"/>
    <w:rsid w:val="003C24C3"/>
    <w:rsid w:val="00406C45"/>
    <w:rsid w:val="004356C2"/>
    <w:rsid w:val="004712A6"/>
    <w:rsid w:val="0047638C"/>
    <w:rsid w:val="00496AE4"/>
    <w:rsid w:val="004B090A"/>
    <w:rsid w:val="005966B7"/>
    <w:rsid w:val="00655CC8"/>
    <w:rsid w:val="006618AF"/>
    <w:rsid w:val="0067005C"/>
    <w:rsid w:val="007017BF"/>
    <w:rsid w:val="00733A0B"/>
    <w:rsid w:val="00796191"/>
    <w:rsid w:val="007A518D"/>
    <w:rsid w:val="007D1614"/>
    <w:rsid w:val="007D3238"/>
    <w:rsid w:val="00806639"/>
    <w:rsid w:val="00824F3F"/>
    <w:rsid w:val="00862A34"/>
    <w:rsid w:val="0088673C"/>
    <w:rsid w:val="008A6A22"/>
    <w:rsid w:val="008B2994"/>
    <w:rsid w:val="008C0D3E"/>
    <w:rsid w:val="009C5D5E"/>
    <w:rsid w:val="00AB095B"/>
    <w:rsid w:val="00AD1676"/>
    <w:rsid w:val="00C05F67"/>
    <w:rsid w:val="00C216FA"/>
    <w:rsid w:val="00C5049C"/>
    <w:rsid w:val="00C606EA"/>
    <w:rsid w:val="00CA6417"/>
    <w:rsid w:val="00CC7401"/>
    <w:rsid w:val="00D55085"/>
    <w:rsid w:val="00D7772E"/>
    <w:rsid w:val="00D84E5E"/>
    <w:rsid w:val="00D8532F"/>
    <w:rsid w:val="00DF41A4"/>
    <w:rsid w:val="00E0771D"/>
    <w:rsid w:val="00E97EE7"/>
    <w:rsid w:val="00EB7916"/>
    <w:rsid w:val="00EF06A4"/>
    <w:rsid w:val="00F36592"/>
    <w:rsid w:val="00F368A7"/>
    <w:rsid w:val="00F64ED0"/>
    <w:rsid w:val="00F9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format">
    <w:name w:val="cpformat"/>
    <w:basedOn w:val="Normal"/>
    <w:rsid w:val="009C5D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5D5E"/>
    <w:rPr>
      <w:i/>
      <w:iCs/>
    </w:rPr>
  </w:style>
  <w:style w:type="paragraph" w:styleId="Header">
    <w:name w:val="header"/>
    <w:basedOn w:val="Normal"/>
    <w:link w:val="HeaderChar"/>
    <w:uiPriority w:val="99"/>
    <w:unhideWhenUsed/>
    <w:rsid w:val="00F36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92"/>
  </w:style>
  <w:style w:type="paragraph" w:styleId="Footer">
    <w:name w:val="footer"/>
    <w:basedOn w:val="Normal"/>
    <w:link w:val="FooterChar"/>
    <w:uiPriority w:val="99"/>
    <w:unhideWhenUsed/>
    <w:rsid w:val="00F36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format">
    <w:name w:val="cpformat"/>
    <w:basedOn w:val="Normal"/>
    <w:rsid w:val="009C5D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5D5E"/>
    <w:rPr>
      <w:i/>
      <w:iCs/>
    </w:rPr>
  </w:style>
  <w:style w:type="paragraph" w:styleId="Header">
    <w:name w:val="header"/>
    <w:basedOn w:val="Normal"/>
    <w:link w:val="HeaderChar"/>
    <w:uiPriority w:val="99"/>
    <w:unhideWhenUsed/>
    <w:rsid w:val="00F36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92"/>
  </w:style>
  <w:style w:type="paragraph" w:styleId="Footer">
    <w:name w:val="footer"/>
    <w:basedOn w:val="Normal"/>
    <w:link w:val="FooterChar"/>
    <w:uiPriority w:val="99"/>
    <w:unhideWhenUsed/>
    <w:rsid w:val="00F36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 1</dc:creator>
  <cp:lastModifiedBy>CYBER 1</cp:lastModifiedBy>
  <cp:revision>2</cp:revision>
  <dcterms:created xsi:type="dcterms:W3CDTF">2019-02-21T17:57:00Z</dcterms:created>
  <dcterms:modified xsi:type="dcterms:W3CDTF">2019-02-21T17:57:00Z</dcterms:modified>
</cp:coreProperties>
</file>