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A0189E" w:rsidP="00550EFD">
      <w:pPr>
        <w:spacing w:after="0" w:line="480" w:lineRule="auto"/>
        <w:jc w:val="center"/>
        <w:rPr>
          <w:rFonts w:ascii="Times New Roman" w:hAnsi="Times New Roman" w:cs="Times New Roman"/>
          <w:sz w:val="24"/>
          <w:szCs w:val="24"/>
        </w:rPr>
      </w:pPr>
      <w:r w:rsidRPr="00A0189E">
        <w:rPr>
          <w:rFonts w:ascii="Times New Roman" w:hAnsi="Times New Roman" w:cs="Times New Roman"/>
          <w:sz w:val="24"/>
          <w:szCs w:val="24"/>
        </w:rPr>
        <w:t xml:space="preserve">Forensic </w:t>
      </w:r>
      <w:r w:rsidRPr="00A0189E">
        <w:rPr>
          <w:rFonts w:ascii="Times New Roman" w:hAnsi="Times New Roman" w:cs="Times New Roman"/>
          <w:sz w:val="24"/>
          <w:szCs w:val="24"/>
        </w:rPr>
        <w:t>Psy</w:t>
      </w:r>
      <w:r w:rsidRPr="00A0189E">
        <w:rPr>
          <w:rFonts w:ascii="Times New Roman" w:hAnsi="Times New Roman" w:cs="Times New Roman"/>
          <w:sz w:val="24"/>
          <w:szCs w:val="24"/>
        </w:rPr>
        <w:t>, week 4</w:t>
      </w:r>
      <w:r>
        <w:rPr>
          <w:rFonts w:ascii="Times New Roman" w:hAnsi="Times New Roman" w:cs="Times New Roman"/>
          <w:sz w:val="24"/>
          <w:szCs w:val="24"/>
        </w:rPr>
        <w:t xml:space="preserve">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sidRPr="00A0189E">
        <w:rPr>
          <w:rFonts w:ascii="Times New Roman" w:hAnsi="Times New Roman" w:cs="Times New Roman"/>
          <w:sz w:val="24"/>
          <w:szCs w:val="24"/>
        </w:rPr>
        <w:t xml:space="preserve">Forensic </w:t>
      </w:r>
      <w:r w:rsidRPr="00A0189E">
        <w:rPr>
          <w:rFonts w:ascii="Times New Roman" w:hAnsi="Times New Roman" w:cs="Times New Roman"/>
          <w:sz w:val="24"/>
          <w:szCs w:val="24"/>
        </w:rPr>
        <w:t>Psy</w:t>
      </w:r>
      <w:r w:rsidRPr="00A0189E">
        <w:rPr>
          <w:rFonts w:ascii="Times New Roman" w:hAnsi="Times New Roman" w:cs="Times New Roman"/>
          <w:sz w:val="24"/>
          <w:szCs w:val="24"/>
        </w:rPr>
        <w:t>, week 4</w:t>
      </w:r>
    </w:p>
    <w:p w:rsidR="00A1525F" w:rsidRPr="00267851" w:rsidP="00CC65B5">
      <w:pPr>
        <w:spacing w:after="0" w:line="480" w:lineRule="auto"/>
        <w:rPr>
          <w:rFonts w:ascii="Times New Roman" w:hAnsi="Times New Roman" w:cs="Times New Roman"/>
          <w:b/>
          <w:sz w:val="24"/>
          <w:szCs w:val="24"/>
        </w:rPr>
      </w:pPr>
      <w:r>
        <w:rPr>
          <w:rFonts w:ascii="Times New Roman" w:hAnsi="Times New Roman" w:cs="Times New Roman"/>
          <w:b/>
          <w:sz w:val="24"/>
          <w:szCs w:val="24"/>
        </w:rPr>
        <w:t>The Reliability of Polygraph Test</w:t>
      </w:r>
    </w:p>
    <w:p w:rsidR="00907B8D" w:rsidP="00AB1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polygraph is a lie detector test used in courts to record and measures different psychological indicators of a criminal before the court such as pulse rate, blood pressure, and respiration. However, its credibility is highly debatable whether it accurate</w:t>
      </w:r>
      <w:r>
        <w:rPr>
          <w:rFonts w:ascii="Times New Roman" w:hAnsi="Times New Roman" w:cs="Times New Roman"/>
          <w:sz w:val="24"/>
          <w:szCs w:val="24"/>
        </w:rPr>
        <w:t xml:space="preserve">ly detect lies or not. The proponents say that the test provides accuracy </w:t>
      </w:r>
      <w:r>
        <w:rPr>
          <w:rFonts w:ascii="Times New Roman" w:hAnsi="Times New Roman" w:cs="Times New Roman"/>
          <w:sz w:val="24"/>
          <w:szCs w:val="24"/>
        </w:rPr>
        <w:t>up to</w:t>
      </w:r>
      <w:r>
        <w:rPr>
          <w:rFonts w:ascii="Times New Roman" w:hAnsi="Times New Roman" w:cs="Times New Roman"/>
          <w:sz w:val="24"/>
          <w:szCs w:val="24"/>
        </w:rPr>
        <w:t xml:space="preserve"> 90 percent whereas the critics say the test accuracy is about 70 percent. American </w:t>
      </w:r>
      <w:r>
        <w:rPr>
          <w:rFonts w:ascii="Times New Roman" w:hAnsi="Times New Roman" w:cs="Times New Roman"/>
          <w:sz w:val="24"/>
          <w:szCs w:val="24"/>
        </w:rPr>
        <w:t>Polygraph</w:t>
      </w:r>
      <w:r>
        <w:rPr>
          <w:rFonts w:ascii="Times New Roman" w:hAnsi="Times New Roman" w:cs="Times New Roman"/>
          <w:sz w:val="24"/>
          <w:szCs w:val="24"/>
        </w:rPr>
        <w:t xml:space="preserve"> Association member Frank Horvath states that there is no such </w:t>
      </w:r>
      <w:r>
        <w:rPr>
          <w:rFonts w:ascii="Times New Roman" w:hAnsi="Times New Roman" w:cs="Times New Roman"/>
          <w:sz w:val="24"/>
          <w:szCs w:val="24"/>
        </w:rPr>
        <w:t>instrument</w:t>
      </w:r>
      <w:r>
        <w:rPr>
          <w:rFonts w:ascii="Times New Roman" w:hAnsi="Times New Roman" w:cs="Times New Roman"/>
          <w:sz w:val="24"/>
          <w:szCs w:val="24"/>
        </w:rPr>
        <w:t xml:space="preserve"> to detect lies</w:t>
      </w:r>
      <w:r w:rsidR="00AE7079">
        <w:rPr>
          <w:rFonts w:ascii="Times New Roman" w:hAnsi="Times New Roman" w:cs="Times New Roman"/>
          <w:sz w:val="24"/>
          <w:szCs w:val="24"/>
        </w:rPr>
        <w:t xml:space="preserve"> </w:t>
      </w:r>
      <w:r w:rsidR="00AE7079">
        <w:rPr>
          <w:rFonts w:ascii="Times New Roman" w:hAnsi="Times New Roman" w:cs="Times New Roman"/>
          <w:sz w:val="24"/>
          <w:szCs w:val="24"/>
        </w:rPr>
        <w:fldChar w:fldCharType="begin"/>
      </w:r>
      <w:r w:rsidR="00AE7079">
        <w:rPr>
          <w:rFonts w:ascii="Times New Roman" w:hAnsi="Times New Roman" w:cs="Times New Roman"/>
          <w:sz w:val="24"/>
          <w:szCs w:val="24"/>
        </w:rPr>
        <w:instrText xml:space="preserve"> ADDIN ZOTERO_ITEM CSL_CITATION {"citationID":"CN1oXK0e","properties":{"formattedCitation":"(Iacono, 2008)","plainCitation":"(Iacono, 2008)","noteIndex":0},"citationItems":[{"id":96,"uris":["http://zotero.org/users/local/DqTTedP9/items/KKN8P8I8"],"uri":["http://zotero.org/users/local/DqTTedP9/items/KKN8P8I8"],"itemData":{"id":96,"type":"article-journal","title":"Effective policing: Understanding how polygraph tests work and are used","container-title":"Criminal Justice and Behavior","page":"1295-1308","volume":"35","issue":"10","author":[{"family":"Iacono","given":"William G."}],"issued":{"date-parts":[["2008"]]}}}],"schema":"https://github.com/citation-style-language/schema/raw/master/csl-citation.json"} </w:instrText>
      </w:r>
      <w:r w:rsidR="00AE7079">
        <w:rPr>
          <w:rFonts w:ascii="Times New Roman" w:hAnsi="Times New Roman" w:cs="Times New Roman"/>
          <w:sz w:val="24"/>
          <w:szCs w:val="24"/>
        </w:rPr>
        <w:fldChar w:fldCharType="separate"/>
      </w:r>
      <w:r w:rsidRPr="00AE7079" w:rsidR="00AE7079">
        <w:rPr>
          <w:rFonts w:ascii="Times New Roman" w:hAnsi="Times New Roman" w:cs="Times New Roman"/>
          <w:sz w:val="24"/>
        </w:rPr>
        <w:t>(</w:t>
      </w:r>
      <w:r w:rsidRPr="00AE7079" w:rsidR="00AE7079">
        <w:rPr>
          <w:rFonts w:ascii="Times New Roman" w:hAnsi="Times New Roman" w:cs="Times New Roman"/>
          <w:sz w:val="24"/>
        </w:rPr>
        <w:t>Iacono</w:t>
      </w:r>
      <w:r w:rsidRPr="00AE7079" w:rsidR="00AE7079">
        <w:rPr>
          <w:rFonts w:ascii="Times New Roman" w:hAnsi="Times New Roman" w:cs="Times New Roman"/>
          <w:sz w:val="24"/>
        </w:rPr>
        <w:t>, 2008)</w:t>
      </w:r>
      <w:r w:rsidR="00AE7079">
        <w:rPr>
          <w:rFonts w:ascii="Times New Roman" w:hAnsi="Times New Roman" w:cs="Times New Roman"/>
          <w:sz w:val="24"/>
          <w:szCs w:val="24"/>
        </w:rPr>
        <w:fldChar w:fldCharType="end"/>
      </w:r>
      <w:r>
        <w:rPr>
          <w:rFonts w:ascii="Times New Roman" w:hAnsi="Times New Roman" w:cs="Times New Roman"/>
          <w:sz w:val="24"/>
          <w:szCs w:val="24"/>
        </w:rPr>
        <w:t xml:space="preserve">. Similarly, I believe that some criminals or employees are much confident to hide their emotions </w:t>
      </w:r>
      <w:r>
        <w:rPr>
          <w:rFonts w:ascii="Times New Roman" w:hAnsi="Times New Roman" w:cs="Times New Roman"/>
          <w:sz w:val="24"/>
          <w:szCs w:val="24"/>
        </w:rPr>
        <w:t>in front</w:t>
      </w:r>
      <w:r>
        <w:rPr>
          <w:rFonts w:ascii="Times New Roman" w:hAnsi="Times New Roman" w:cs="Times New Roman"/>
          <w:sz w:val="24"/>
          <w:szCs w:val="24"/>
        </w:rPr>
        <w:t xml:space="preserve"> of the court or organization, it is hard in case of some people to judge them with their statements. Some emotions can be easily relaxed by diverting attention to something which gives us pl</w:t>
      </w:r>
      <w:r w:rsidR="00C87AFB">
        <w:rPr>
          <w:rFonts w:ascii="Times New Roman" w:hAnsi="Times New Roman" w:cs="Times New Roman"/>
          <w:sz w:val="24"/>
          <w:szCs w:val="24"/>
        </w:rPr>
        <w:t>easure, while during the test if</w:t>
      </w:r>
      <w:r>
        <w:rPr>
          <w:rFonts w:ascii="Times New Roman" w:hAnsi="Times New Roman" w:cs="Times New Roman"/>
          <w:sz w:val="24"/>
          <w:szCs w:val="24"/>
        </w:rPr>
        <w:t xml:space="preserve"> someone sta</w:t>
      </w:r>
      <w:r w:rsidR="00C87AFB">
        <w:rPr>
          <w:rFonts w:ascii="Times New Roman" w:hAnsi="Times New Roman" w:cs="Times New Roman"/>
          <w:sz w:val="24"/>
          <w:szCs w:val="24"/>
        </w:rPr>
        <w:t xml:space="preserve">rts to think about positive aspects, the nerves can be calm easily. </w:t>
      </w:r>
    </w:p>
    <w:p w:rsidR="00CC65B5" w:rsidP="00AB1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a polygraph are not admissible, as it can be presented as evidence but the court cannot base their decision on such tests. Similarly in employee performance evaluation, it can be used as a mechanism to make him more trustworthy</w:t>
      </w:r>
      <w:r>
        <w:rPr>
          <w:rFonts w:ascii="Times New Roman" w:hAnsi="Times New Roman" w:cs="Times New Roman"/>
          <w:sz w:val="24"/>
          <w:szCs w:val="24"/>
        </w:rPr>
        <w:t xml:space="preserve"> and test their confidence level in such a situation, however, it is not a reliable test for the lie detector.  
</w:t>
      </w:r>
    </w:p>
    <w:p w:rsidR="009619BA" w:rsidRPr="009619BA" w:rsidP="002F7BA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Bail System </w:t>
      </w:r>
    </w:p>
    <w:p w:rsidR="0023655F" w:rsidP="002365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 Constitution states that unjustified </w:t>
      </w:r>
      <w:r w:rsidRPr="00CC65B5" w:rsidR="00CC65B5">
        <w:rPr>
          <w:rFonts w:ascii="Times New Roman" w:hAnsi="Times New Roman" w:cs="Times New Roman"/>
          <w:sz w:val="24"/>
          <w:szCs w:val="24"/>
        </w:rPr>
        <w:t xml:space="preserve">bail </w:t>
      </w:r>
      <w:r>
        <w:rPr>
          <w:rFonts w:ascii="Times New Roman" w:hAnsi="Times New Roman" w:cs="Times New Roman"/>
          <w:sz w:val="24"/>
          <w:szCs w:val="24"/>
        </w:rPr>
        <w:t xml:space="preserve">shall not be provided, also, there is no actual right to bail. However, it is considered an </w:t>
      </w:r>
      <w:r w:rsidRPr="002F7BA7">
        <w:rPr>
          <w:rFonts w:ascii="Times New Roman" w:hAnsi="Times New Roman" w:cs="Times New Roman"/>
          <w:sz w:val="24"/>
          <w:szCs w:val="24"/>
        </w:rPr>
        <w:t>individual’s right to</w:t>
      </w:r>
      <w:r>
        <w:rPr>
          <w:rFonts w:ascii="Times New Roman" w:hAnsi="Times New Roman" w:cs="Times New Roman"/>
          <w:sz w:val="24"/>
          <w:szCs w:val="24"/>
        </w:rPr>
        <w:t xml:space="preserve"> enjoy</w:t>
      </w:r>
      <w:r w:rsidRPr="002F7BA7">
        <w:rPr>
          <w:rFonts w:ascii="Times New Roman" w:hAnsi="Times New Roman" w:cs="Times New Roman"/>
          <w:sz w:val="24"/>
          <w:szCs w:val="24"/>
        </w:rPr>
        <w:t xml:space="preserve"> liberty</w:t>
      </w:r>
      <w:r>
        <w:rPr>
          <w:rFonts w:ascii="Times New Roman" w:hAnsi="Times New Roman" w:cs="Times New Roman"/>
          <w:sz w:val="24"/>
          <w:szCs w:val="24"/>
        </w:rPr>
        <w:t xml:space="preserve"> during the judicial hearing </w:t>
      </w:r>
      <w:r>
        <w:rPr>
          <w:rFonts w:ascii="Times New Roman" w:hAnsi="Times New Roman" w:cs="Times New Roman"/>
          <w:sz w:val="24"/>
          <w:szCs w:val="24"/>
        </w:rPr>
        <w:t>process</w:t>
      </w:r>
      <w:r>
        <w:rPr>
          <w:rFonts w:ascii="Times New Roman" w:hAnsi="Times New Roman" w:cs="Times New Roman"/>
          <w:sz w:val="24"/>
          <w:szCs w:val="24"/>
        </w:rPr>
        <w:t>.</w:t>
      </w:r>
      <w:r>
        <w:rPr>
          <w:rFonts w:ascii="Times New Roman" w:hAnsi="Times New Roman" w:cs="Times New Roman"/>
          <w:sz w:val="24"/>
          <w:szCs w:val="24"/>
        </w:rPr>
        <w:t xml:space="preserve"> Moreover, there is no mechanism for criminal offending during the bail period and is considered a threat to society. The judicial system is required to make such arrangements where there is no threat of harm to society. The should provide the liberty </w:t>
      </w:r>
      <w:r>
        <w:rPr>
          <w:rFonts w:ascii="Times New Roman" w:hAnsi="Times New Roman" w:cs="Times New Roman"/>
          <w:sz w:val="24"/>
          <w:szCs w:val="24"/>
        </w:rPr>
        <w:t>to</w:t>
      </w:r>
      <w:r>
        <w:rPr>
          <w:rFonts w:ascii="Times New Roman" w:hAnsi="Times New Roman" w:cs="Times New Roman"/>
          <w:sz w:val="24"/>
          <w:szCs w:val="24"/>
        </w:rPr>
        <w:t xml:space="preserve"> criminal to resume his work or make certain arrangements for his personal and professional lives, but they should not </w:t>
      </w:r>
      <w:r>
        <w:rPr>
          <w:rFonts w:ascii="Times New Roman" w:hAnsi="Times New Roman" w:cs="Times New Roman"/>
          <w:sz w:val="24"/>
          <w:szCs w:val="24"/>
        </w:rPr>
        <w:t xml:space="preserve">be exposed to the society where they have been </w:t>
      </w:r>
      <w:r>
        <w:rPr>
          <w:rFonts w:ascii="Times New Roman" w:hAnsi="Times New Roman" w:cs="Times New Roman"/>
          <w:sz w:val="24"/>
          <w:szCs w:val="24"/>
        </w:rPr>
        <w:t xml:space="preserve">caught as criminals. </w:t>
      </w:r>
      <w:r>
        <w:rPr>
          <w:rFonts w:ascii="Times New Roman" w:hAnsi="Times New Roman" w:cs="Times New Roman"/>
          <w:sz w:val="24"/>
          <w:szCs w:val="24"/>
        </w:rPr>
        <w:t>Considering</w:t>
      </w:r>
      <w:r>
        <w:rPr>
          <w:rFonts w:ascii="Times New Roman" w:hAnsi="Times New Roman" w:cs="Times New Roman"/>
          <w:sz w:val="24"/>
          <w:szCs w:val="24"/>
        </w:rPr>
        <w:t xml:space="preserve"> the pros and cons, the damage expected to society due to the bail system is much bigger than an individual or his/her family.</w:t>
      </w:r>
      <w:r w:rsidRPr="00CC65B5" w:rsidR="00CC65B5">
        <w:rPr>
          <w:rFonts w:ascii="Times New Roman" w:hAnsi="Times New Roman" w:cs="Times New Roman"/>
          <w:sz w:val="24"/>
          <w:szCs w:val="24"/>
        </w:rPr>
        <w:br/>
      </w:r>
      <w:r>
        <w:rPr>
          <w:rFonts w:ascii="Times New Roman" w:hAnsi="Times New Roman" w:cs="Times New Roman"/>
          <w:b/>
          <w:sz w:val="24"/>
          <w:szCs w:val="24"/>
        </w:rPr>
        <w:t>C</w:t>
      </w:r>
      <w:r w:rsidRPr="0023655F">
        <w:rPr>
          <w:rFonts w:ascii="Times New Roman" w:hAnsi="Times New Roman" w:cs="Times New Roman"/>
          <w:b/>
          <w:sz w:val="24"/>
          <w:szCs w:val="24"/>
        </w:rPr>
        <w:t>onclusion</w:t>
      </w:r>
    </w:p>
    <w:p w:rsidR="00CC65B5" w:rsidP="002F7B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Different technologies are used in courtrooms to solve criminal cases, however, the reliability of all these instruments is highly debatable such as data visualization, hypothesis testing, witness statements, briefing, and evidence. The most used technology by the police department is the </w:t>
      </w:r>
      <w:r w:rsidRPr="00CC65B5">
        <w:rPr>
          <w:rFonts w:ascii="Times New Roman" w:hAnsi="Times New Roman" w:cs="Times New Roman"/>
          <w:sz w:val="24"/>
          <w:szCs w:val="24"/>
        </w:rPr>
        <w:t>virtual environments</w:t>
      </w:r>
      <w:r>
        <w:rPr>
          <w:rFonts w:ascii="Times New Roman" w:hAnsi="Times New Roman" w:cs="Times New Roman"/>
          <w:sz w:val="24"/>
          <w:szCs w:val="24"/>
        </w:rPr>
        <w:t xml:space="preserve">, </w:t>
      </w:r>
      <w:r w:rsidR="000A3126">
        <w:rPr>
          <w:rFonts w:ascii="Times New Roman" w:hAnsi="Times New Roman" w:cs="Times New Roman"/>
          <w:sz w:val="24"/>
          <w:szCs w:val="24"/>
        </w:rPr>
        <w:t xml:space="preserve">where investigators rely on the visual representation of data which </w:t>
      </w:r>
      <w:r>
        <w:rPr>
          <w:rFonts w:ascii="Times New Roman" w:hAnsi="Times New Roman" w:cs="Times New Roman"/>
          <w:sz w:val="24"/>
          <w:szCs w:val="24"/>
        </w:rPr>
        <w:t>is easy to identify the criminal and arrest even years after the initial criminality</w:t>
      </w:r>
      <w:r w:rsidR="000A3126">
        <w:rPr>
          <w:rFonts w:ascii="Times New Roman" w:hAnsi="Times New Roman" w:cs="Times New Roman"/>
          <w:sz w:val="24"/>
          <w:szCs w:val="24"/>
        </w:rPr>
        <w:t xml:space="preserve"> </w:t>
      </w:r>
      <w:r w:rsidR="000A3126">
        <w:rPr>
          <w:rFonts w:ascii="Times New Roman" w:hAnsi="Times New Roman" w:cs="Times New Roman"/>
          <w:sz w:val="24"/>
          <w:szCs w:val="24"/>
        </w:rPr>
        <w:fldChar w:fldCharType="begin"/>
      </w:r>
      <w:r w:rsidR="000A3126">
        <w:rPr>
          <w:rFonts w:ascii="Times New Roman" w:hAnsi="Times New Roman" w:cs="Times New Roman"/>
          <w:sz w:val="24"/>
          <w:szCs w:val="24"/>
        </w:rPr>
        <w:instrText xml:space="preserve"> ADDIN ZOTERO_ITEM CSL_CITATION {"citationID":"oMab94Sf","properties":{"formattedCitation":"(Leonetti &amp; Bailenson, 2009)","plainCitation":"(Leonetti &amp; Bailenson, 2009)","noteIndex":0},"citationItems":[{"id":94,"uris":["http://zotero.org/users/local/DqTTedP9/items/JPCQSAMZ"],"uri":["http://zotero.org/users/local/DqTTedP9/items/JPCQSAMZ"],"itemData":{"id":94,"type":"article-journal","title":"High-tech view: the use of immersive virtual environments in jury trials","container-title":"Marq. L. Rev.","page":"1073","volume":"93","author":[{"family":"Leonetti","given":"Carrie"},{"family":"Bailenson","given":"Jeremy"}],"issued":{"date-parts":[["2009"]]}}}],"schema":"https://github.com/citation-style-language/schema/raw/master/csl-citation.json"} </w:instrText>
      </w:r>
      <w:r w:rsidR="000A3126">
        <w:rPr>
          <w:rFonts w:ascii="Times New Roman" w:hAnsi="Times New Roman" w:cs="Times New Roman"/>
          <w:sz w:val="24"/>
          <w:szCs w:val="24"/>
        </w:rPr>
        <w:fldChar w:fldCharType="separate"/>
      </w:r>
      <w:r w:rsidRPr="000A3126" w:rsidR="000A3126">
        <w:rPr>
          <w:rFonts w:ascii="Times New Roman" w:hAnsi="Times New Roman" w:cs="Times New Roman"/>
          <w:sz w:val="24"/>
        </w:rPr>
        <w:t>(</w:t>
      </w:r>
      <w:r w:rsidRPr="000A3126" w:rsidR="000A3126">
        <w:rPr>
          <w:rFonts w:ascii="Times New Roman" w:hAnsi="Times New Roman" w:cs="Times New Roman"/>
          <w:sz w:val="24"/>
        </w:rPr>
        <w:t>Leonetti</w:t>
      </w:r>
      <w:r w:rsidRPr="000A3126" w:rsidR="000A3126">
        <w:rPr>
          <w:rFonts w:ascii="Times New Roman" w:hAnsi="Times New Roman" w:cs="Times New Roman"/>
          <w:sz w:val="24"/>
        </w:rPr>
        <w:t xml:space="preserve"> &amp; </w:t>
      </w:r>
      <w:r w:rsidRPr="000A3126" w:rsidR="000A3126">
        <w:rPr>
          <w:rFonts w:ascii="Times New Roman" w:hAnsi="Times New Roman" w:cs="Times New Roman"/>
          <w:sz w:val="24"/>
        </w:rPr>
        <w:t>Bailenson</w:t>
      </w:r>
      <w:r w:rsidRPr="000A3126" w:rsidR="000A3126">
        <w:rPr>
          <w:rFonts w:ascii="Times New Roman" w:hAnsi="Times New Roman" w:cs="Times New Roman"/>
          <w:sz w:val="24"/>
        </w:rPr>
        <w:t>, 2009)</w:t>
      </w:r>
      <w:r w:rsidR="000A3126">
        <w:rPr>
          <w:rFonts w:ascii="Times New Roman" w:hAnsi="Times New Roman" w:cs="Times New Roman"/>
          <w:sz w:val="24"/>
          <w:szCs w:val="24"/>
        </w:rPr>
        <w:fldChar w:fldCharType="end"/>
      </w:r>
      <w:r w:rsidR="000A3126">
        <w:rPr>
          <w:rFonts w:ascii="Times New Roman" w:hAnsi="Times New Roman" w:cs="Times New Roman"/>
          <w:sz w:val="24"/>
          <w:szCs w:val="24"/>
        </w:rPr>
        <w:t>.</w:t>
      </w:r>
    </w:p>
    <w:p w:rsidR="00AE7079">
      <w:pPr>
        <w:rPr>
          <w:rFonts w:ascii="Times New Roman" w:hAnsi="Times New Roman" w:cs="Times New Roman"/>
          <w:b/>
          <w:sz w:val="24"/>
          <w:szCs w:val="24"/>
        </w:rPr>
      </w:pPr>
      <w:r>
        <w:rPr>
          <w:rFonts w:ascii="Times New Roman" w:hAnsi="Times New Roman" w:cs="Times New Roman"/>
          <w:b/>
          <w:sz w:val="24"/>
          <w:szCs w:val="24"/>
        </w:rPr>
        <w:br w:type="page"/>
      </w:r>
    </w:p>
    <w:p w:rsidR="007917CF" w:rsidRPr="00B6446E" w:rsidP="00AE7079">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References</w:t>
      </w:r>
    </w:p>
    <w:p w:rsidR="00C74D28" w:rsidP="00AE7079">
      <w:pPr>
        <w:spacing w:after="0" w:line="480" w:lineRule="auto"/>
        <w:jc w:val="both"/>
      </w:pPr>
    </w:p>
    <w:p w:rsidR="00AE7079" w:rsidRPr="00AE7079" w:rsidP="00AE707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E7079">
        <w:rPr>
          <w:rFonts w:ascii="Times New Roman" w:hAnsi="Times New Roman" w:cs="Times New Roman"/>
          <w:sz w:val="24"/>
        </w:rPr>
        <w:t>Iacono</w:t>
      </w:r>
      <w:r w:rsidRPr="00AE7079">
        <w:rPr>
          <w:rFonts w:ascii="Times New Roman" w:hAnsi="Times New Roman" w:cs="Times New Roman"/>
          <w:sz w:val="24"/>
        </w:rPr>
        <w:t xml:space="preserve">, W. G. (2008). Effective policing: Understanding how polygraph tests work and are used. </w:t>
      </w:r>
      <w:r w:rsidRPr="00AE7079">
        <w:rPr>
          <w:rFonts w:ascii="Times New Roman" w:hAnsi="Times New Roman" w:cs="Times New Roman"/>
          <w:i/>
          <w:iCs/>
          <w:sz w:val="24"/>
        </w:rPr>
        <w:t>Criminal Justice and Behavior</w:t>
      </w:r>
      <w:r w:rsidRPr="00AE7079">
        <w:rPr>
          <w:rFonts w:ascii="Times New Roman" w:hAnsi="Times New Roman" w:cs="Times New Roman"/>
          <w:sz w:val="24"/>
        </w:rPr>
        <w:t xml:space="preserve">, </w:t>
      </w:r>
      <w:r w:rsidRPr="00AE7079">
        <w:rPr>
          <w:rFonts w:ascii="Times New Roman" w:hAnsi="Times New Roman" w:cs="Times New Roman"/>
          <w:i/>
          <w:iCs/>
          <w:sz w:val="24"/>
        </w:rPr>
        <w:t>35</w:t>
      </w:r>
      <w:r w:rsidRPr="00AE7079">
        <w:rPr>
          <w:rFonts w:ascii="Times New Roman" w:hAnsi="Times New Roman" w:cs="Times New Roman"/>
          <w:sz w:val="24"/>
        </w:rPr>
        <w:t>(10), 1295–1308.</w:t>
      </w:r>
    </w:p>
    <w:p w:rsidR="00AE7079" w:rsidRPr="00AE7079" w:rsidP="00AE7079">
      <w:pPr>
        <w:pStyle w:val="Bibliography"/>
        <w:rPr>
          <w:rFonts w:ascii="Times New Roman" w:hAnsi="Times New Roman" w:cs="Times New Roman"/>
          <w:sz w:val="24"/>
        </w:rPr>
      </w:pPr>
      <w:r w:rsidRPr="00AE7079">
        <w:rPr>
          <w:rFonts w:ascii="Times New Roman" w:hAnsi="Times New Roman" w:cs="Times New Roman"/>
          <w:sz w:val="24"/>
        </w:rPr>
        <w:t>Leonetti</w:t>
      </w:r>
      <w:r w:rsidRPr="00AE7079">
        <w:rPr>
          <w:rFonts w:ascii="Times New Roman" w:hAnsi="Times New Roman" w:cs="Times New Roman"/>
          <w:sz w:val="24"/>
        </w:rPr>
        <w:t xml:space="preserve">, C., &amp; </w:t>
      </w:r>
      <w:r w:rsidRPr="00AE7079">
        <w:rPr>
          <w:rFonts w:ascii="Times New Roman" w:hAnsi="Times New Roman" w:cs="Times New Roman"/>
          <w:sz w:val="24"/>
        </w:rPr>
        <w:t>Bailenson</w:t>
      </w:r>
      <w:r w:rsidRPr="00AE7079">
        <w:rPr>
          <w:rFonts w:ascii="Times New Roman" w:hAnsi="Times New Roman" w:cs="Times New Roman"/>
          <w:sz w:val="24"/>
        </w:rPr>
        <w:t xml:space="preserve">, J. (2009). High-tech view: the use of immersive virtual environments in jury trials. </w:t>
      </w:r>
      <w:r w:rsidRPr="00AE7079">
        <w:rPr>
          <w:rFonts w:ascii="Times New Roman" w:hAnsi="Times New Roman" w:cs="Times New Roman"/>
          <w:i/>
          <w:iCs/>
          <w:sz w:val="24"/>
        </w:rPr>
        <w:t>Marq</w:t>
      </w:r>
      <w:r w:rsidRPr="00AE7079">
        <w:rPr>
          <w:rFonts w:ascii="Times New Roman" w:hAnsi="Times New Roman" w:cs="Times New Roman"/>
          <w:i/>
          <w:iCs/>
          <w:sz w:val="24"/>
        </w:rPr>
        <w:t>. L. Rev.</w:t>
      </w:r>
      <w:r w:rsidRPr="00AE7079">
        <w:rPr>
          <w:rFonts w:ascii="Times New Roman" w:hAnsi="Times New Roman" w:cs="Times New Roman"/>
          <w:sz w:val="24"/>
        </w:rPr>
        <w:t xml:space="preserve">, </w:t>
      </w:r>
      <w:r w:rsidRPr="00AE7079">
        <w:rPr>
          <w:rFonts w:ascii="Times New Roman" w:hAnsi="Times New Roman" w:cs="Times New Roman"/>
          <w:i/>
          <w:iCs/>
          <w:sz w:val="24"/>
        </w:rPr>
        <w:t>93</w:t>
      </w:r>
      <w:r w:rsidRPr="00AE7079">
        <w:rPr>
          <w:rFonts w:ascii="Times New Roman" w:hAnsi="Times New Roman" w:cs="Times New Roman"/>
          <w:sz w:val="24"/>
        </w:rPr>
        <w:t>, 1073.</w:t>
      </w:r>
    </w:p>
    <w:p w:rsidR="00AE7079" w:rsidP="00AE70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A06329" w:rsidP="00A06329">
      <w:pPr>
        <w:spacing w:after="0" w:line="480" w:lineRule="auto"/>
        <w:jc w:val="both"/>
        <w:rPr>
          <w:rFonts w:ascii="Times New Roman" w:hAnsi="Times New Roman" w:cs="Times New Roman"/>
          <w:sz w:val="24"/>
          <w:szCs w:val="24"/>
        </w:rPr>
      </w:pPr>
    </w:p>
    <w:p w:rsidR="006013EA" w:rsidP="00A06329">
      <w:pPr>
        <w:spacing w:after="0" w:line="480" w:lineRule="auto"/>
        <w:jc w:val="both"/>
        <w:rPr>
          <w:rFonts w:ascii="Times New Roman" w:hAnsi="Times New Roman" w:cs="Times New Roman"/>
          <w:sz w:val="24"/>
          <w:szCs w:val="24"/>
        </w:rPr>
      </w:pPr>
    </w:p>
    <w:p w:rsidR="006013EA" w:rsidP="00A06329">
      <w:pPr>
        <w:spacing w:after="0" w:line="480" w:lineRule="auto"/>
        <w:jc w:val="both"/>
        <w:rPr>
          <w:rFonts w:ascii="Times New Roman" w:hAnsi="Times New Roman" w:cs="Times New Roman"/>
          <w:sz w:val="24"/>
          <w:szCs w:val="24"/>
        </w:rPr>
      </w:pPr>
    </w:p>
    <w:p w:rsidR="00A06329" w:rsidRPr="0008177B" w:rsidP="00B6446E">
      <w:pPr>
        <w:spacing w:after="0" w:line="480" w:lineRule="auto"/>
        <w:jc w:val="both"/>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A0189E" w:rsidR="00A0189E">
      <w:rPr>
        <w:rFonts w:ascii="Times New Roman" w:hAnsi="Times New Roman" w:cs="Times New Roman"/>
        <w:sz w:val="24"/>
        <w:szCs w:val="24"/>
      </w:rPr>
      <w:t>FORENSIC PSY, WEEK 4</w:t>
    </w:r>
    <w:r w:rsidRPr="001A02CC">
      <w:rPr>
        <w:rFonts w:ascii="Times New Roman" w:hAnsi="Times New Roman" w:cs="Times New Roman"/>
        <w:sz w:val="24"/>
        <w:szCs w:val="24"/>
      </w:rPr>
      <w:tab/>
    </w:r>
    <w:sdt>
      <w:sdtPr>
        <w:rPr>
          <w:rFonts w:ascii="Times New Roman" w:hAnsi="Times New Roman" w:cs="Times New Roman"/>
          <w:sz w:val="24"/>
          <w:szCs w:val="24"/>
        </w:rPr>
        <w:id w:val="-994265436"/>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AE7079">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A0189E">
      <w:rPr>
        <w:rFonts w:ascii="Times New Roman" w:hAnsi="Times New Roman" w:cs="Times New Roman"/>
        <w:sz w:val="24"/>
        <w:szCs w:val="24"/>
      </w:rPr>
      <w:t>FORENSIC PSY, WEEK 4</w:t>
    </w:r>
    <w:r w:rsidRPr="001A02CC" w:rsidR="00F208FB">
      <w:rPr>
        <w:rFonts w:ascii="Times New Roman" w:hAnsi="Times New Roman" w:cs="Times New Roman"/>
        <w:sz w:val="24"/>
        <w:szCs w:val="24"/>
      </w:rPr>
      <w:tab/>
    </w:r>
    <w:r>
      <w:rPr>
        <w:rFonts w:ascii="Times New Roman" w:hAnsi="Times New Roman" w:cs="Times New Roman"/>
        <w:sz w:val="24"/>
        <w:szCs w:val="24"/>
      </w:rPr>
      <w:t xml:space="preserve">                   </w:t>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AE7079">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3C2C"/>
    <w:rsid w:val="00076995"/>
    <w:rsid w:val="0008177B"/>
    <w:rsid w:val="000A3126"/>
    <w:rsid w:val="000C0F40"/>
    <w:rsid w:val="00130A33"/>
    <w:rsid w:val="00141074"/>
    <w:rsid w:val="00187C02"/>
    <w:rsid w:val="001A02CC"/>
    <w:rsid w:val="001B3534"/>
    <w:rsid w:val="0023655F"/>
    <w:rsid w:val="00245F68"/>
    <w:rsid w:val="00267851"/>
    <w:rsid w:val="002765B7"/>
    <w:rsid w:val="002777E7"/>
    <w:rsid w:val="002D2EDA"/>
    <w:rsid w:val="002D3B08"/>
    <w:rsid w:val="002F7BA7"/>
    <w:rsid w:val="0034125C"/>
    <w:rsid w:val="003D765E"/>
    <w:rsid w:val="00471063"/>
    <w:rsid w:val="00480B46"/>
    <w:rsid w:val="004A07E8"/>
    <w:rsid w:val="004E688D"/>
    <w:rsid w:val="00550EFD"/>
    <w:rsid w:val="005B50A0"/>
    <w:rsid w:val="005C20F1"/>
    <w:rsid w:val="005C5520"/>
    <w:rsid w:val="006013EA"/>
    <w:rsid w:val="006B65E6"/>
    <w:rsid w:val="006C202B"/>
    <w:rsid w:val="00703179"/>
    <w:rsid w:val="00710494"/>
    <w:rsid w:val="00734E05"/>
    <w:rsid w:val="00743FB4"/>
    <w:rsid w:val="007917CF"/>
    <w:rsid w:val="00797897"/>
    <w:rsid w:val="007C0A90"/>
    <w:rsid w:val="007F496A"/>
    <w:rsid w:val="00877CA7"/>
    <w:rsid w:val="008B2CA8"/>
    <w:rsid w:val="00907B8D"/>
    <w:rsid w:val="00954F13"/>
    <w:rsid w:val="009619BA"/>
    <w:rsid w:val="00A010C7"/>
    <w:rsid w:val="00A0189E"/>
    <w:rsid w:val="00A06329"/>
    <w:rsid w:val="00A106AF"/>
    <w:rsid w:val="00A1525F"/>
    <w:rsid w:val="00A166BD"/>
    <w:rsid w:val="00A40DB6"/>
    <w:rsid w:val="00A4374D"/>
    <w:rsid w:val="00AB1CC6"/>
    <w:rsid w:val="00AC313E"/>
    <w:rsid w:val="00AE7079"/>
    <w:rsid w:val="00B258E8"/>
    <w:rsid w:val="00B36F28"/>
    <w:rsid w:val="00B405F9"/>
    <w:rsid w:val="00B473CD"/>
    <w:rsid w:val="00B54129"/>
    <w:rsid w:val="00B6446E"/>
    <w:rsid w:val="00B73412"/>
    <w:rsid w:val="00BB1BDC"/>
    <w:rsid w:val="00BF76FE"/>
    <w:rsid w:val="00C5356B"/>
    <w:rsid w:val="00C74D28"/>
    <w:rsid w:val="00C75C92"/>
    <w:rsid w:val="00C85DFD"/>
    <w:rsid w:val="00C87AFB"/>
    <w:rsid w:val="00C95B3D"/>
    <w:rsid w:val="00CA2688"/>
    <w:rsid w:val="00CC2DE0"/>
    <w:rsid w:val="00CC65B5"/>
    <w:rsid w:val="00CF0A51"/>
    <w:rsid w:val="00D2221F"/>
    <w:rsid w:val="00D5076D"/>
    <w:rsid w:val="00D95087"/>
    <w:rsid w:val="00E030D4"/>
    <w:rsid w:val="00E63035"/>
    <w:rsid w:val="00E8630A"/>
    <w:rsid w:val="00EF1641"/>
    <w:rsid w:val="00F208FB"/>
    <w:rsid w:val="00F94B9F"/>
    <w:rsid w:val="00FE56F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BA"/>
  </w:style>
  <w:style w:type="paragraph" w:styleId="Heading1">
    <w:name w:val="heading 1"/>
    <w:basedOn w:val="Normal"/>
    <w:next w:val="Normal"/>
    <w:link w:val="Heading1Char"/>
    <w:uiPriority w:val="9"/>
    <w:qFormat/>
    <w:rsid w:val="00A06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0632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632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Gor00</b:Tag>
    <b:SourceType>JournalArticle</b:SourceType>
    <b:Guid>{6938E207-B749-4A46-9277-C229741A7638}</b:Guid>
    <b:Title>Public Trust in Government: The US Media as an Agent of Accountability?</b:Title>
    <b:Year>2000</b:Year>
    <b:JournalName>International Review of Administrative Sciences</b:JournalName>
    <b:Author>
      <b:Author>
        <b:NameList>
          <b:Person>
            <b:Last>Gordon</b:Last>
            <b:Middle>T</b:Middle>
            <b:First>Margaret</b:First>
          </b:Person>
        </b:NameList>
      </b:Author>
    </b:Author>
    <b:RefOrder>1</b:RefOrder>
  </b:Source>
  <b:Source>
    <b:Tag>Lee10</b:Tag>
    <b:SourceType>JournalArticle</b:SourceType>
    <b:Guid>{6DCE30C6-D9EB-42C4-96DA-365FF4643667}</b:Guid>
    <b:Title>Why they don't trust the media: An examination of factors predicting trust</b:Title>
    <b:JournalName>Sage Publications</b:JournalName>
    <b:Year>2010</b:Year>
    <b:Author>
      <b:Author>
        <b:NameList>
          <b:Person>
            <b:Last>Lee</b:Last>
            <b:Middle>T</b:Middle>
            <b:First>T</b:First>
          </b:Person>
        </b:NameList>
      </b:Author>
    </b:Author>
    <b:RefOrder>2</b:RefOrder>
  </b:Source>
  <b:Source>
    <b:Tag>Das11</b:Tag>
    <b:SourceType>JournalArticle</b:SourceType>
    <b:Guid>{3B59E9AC-87F3-4805-9504-96F901542FC5}</b:Guid>
    <b:Title>Cyber Crime in the Society: Problems and</b:Title>
    <b:JournalName>Jounal of Alternative Perspective in Social Sciences</b:JournalName>
    <b:Year>2011</b:Year>
    <b:Pages>240-259</b:Pages>
    <b:Author>
      <b:Author>
        <b:NameList>
          <b:Person>
            <b:Last>Dashora</b:Last>
            <b:First>Kamini</b:First>
          </b:Person>
        </b:NameList>
      </b:Author>
    </b:Author>
    <b:RefOrder>3</b:RefOrder>
  </b:Source>
  <b:Source>
    <b:Tag>Wal05</b:Tag>
    <b:SourceType>JournalArticle</b:SourceType>
    <b:Guid>{32CD34A1-1C50-4E7F-A7AA-19862C9EEFEC}</b:Guid>
    <b:Title>The internet as a conduit for criminal activity. In: Pattavina, A. (Ed.), Information Technology and the Criminal Justice System</b:Title>
    <b:JournalName>Sage Publication</b:JournalName>
    <b:Year>2005</b:Year>
    <b:Author>
      <b:Author>
        <b:NameList>
          <b:Person>
            <b:Last>Wall</b:Last>
            <b:Middle>S</b:Middle>
            <b:First>D</b:First>
          </b:Person>
        </b:NameList>
      </b:Author>
    </b:Author>
    <b:RefOrder>4</b:RefOrder>
  </b:Source>
  <b:Source>
    <b:Tag>Ear10</b:Tag>
    <b:SourceType>InternetSite</b:SourceType>
    <b:Guid>{23B5FECE-FD8D-41F6-B787-CCC5BEC46D83}</b:Guid>
    <b:Title>Cyber-bullying on increase.</b:Title>
    <b:Year>2010</b:Year>
    <b:Author>
      <b:Author>
        <b:NameList>
          <b:Person>
            <b:Last>Early</b:Last>
            <b:Middle>R</b:Middle>
            <b:First>J</b:First>
          </b:Person>
        </b:NameList>
      </b:Author>
    </b:Author>
    <b:URL>http://www.tmcnet.com/usubmit/2010/02/07/4609017</b:URL>
    <b:RefOrder>5</b:RefOrder>
  </b:Source>
</b:Sources>
</file>

<file path=customXml/itemProps1.xml><?xml version="1.0" encoding="utf-8"?>
<ds:datastoreItem xmlns:ds="http://schemas.openxmlformats.org/officeDocument/2006/customXml" ds:itemID="{162191E8-A364-4679-A4E2-532D2E11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Rameezah</cp:lastModifiedBy>
  <cp:revision>18</cp:revision>
  <dcterms:created xsi:type="dcterms:W3CDTF">2018-10-16T12:27:00Z</dcterms:created>
  <dcterms:modified xsi:type="dcterms:W3CDTF">2019-03-27T06:04:00Z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id="m20myGbV"/&gt;&lt;style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