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alias w:val="Your Name:"/>
        <w:tag w:val="Your Name:"/>
        <w:id w:val="-686670367"/>
        <w:placeholder>
          <w:docPart w:val="A61FEFE49C694AEEB4EA0682B49C47BA"/>
        </w:placeholder>
        <w:temporary/>
        <w:showingPlcHdr/>
        <w15:appearance w15:val="hidden"/>
      </w:sdtPr>
      <w:sdtEndPr/>
      <w:sdtContent>
        <w:p w:rsidR="00F9444C" w:rsidRPr="00F7019B" w:rsidRDefault="00715CC2">
          <w:pPr>
            <w:pStyle w:val="NoSpacing"/>
          </w:pPr>
          <w:r w:rsidRPr="00F7019B">
            <w:t>Your Name</w:t>
          </w:r>
        </w:p>
      </w:sdtContent>
    </w:sdt>
    <w:bookmarkEnd w:id="0"/>
    <w:p w:rsidR="00E614DD" w:rsidRPr="00F7019B" w:rsidRDefault="00715CC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F7019B">
            <w:t>Instructor Name</w:t>
          </w:r>
        </w:sdtContent>
      </w:sdt>
    </w:p>
    <w:p w:rsidR="00E614DD" w:rsidRPr="00F7019B" w:rsidRDefault="00715CC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F7019B">
            <w:t>Course Number</w:t>
          </w:r>
        </w:sdtContent>
      </w:sdt>
    </w:p>
    <w:p w:rsidR="00E614DD" w:rsidRPr="00F7019B" w:rsidRDefault="00715CC2">
      <w:pPr>
        <w:pStyle w:val="NoSpacing"/>
      </w:pPr>
      <w:sdt>
        <w:sdtPr>
          <w:alias w:val="Date:"/>
          <w:tag w:val="Date:"/>
          <w:id w:val="518209038"/>
          <w:placeholder>
            <w:docPart w:val="2EB449EEE1B24578B2F5D2D1AF42B15F"/>
          </w:placeholder>
          <w:temporary/>
          <w:showingPlcHdr/>
          <w15:appearance w15:val="hidden"/>
        </w:sdtPr>
        <w:sdtEndPr/>
        <w:sdtContent>
          <w:r w:rsidR="00B13D1B" w:rsidRPr="00F7019B">
            <w:t>Date</w:t>
          </w:r>
        </w:sdtContent>
      </w:sdt>
    </w:p>
    <w:p w:rsidR="00E614DD" w:rsidRPr="00F7019B" w:rsidRDefault="00715CC2">
      <w:pPr>
        <w:pStyle w:val="Title"/>
      </w:pPr>
      <w:sdt>
        <w:sdtPr>
          <w:alias w:val="Title:"/>
          <w:tag w:val="Title:"/>
          <w:id w:val="193967114"/>
          <w:placeholder>
            <w:docPart w:val="5540D46721E74F1F87F3EF7B04FEBA42"/>
          </w:placeholder>
          <w:temporary/>
          <w:showingPlcHdr/>
          <w15:appearance w15:val="hidden"/>
        </w:sdtPr>
        <w:sdtEndPr/>
        <w:sdtContent>
          <w:r w:rsidR="00B13D1B" w:rsidRPr="00F7019B">
            <w:t>Title</w:t>
          </w:r>
        </w:sdtContent>
      </w:sdt>
      <w:r w:rsidR="00691EC1" w:rsidRPr="00F7019B">
        <w:t xml:space="preserve">: </w:t>
      </w:r>
      <w:r w:rsidR="00DA6D7A" w:rsidRPr="00F7019B">
        <w:t>Response to Questions</w:t>
      </w:r>
    </w:p>
    <w:p w:rsidR="00BA1BAA" w:rsidRPr="00F7019B" w:rsidRDefault="00715CC2" w:rsidP="00F7689B">
      <w:pPr>
        <w:ind w:firstLine="0"/>
        <w:rPr>
          <w:b/>
        </w:rPr>
      </w:pPr>
      <w:r w:rsidRPr="00F7019B">
        <w:rPr>
          <w:b/>
        </w:rPr>
        <w:t xml:space="preserve">Response to Question 1 </w:t>
      </w:r>
    </w:p>
    <w:p w:rsidR="00F7689B" w:rsidRPr="00F7019B" w:rsidRDefault="00715CC2" w:rsidP="00F7689B">
      <w:pPr>
        <w:ind w:firstLine="0"/>
      </w:pPr>
      <w:r w:rsidRPr="00F7019B">
        <w:tab/>
        <w:t>The case under discussion is an example of business tort where one former employee of a company not only breached his em</w:t>
      </w:r>
      <w:r w:rsidRPr="00F7019B">
        <w:t xml:space="preserve">ployment contract but also caused damage to his employer, intentionally by </w:t>
      </w:r>
      <w:r w:rsidR="00291EB2" w:rsidRPr="00F7019B">
        <w:t xml:space="preserve">provoking their current employees through monetary incentives. Dwayne caused damage to Gryphon Consultancy by inciting their employees who broke their employment contracts as a consequence. </w:t>
      </w:r>
      <w:r w:rsidR="00C95BAD" w:rsidRPr="00F7019B">
        <w:t>Such a business tort can be referred to as Tortious Interference wherein one party interferes in the business relationship of other parties as a result of market competition</w:t>
      </w:r>
      <w:r w:rsidR="003F6296" w:rsidRPr="00F7019B">
        <w:t xml:space="preserve"> </w:t>
      </w:r>
      <w:r w:rsidR="003F6296" w:rsidRPr="00F7019B">
        <w:fldChar w:fldCharType="begin"/>
      </w:r>
      <w:r w:rsidR="003F6296" w:rsidRPr="00F7019B">
        <w:instrText xml:space="preserve"> ADDIN ZOTERO_ITEM CSL_CITATION {"citationID":"yYWp5KQB","properties":{"formattedCitation":"(\\uc0\\u8220{}Intentional Interference with Contractual Relations\\uc0\\u8221{})","plainCitation":"(“Intentional Interference with Contractual Relations”)","noteIndex":0},"citationItems":[{"id":1461,"uris":["http://zotero.org/users/local/orkqtrjP/items/ZM33JUJ6"],"uri":["http://zotero.org/users/local/orkqtrjP/items/ZM33JUJ6"],"itemData":{"id":1461,"type":"webpage","title":"Intentional interference with contractual relations","container-title":"LII / Legal Information Institute","URL":"https://www.law.cornell.edu/wex/intentional_interference_with_contractual_relations","language":"en","accessed":{"date-parts":[["2019",11,10]]}}}],"schema":"https://github.com/citation-style-language/schema/raw/master/csl-citation.json"} </w:instrText>
      </w:r>
      <w:r w:rsidR="003F6296" w:rsidRPr="00F7019B">
        <w:fldChar w:fldCharType="separate"/>
      </w:r>
      <w:r w:rsidR="003F6296" w:rsidRPr="00F7019B">
        <w:rPr>
          <w:rFonts w:ascii="Times New Roman" w:hAnsi="Times New Roman" w:cs="Times New Roman"/>
        </w:rPr>
        <w:t>(“Intentional Interference with Contractual Relations”)</w:t>
      </w:r>
      <w:r w:rsidR="003F6296" w:rsidRPr="00F7019B">
        <w:fldChar w:fldCharType="end"/>
      </w:r>
      <w:r w:rsidR="00C95BAD" w:rsidRPr="00F7019B">
        <w:t>. Gryphon Consultancy</w:t>
      </w:r>
      <w:r w:rsidR="00476149" w:rsidRPr="00F7019B">
        <w:t xml:space="preserve"> can claim for the financial loss it has suffered since the defendant had knowledge of the employment contract between Gryphon Consultancy and its employees. In addition, the defendant had the intent to interfere with the business expectancy and contract owing to the business competition. The result should be the payment of damages in terms resulting from economic expectancy and the number of damages must be determined according to the economic expectancy along with the assurance from Dwayne to prevent such a case in the future.  </w:t>
      </w:r>
    </w:p>
    <w:p w:rsidR="00F7689B" w:rsidRPr="00F7019B" w:rsidRDefault="00715CC2" w:rsidP="00F7689B">
      <w:pPr>
        <w:ind w:firstLine="0"/>
        <w:rPr>
          <w:b/>
        </w:rPr>
      </w:pPr>
      <w:r w:rsidRPr="00F7019B">
        <w:rPr>
          <w:b/>
        </w:rPr>
        <w:t>Response to Question 2</w:t>
      </w:r>
    </w:p>
    <w:p w:rsidR="00476149" w:rsidRPr="00F7019B" w:rsidRDefault="00715CC2" w:rsidP="00DA41A0">
      <w:r w:rsidRPr="00F7019B">
        <w:t>In the case under discussion, Stella Liebeck, a 79-year-old lady dropped her coffee resulting in three-degree burns on her genitals, thighs, groin, a</w:t>
      </w:r>
      <w:r w:rsidRPr="00F7019B">
        <w:t xml:space="preserve">nd buttocks. She claimed $20,000 as compensatory damages of the medical treatment she took. As the case progressed, a amount of </w:t>
      </w:r>
      <w:r w:rsidRPr="00F7019B">
        <w:lastRenderedPageBreak/>
        <w:t xml:space="preserve">other cases also </w:t>
      </w:r>
      <w:r w:rsidR="00613DC4" w:rsidRPr="00F7019B">
        <w:t>exposed regarding</w:t>
      </w:r>
      <w:r w:rsidRPr="00F7019B">
        <w:t xml:space="preserve"> McDonald’s coffee causing some severe burns</w:t>
      </w:r>
      <w:r w:rsidR="00613DC4" w:rsidRPr="00F7019B">
        <w:t xml:space="preserve"> to the clients. McDonald's negligence resulted in huge losses to customers and the jury awarded a high amount of damages as compensatory and punitive damages. In my opinion, the jury has awarded a very amount of damages to Liebeck as compared to what she demanded as an indemnity of the accident. Though the results of the case were justified since the company was negligent at its end despite receiving several cases. However, the amount of punitive damages awarded by the jury was not justified with respect to the case.  </w:t>
      </w:r>
    </w:p>
    <w:p w:rsidR="00F7689B" w:rsidRPr="00F7019B" w:rsidRDefault="00715CC2" w:rsidP="00F7689B">
      <w:pPr>
        <w:ind w:firstLine="0"/>
        <w:rPr>
          <w:b/>
        </w:rPr>
      </w:pPr>
      <w:r w:rsidRPr="00F7019B">
        <w:rPr>
          <w:b/>
        </w:rPr>
        <w:t>Response to Question 3</w:t>
      </w:r>
    </w:p>
    <w:p w:rsidR="00476149" w:rsidRPr="00F7019B" w:rsidRDefault="00715CC2" w:rsidP="00F7689B">
      <w:pPr>
        <w:ind w:firstLine="0"/>
      </w:pPr>
      <w:r w:rsidRPr="00F7019B">
        <w:t xml:space="preserve"> The era of d</w:t>
      </w:r>
      <w:r w:rsidRPr="00F7019B">
        <w:t xml:space="preserve">riverless cars is approaching after the decades of research in navigation and control methods, sensors and mapping. The partial or full autonomy is, however, </w:t>
      </w:r>
      <w:r w:rsidR="00E200A1" w:rsidRPr="00F7019B">
        <w:t>a question of who is responsible f</w:t>
      </w:r>
      <w:r w:rsidR="000D7973" w:rsidRPr="00F7019B">
        <w:t xml:space="preserve">or the road accidents that are driver otherwise. </w:t>
      </w:r>
      <w:r w:rsidR="006116DB" w:rsidRPr="00F7019B">
        <w:t xml:space="preserve">The decision of liability is not very clear in this case. This case pertains to product liability in business tort </w:t>
      </w:r>
      <w:r w:rsidR="009B3AFA" w:rsidRPr="00F7019B">
        <w:t xml:space="preserve">in which manufacturers and sellers are held responsible for the </w:t>
      </w:r>
      <w:r w:rsidR="00763D0E" w:rsidRPr="00F7019B">
        <w:t xml:space="preserve">damages and loss. </w:t>
      </w:r>
      <w:r w:rsidR="005D1C1E" w:rsidRPr="00F7019B">
        <w:t xml:space="preserve">Manufacturers cannot be held liable for the cases where the automation system is installed afterward manufacturing by some third party. </w:t>
      </w:r>
      <w:r w:rsidR="00990570" w:rsidRPr="00F7019B">
        <w:t xml:space="preserve">Product liability law guides in the case of autonomous vehicles and in this regard the </w:t>
      </w:r>
      <w:r w:rsidR="005D1C1E" w:rsidRPr="00F7019B">
        <w:t>product</w:t>
      </w:r>
      <w:r w:rsidR="00990570" w:rsidRPr="00F7019B">
        <w:t xml:space="preserve"> liability </w:t>
      </w:r>
      <w:r w:rsidR="005D1C1E" w:rsidRPr="00F7019B">
        <w:t>law</w:t>
      </w:r>
      <w:r w:rsidR="00990570" w:rsidRPr="00F7019B">
        <w:t xml:space="preserve"> </w:t>
      </w:r>
      <w:r w:rsidR="005D1C1E" w:rsidRPr="00F7019B">
        <w:t>framework of the US can guide lia</w:t>
      </w:r>
      <w:r w:rsidR="00A04F7E">
        <w:t>bility questions.</w:t>
      </w:r>
      <w:r w:rsidR="005D1C1E" w:rsidRPr="00F7019B">
        <w:t xml:space="preserve"> </w:t>
      </w:r>
      <w:r w:rsidR="006D240E" w:rsidRPr="00F7019B">
        <w:t>The liability, in this case, is generally considered as impediment liability</w:t>
      </w:r>
      <w:r w:rsidR="009278DE" w:rsidRPr="00F7019B">
        <w:t xml:space="preserve"> </w:t>
      </w:r>
      <w:r w:rsidR="009278DE" w:rsidRPr="00F7019B">
        <w:fldChar w:fldCharType="begin"/>
      </w:r>
      <w:r w:rsidR="009278DE" w:rsidRPr="00F7019B">
        <w:instrText xml:space="preserve"> ADDIN ZOTERO_ITEM CSL_CITATION {"citationID":"fOZfLpTA","properties":{"formattedCitation":"(Villasenor)","plainCitation":"(Villasenor)","noteIndex":0},"citationItems":[{"id":1459,"uris":["http://zotero.org/users/local/orkqtrjP/items/NRSSI28B"],"uri":["http://zotero.org/users/local/orkqtrjP/items/NRSSI28B"],"itemData":{"id":1459,"type":"post-weblog","title":"Products Liability and Driverless Cars: Issues and Guiding Principles for Legislation","container-title":"Brookings","abstract":"As driverless cars continue to attract growing interest, John Villasenor discusses how products liability law will impact autonomous vehicles, and provides a set of guiding principles for legislation that should—and that should not—be enacted.","URL":"https://www.brookings.edu/research/products-liability-and-driverless-cars-issues-and-guiding-principles-for-legislation/","title-short":"Products Liability and Driverless Cars","language":"en-US","author":[{"family":"Villasenor","given":"John"}],"issued":{"date-parts":[["2014",4,24]]},"accessed":{"date-parts":[["2019",11,10]]}}}],"schema":"https://github.com/citation-style-language/schema/raw/master/csl-citation.json"} </w:instrText>
      </w:r>
      <w:r w:rsidR="009278DE" w:rsidRPr="00F7019B">
        <w:fldChar w:fldCharType="separate"/>
      </w:r>
      <w:r w:rsidR="009278DE" w:rsidRPr="00F7019B">
        <w:rPr>
          <w:rFonts w:ascii="Times New Roman" w:hAnsi="Times New Roman" w:cs="Times New Roman"/>
        </w:rPr>
        <w:t>(Villasenor)</w:t>
      </w:r>
      <w:r w:rsidR="009278DE" w:rsidRPr="00F7019B">
        <w:fldChar w:fldCharType="end"/>
      </w:r>
      <w:r w:rsidR="006D240E" w:rsidRPr="00F7019B">
        <w:t xml:space="preserve">. The technology of sensors and smart grids can also be used as a guide to decide who is responsible for the </w:t>
      </w:r>
      <w:r w:rsidR="00D003C5" w:rsidRPr="00F7019B">
        <w:t xml:space="preserve">accident. </w:t>
      </w:r>
    </w:p>
    <w:p w:rsidR="00F7689B" w:rsidRPr="00F7019B" w:rsidRDefault="00715CC2" w:rsidP="00F7689B">
      <w:pPr>
        <w:ind w:firstLine="0"/>
        <w:rPr>
          <w:b/>
        </w:rPr>
      </w:pPr>
      <w:r w:rsidRPr="00F7019B">
        <w:rPr>
          <w:b/>
        </w:rPr>
        <w:t>Response to Question 4</w:t>
      </w:r>
    </w:p>
    <w:p w:rsidR="00F7689B" w:rsidRPr="00F7019B" w:rsidRDefault="00715CC2" w:rsidP="00D8761B">
      <w:r>
        <w:t xml:space="preserve">Under </w:t>
      </w:r>
      <w:r w:rsidR="00F7019B" w:rsidRPr="00F7019B">
        <w:t>Protection of Lawful Commerce in Arms Act</w:t>
      </w:r>
      <w:r w:rsidR="00F7019B">
        <w:t xml:space="preserve"> </w:t>
      </w:r>
      <w:r w:rsidR="00F7019B" w:rsidRPr="00F7019B">
        <w:t>(PLCAA)</w:t>
      </w:r>
      <w:r>
        <w:t>, the gun manufacturers an</w:t>
      </w:r>
      <w:r>
        <w:t xml:space="preserve">d dealers are not responsible if the crime is committed by the firearm purchased from them but in case of breach of contract, defective products, and criminal misconduct. </w:t>
      </w:r>
      <w:r w:rsidR="00DF52D5">
        <w:t xml:space="preserve">The presence of such a law does not protect the gun manufacturers from the cases of product liability arising from </w:t>
      </w:r>
      <w:r w:rsidR="00DF52D5">
        <w:lastRenderedPageBreak/>
        <w:t xml:space="preserve">selling the defective products. In addition, the gun seller has to take certain ethical considerations into account such as assuring that the buyer has a license of keeping gun, knowing the history of the buyer, selling the safest versions to the general public with training or instructions on usage to prevent any damage </w:t>
      </w:r>
      <w:r w:rsidR="00DF52D5">
        <w:fldChar w:fldCharType="begin"/>
      </w:r>
      <w:r w:rsidR="00DF52D5">
        <w:instrText xml:space="preserve"> ADDIN ZOTERO_ITEM CSL_CITATION {"citationID":"aDjrf74Q","properties":{"formattedCitation":"(Maitland)","plainCitation":"(Maitland)","noteIndex":0},"citationItems":[{"id":1463,"uris":["http://zotero.org/users/local/orkqtrjP/items/7948M46F"],"uri":["http://zotero.org/users/local/orkqtrjP/items/7948M46F"],"itemData":{"id":1463,"type":"article-journal","title":"The ethics of the international arms trade","container-title":"Business Ethics: A European Review","page":"200-204","volume":"7","issue":"4","author":[{"family":"Maitland","given":"Gavin"}],"issued":{"date-parts":[["1998"]]}}}],"schema":"https://github.com/citation-style-language/schema/raw/master/csl-citation.json"} </w:instrText>
      </w:r>
      <w:r w:rsidR="00DF52D5">
        <w:fldChar w:fldCharType="separate"/>
      </w:r>
      <w:r w:rsidR="00DF52D5" w:rsidRPr="00DF52D5">
        <w:rPr>
          <w:rFonts w:ascii="Times New Roman" w:hAnsi="Times New Roman" w:cs="Times New Roman"/>
        </w:rPr>
        <w:t>(Maitland)</w:t>
      </w:r>
      <w:r w:rsidR="00DF52D5">
        <w:fldChar w:fldCharType="end"/>
      </w:r>
      <w:r w:rsidR="00DF52D5">
        <w:t>. In addition, informing authorities of any suspicious buyers and completing clarification before handing over guns</w:t>
      </w:r>
      <w:r w:rsidR="00EB39A0">
        <w:t xml:space="preserve"> is also imperative</w:t>
      </w:r>
      <w:r w:rsidR="00DF52D5">
        <w:t xml:space="preserve">. </w:t>
      </w:r>
      <w:r w:rsidR="00EB39A0">
        <w:t>The theory of negligence might have applied if Congress did not pass any law to protect gun dealers.</w:t>
      </w:r>
    </w:p>
    <w:p w:rsidR="003F6296" w:rsidRDefault="003F629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Default="00593C56" w:rsidP="00476149">
      <w:pPr>
        <w:ind w:firstLine="0"/>
      </w:pPr>
    </w:p>
    <w:p w:rsidR="00593C56" w:rsidRPr="00F7019B" w:rsidRDefault="00593C56" w:rsidP="00476149">
      <w:pPr>
        <w:ind w:firstLine="0"/>
      </w:pPr>
    </w:p>
    <w:p w:rsidR="003F6296" w:rsidRPr="00F7019B" w:rsidRDefault="003F6296" w:rsidP="003F6296">
      <w:pPr>
        <w:ind w:firstLine="0"/>
        <w:jc w:val="both"/>
        <w:rPr>
          <w:b/>
        </w:rPr>
      </w:pPr>
    </w:p>
    <w:p w:rsidR="003F6296" w:rsidRPr="00F7019B" w:rsidRDefault="00715CC2" w:rsidP="003F6296">
      <w:pPr>
        <w:ind w:firstLine="0"/>
        <w:jc w:val="both"/>
        <w:rPr>
          <w:b/>
        </w:rPr>
      </w:pPr>
      <w:r w:rsidRPr="00F7019B">
        <w:rPr>
          <w:b/>
        </w:rPr>
        <w:lastRenderedPageBreak/>
        <w:t xml:space="preserve">Works Cited </w:t>
      </w:r>
    </w:p>
    <w:p w:rsidR="00DF52D5" w:rsidRPr="00DF52D5" w:rsidRDefault="00715CC2" w:rsidP="00DF52D5">
      <w:pPr>
        <w:pStyle w:val="Bibliography"/>
        <w:rPr>
          <w:rFonts w:ascii="Times New Roman" w:hAnsi="Times New Roman" w:cs="Times New Roman"/>
        </w:rPr>
      </w:pPr>
      <w:r w:rsidRPr="00F7019B">
        <w:fldChar w:fldCharType="begin"/>
      </w:r>
      <w:r w:rsidRPr="00F7019B">
        <w:instrText xml:space="preserve"> ADDIN ZOTERO_BIBL {"uncited":[],"omitted":[],"custom":[]} CSL_BIBLIOGRAPHY </w:instrText>
      </w:r>
      <w:r w:rsidRPr="00F7019B">
        <w:fldChar w:fldCharType="separate"/>
      </w:r>
      <w:r w:rsidRPr="00DF52D5">
        <w:rPr>
          <w:rFonts w:ascii="Times New Roman" w:hAnsi="Times New Roman" w:cs="Times New Roman"/>
        </w:rPr>
        <w:t xml:space="preserve">“Intentional Interference with Contractual Relations.” </w:t>
      </w:r>
      <w:r w:rsidRPr="00DF52D5">
        <w:rPr>
          <w:rFonts w:ascii="Times New Roman" w:hAnsi="Times New Roman" w:cs="Times New Roman"/>
          <w:i/>
          <w:iCs/>
        </w:rPr>
        <w:t>LII / Legal Information Institute</w:t>
      </w:r>
      <w:r w:rsidRPr="00DF52D5">
        <w:rPr>
          <w:rFonts w:ascii="Times New Roman" w:hAnsi="Times New Roman" w:cs="Times New Roman"/>
        </w:rPr>
        <w:t xml:space="preserve">, </w:t>
      </w:r>
      <w:r w:rsidRPr="00DF52D5">
        <w:rPr>
          <w:rFonts w:ascii="Times New Roman" w:hAnsi="Times New Roman" w:cs="Times New Roman"/>
        </w:rPr>
        <w:t>https://www.law.cornell.edu/wex/intentional_interference_with_contractual_relations. Accessed 10 Nov. 2019.</w:t>
      </w:r>
    </w:p>
    <w:p w:rsidR="00DF52D5" w:rsidRPr="00DF52D5" w:rsidRDefault="00715CC2" w:rsidP="00DF52D5">
      <w:pPr>
        <w:pStyle w:val="Bibliography"/>
        <w:rPr>
          <w:rFonts w:ascii="Times New Roman" w:hAnsi="Times New Roman" w:cs="Times New Roman"/>
        </w:rPr>
      </w:pPr>
      <w:r w:rsidRPr="00DF52D5">
        <w:rPr>
          <w:rFonts w:ascii="Times New Roman" w:hAnsi="Times New Roman" w:cs="Times New Roman"/>
        </w:rPr>
        <w:t xml:space="preserve">Maitland, Gavin. “The Ethics of the International Arms Trade.” </w:t>
      </w:r>
      <w:r w:rsidRPr="00DF52D5">
        <w:rPr>
          <w:rFonts w:ascii="Times New Roman" w:hAnsi="Times New Roman" w:cs="Times New Roman"/>
          <w:i/>
          <w:iCs/>
        </w:rPr>
        <w:t>Business Ethics: A European Review</w:t>
      </w:r>
      <w:r w:rsidRPr="00DF52D5">
        <w:rPr>
          <w:rFonts w:ascii="Times New Roman" w:hAnsi="Times New Roman" w:cs="Times New Roman"/>
        </w:rPr>
        <w:t>, vol. 7, no. 4, 1998, pp. 200–04.</w:t>
      </w:r>
    </w:p>
    <w:p w:rsidR="00DF52D5" w:rsidRPr="00DF52D5" w:rsidRDefault="00715CC2" w:rsidP="00DF52D5">
      <w:pPr>
        <w:pStyle w:val="Bibliography"/>
        <w:rPr>
          <w:rFonts w:ascii="Times New Roman" w:hAnsi="Times New Roman" w:cs="Times New Roman"/>
        </w:rPr>
      </w:pPr>
      <w:r w:rsidRPr="00DF52D5">
        <w:rPr>
          <w:rFonts w:ascii="Times New Roman" w:hAnsi="Times New Roman" w:cs="Times New Roman"/>
        </w:rPr>
        <w:t>Villasenor, John</w:t>
      </w:r>
      <w:r w:rsidRPr="00DF52D5">
        <w:rPr>
          <w:rFonts w:ascii="Times New Roman" w:hAnsi="Times New Roman" w:cs="Times New Roman"/>
        </w:rPr>
        <w:t xml:space="preserve">. “Products Liability and Driverless Cars: Issues and Guiding Principles for Legislation.” </w:t>
      </w:r>
      <w:r w:rsidRPr="00DF52D5">
        <w:rPr>
          <w:rFonts w:ascii="Times New Roman" w:hAnsi="Times New Roman" w:cs="Times New Roman"/>
          <w:i/>
          <w:iCs/>
        </w:rPr>
        <w:t>Brookings</w:t>
      </w:r>
      <w:r w:rsidRPr="00DF52D5">
        <w:rPr>
          <w:rFonts w:ascii="Times New Roman" w:hAnsi="Times New Roman" w:cs="Times New Roman"/>
        </w:rPr>
        <w:t>, 24 Apr. 2014, https://www.brookings.edu/research/products-liability-and-driverless-cars-issues-and-guiding-principles-for-legislation/.</w:t>
      </w:r>
    </w:p>
    <w:p w:rsidR="003F6296" w:rsidRPr="00F7019B" w:rsidRDefault="00715CC2" w:rsidP="00476149">
      <w:pPr>
        <w:ind w:firstLine="0"/>
      </w:pPr>
      <w:r w:rsidRPr="00F7019B">
        <w:fldChar w:fldCharType="end"/>
      </w:r>
    </w:p>
    <w:sectPr w:rsidR="003F6296" w:rsidRPr="00F7019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C2" w:rsidRDefault="00715CC2">
      <w:pPr>
        <w:spacing w:line="240" w:lineRule="auto"/>
      </w:pPr>
      <w:r>
        <w:separator/>
      </w:r>
    </w:p>
  </w:endnote>
  <w:endnote w:type="continuationSeparator" w:id="0">
    <w:p w:rsidR="00715CC2" w:rsidRDefault="00715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C2" w:rsidRDefault="00715CC2">
      <w:pPr>
        <w:spacing w:line="240" w:lineRule="auto"/>
      </w:pPr>
      <w:r>
        <w:separator/>
      </w:r>
    </w:p>
  </w:footnote>
  <w:footnote w:type="continuationSeparator" w:id="0">
    <w:p w:rsidR="00715CC2" w:rsidRDefault="00715C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15CC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93C56">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15CC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93C5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9B48780">
      <w:start w:val="1"/>
      <w:numFmt w:val="lowerLetter"/>
      <w:pStyle w:val="TableNote"/>
      <w:suff w:val="space"/>
      <w:lvlText w:val="%1."/>
      <w:lvlJc w:val="left"/>
      <w:pPr>
        <w:ind w:left="0" w:firstLine="720"/>
      </w:pPr>
      <w:rPr>
        <w:rFonts w:hint="default"/>
      </w:rPr>
    </w:lvl>
    <w:lvl w:ilvl="1" w:tplc="AA96DE4E" w:tentative="1">
      <w:start w:val="1"/>
      <w:numFmt w:val="lowerLetter"/>
      <w:lvlText w:val="%2."/>
      <w:lvlJc w:val="left"/>
      <w:pPr>
        <w:ind w:left="2160" w:hanging="360"/>
      </w:pPr>
    </w:lvl>
    <w:lvl w:ilvl="2" w:tplc="0E24BC82" w:tentative="1">
      <w:start w:val="1"/>
      <w:numFmt w:val="lowerRoman"/>
      <w:lvlText w:val="%3."/>
      <w:lvlJc w:val="right"/>
      <w:pPr>
        <w:ind w:left="2880" w:hanging="180"/>
      </w:pPr>
    </w:lvl>
    <w:lvl w:ilvl="3" w:tplc="3788E7AE" w:tentative="1">
      <w:start w:val="1"/>
      <w:numFmt w:val="decimal"/>
      <w:lvlText w:val="%4."/>
      <w:lvlJc w:val="left"/>
      <w:pPr>
        <w:ind w:left="3600" w:hanging="360"/>
      </w:pPr>
    </w:lvl>
    <w:lvl w:ilvl="4" w:tplc="8D0C8D38" w:tentative="1">
      <w:start w:val="1"/>
      <w:numFmt w:val="lowerLetter"/>
      <w:lvlText w:val="%5."/>
      <w:lvlJc w:val="left"/>
      <w:pPr>
        <w:ind w:left="4320" w:hanging="360"/>
      </w:pPr>
    </w:lvl>
    <w:lvl w:ilvl="5" w:tplc="10586BEA" w:tentative="1">
      <w:start w:val="1"/>
      <w:numFmt w:val="lowerRoman"/>
      <w:lvlText w:val="%6."/>
      <w:lvlJc w:val="right"/>
      <w:pPr>
        <w:ind w:left="5040" w:hanging="180"/>
      </w:pPr>
    </w:lvl>
    <w:lvl w:ilvl="6" w:tplc="6A9EC64E" w:tentative="1">
      <w:start w:val="1"/>
      <w:numFmt w:val="decimal"/>
      <w:lvlText w:val="%7."/>
      <w:lvlJc w:val="left"/>
      <w:pPr>
        <w:ind w:left="5760" w:hanging="360"/>
      </w:pPr>
    </w:lvl>
    <w:lvl w:ilvl="7" w:tplc="4BE61C08" w:tentative="1">
      <w:start w:val="1"/>
      <w:numFmt w:val="lowerLetter"/>
      <w:lvlText w:val="%8."/>
      <w:lvlJc w:val="left"/>
      <w:pPr>
        <w:ind w:left="6480" w:hanging="360"/>
      </w:pPr>
    </w:lvl>
    <w:lvl w:ilvl="8" w:tplc="B9A6C66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D7973"/>
    <w:rsid w:val="001463B2"/>
    <w:rsid w:val="001B26B5"/>
    <w:rsid w:val="001C4C0C"/>
    <w:rsid w:val="001F62C0"/>
    <w:rsid w:val="00245E02"/>
    <w:rsid w:val="0028608A"/>
    <w:rsid w:val="00291EB2"/>
    <w:rsid w:val="00353B66"/>
    <w:rsid w:val="003F6296"/>
    <w:rsid w:val="00456604"/>
    <w:rsid w:val="00476149"/>
    <w:rsid w:val="004A2675"/>
    <w:rsid w:val="004B6F2E"/>
    <w:rsid w:val="004F7139"/>
    <w:rsid w:val="005525EB"/>
    <w:rsid w:val="0057093C"/>
    <w:rsid w:val="00593C56"/>
    <w:rsid w:val="00597BC6"/>
    <w:rsid w:val="005D1C1E"/>
    <w:rsid w:val="006116DB"/>
    <w:rsid w:val="00613DC4"/>
    <w:rsid w:val="00691EC1"/>
    <w:rsid w:val="006D240E"/>
    <w:rsid w:val="00715CC2"/>
    <w:rsid w:val="00763D0E"/>
    <w:rsid w:val="00794ED8"/>
    <w:rsid w:val="007C53FB"/>
    <w:rsid w:val="008B7D18"/>
    <w:rsid w:val="008F1F97"/>
    <w:rsid w:val="008F4052"/>
    <w:rsid w:val="009120A9"/>
    <w:rsid w:val="009278DE"/>
    <w:rsid w:val="00962EED"/>
    <w:rsid w:val="00990570"/>
    <w:rsid w:val="009B3AFA"/>
    <w:rsid w:val="009D4EB3"/>
    <w:rsid w:val="00A04F7E"/>
    <w:rsid w:val="00AA3A0E"/>
    <w:rsid w:val="00B13D1B"/>
    <w:rsid w:val="00B818DF"/>
    <w:rsid w:val="00BA1BAA"/>
    <w:rsid w:val="00C46A12"/>
    <w:rsid w:val="00C95BAD"/>
    <w:rsid w:val="00CD3FEE"/>
    <w:rsid w:val="00D003C5"/>
    <w:rsid w:val="00D05A7B"/>
    <w:rsid w:val="00D52117"/>
    <w:rsid w:val="00D8761B"/>
    <w:rsid w:val="00DA41A0"/>
    <w:rsid w:val="00DA4278"/>
    <w:rsid w:val="00DA6D7A"/>
    <w:rsid w:val="00DB0D39"/>
    <w:rsid w:val="00DE0254"/>
    <w:rsid w:val="00DF52D5"/>
    <w:rsid w:val="00E14005"/>
    <w:rsid w:val="00E200A1"/>
    <w:rsid w:val="00E55B2D"/>
    <w:rsid w:val="00E614DD"/>
    <w:rsid w:val="00E627B4"/>
    <w:rsid w:val="00EB39A0"/>
    <w:rsid w:val="00F46AA6"/>
    <w:rsid w:val="00F7019B"/>
    <w:rsid w:val="00F7689B"/>
    <w:rsid w:val="00F83220"/>
    <w:rsid w:val="00F9444C"/>
    <w:rsid w:val="00F9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9B"/>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A267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A267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A267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A2675">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A2675">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A267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9318F"/>
    <w:rsid w:val="003A0181"/>
    <w:rsid w:val="005A3EFE"/>
    <w:rsid w:val="005D029D"/>
    <w:rsid w:val="008A2675"/>
    <w:rsid w:val="00A910BA"/>
    <w:rsid w:val="00AB23FE"/>
    <w:rsid w:val="00CE1893"/>
    <w:rsid w:val="00DA2FA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2019-11-10T10:10:00Z</dcterms:created>
  <dcterms:modified xsi:type="dcterms:W3CDTF">2019-11-10T17:31:00Z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id="rvVESbgQ"/&gt;&lt;style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