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A87C1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20AAF">
            <w:t>CASE BRIEF</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A87C1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A87C15">
      <w:pPr>
        <w:pStyle w:val="SectionTitle"/>
      </w:pPr>
      <w:sdt>
        <w:sdtPr>
          <w:rPr>
            <w:rFonts w:ascii="Times New Roman" w:hAnsi="Times New Roman" w:cs="Times New Roman"/>
            <w:b/>
            <w:bCs/>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20AAF" w:rsidRPr="00720AAF">
            <w:rPr>
              <w:rFonts w:ascii="Times New Roman" w:hAnsi="Times New Roman" w:cs="Times New Roman"/>
              <w:b/>
              <w:bCs/>
            </w:rPr>
            <w:t>CASE BRIEF</w:t>
          </w:r>
        </w:sdtContent>
      </w:sdt>
    </w:p>
    <w:p w:rsidR="00720AAF" w:rsidRDefault="00720AAF" w:rsidP="00720AAF">
      <w:pPr>
        <w:ind w:firstLine="0"/>
        <w:jc w:val="center"/>
        <w:rPr>
          <w:rFonts w:ascii="Times New Roman" w:hAnsi="Times New Roman" w:cs="Times New Roman"/>
          <w:b/>
          <w:bCs/>
        </w:rPr>
      </w:pPr>
      <w:r>
        <w:rPr>
          <w:rFonts w:ascii="Times New Roman" w:hAnsi="Times New Roman" w:cs="Times New Roman"/>
          <w:b/>
          <w:bCs/>
        </w:rPr>
        <w:t>Dinler v. City of New York 607 F.3d 923 (2010)</w:t>
      </w:r>
    </w:p>
    <w:p w:rsidR="00720AAF" w:rsidRDefault="00720AAF" w:rsidP="00720AAF">
      <w:pPr>
        <w:ind w:firstLine="0"/>
        <w:rPr>
          <w:rFonts w:ascii="Times New Roman" w:hAnsi="Times New Roman" w:cs="Times New Roman"/>
        </w:rPr>
      </w:pPr>
      <w:bookmarkStart w:id="0" w:name="_GoBack"/>
      <w:r>
        <w:rPr>
          <w:rFonts w:ascii="Times New Roman" w:hAnsi="Times New Roman" w:cs="Times New Roman"/>
          <w:b/>
          <w:bCs/>
        </w:rPr>
        <w:t xml:space="preserve">STATEMENT OF CASE: </w:t>
      </w:r>
      <w:r>
        <w:rPr>
          <w:rFonts w:ascii="Times New Roman" w:hAnsi="Times New Roman" w:cs="Times New Roman"/>
        </w:rPr>
        <w:t>This case provides the demonstration of how material eyewitnesses can be apprehended and made a part of prosecution of terrorism-related lawsuit. They can be arrested and incarcerated until they have personalized distrust and detained for securing testimony. Until evidently established during seizure of eye witness, they do not disrupt</w:t>
      </w:r>
      <w:r w:rsidR="0099431F">
        <w:rPr>
          <w:rFonts w:ascii="Times New Roman" w:hAnsi="Times New Roman" w:cs="Times New Roman"/>
        </w:rPr>
        <w:t xml:space="preserve"> the</w:t>
      </w:r>
      <w:r>
        <w:rPr>
          <w:rFonts w:ascii="Times New Roman" w:hAnsi="Times New Roman" w:cs="Times New Roman"/>
        </w:rPr>
        <w:t xml:space="preserve"> Fourth Amendment rule.  </w:t>
      </w:r>
    </w:p>
    <w:p w:rsidR="00D25806" w:rsidRPr="00BF3237" w:rsidRDefault="00720AAF" w:rsidP="00720AAF">
      <w:pPr>
        <w:ind w:firstLine="0"/>
        <w:rPr>
          <w:rFonts w:ascii="Times New Roman" w:eastAsia="Times New Roman" w:hAnsi="Times New Roman" w:cs="Times New Roman"/>
          <w:kern w:val="0"/>
          <w:lang w:eastAsia="en-US"/>
        </w:rPr>
      </w:pPr>
      <w:r>
        <w:rPr>
          <w:rFonts w:ascii="Times New Roman" w:hAnsi="Times New Roman" w:cs="Times New Roman"/>
          <w:b/>
          <w:bCs/>
        </w:rPr>
        <w:t xml:space="preserve">HISTORY: </w:t>
      </w:r>
      <w:r w:rsidR="00690DFA" w:rsidRPr="00BF3237">
        <w:rPr>
          <w:rFonts w:ascii="Times New Roman" w:hAnsi="Times New Roman" w:cs="Times New Roman"/>
        </w:rPr>
        <w:t xml:space="preserve">Earlier in 2003, it was announced that the </w:t>
      </w:r>
      <w:r w:rsidR="00690DFA" w:rsidRPr="006D6042">
        <w:rPr>
          <w:rFonts w:ascii="Times New Roman" w:hAnsi="Times New Roman" w:cs="Times New Roman"/>
        </w:rPr>
        <w:t>2004 Republican</w:t>
      </w:r>
      <w:r w:rsidR="00690DFA" w:rsidRPr="006D6042">
        <w:rPr>
          <w:rFonts w:ascii="Times New Roman" w:eastAsia="Times New Roman" w:hAnsi="Times New Roman" w:cs="Times New Roman"/>
          <w:kern w:val="0"/>
          <w:lang w:eastAsia="en-US"/>
        </w:rPr>
        <w:t xml:space="preserve"> National Convention</w:t>
      </w:r>
      <w:r w:rsidR="00690DFA" w:rsidRPr="00BF3237">
        <w:rPr>
          <w:rFonts w:ascii="Times New Roman" w:eastAsia="Times New Roman" w:hAnsi="Times New Roman" w:cs="Times New Roman"/>
          <w:kern w:val="0"/>
          <w:lang w:eastAsia="en-US"/>
        </w:rPr>
        <w:t xml:space="preserve"> would be held in New York, by the mayor </w:t>
      </w:r>
      <w:r w:rsidR="00690DFA" w:rsidRPr="006D6042">
        <w:rPr>
          <w:rFonts w:ascii="Times New Roman" w:eastAsia="Times New Roman" w:hAnsi="Times New Roman" w:cs="Times New Roman"/>
          <w:kern w:val="0"/>
          <w:lang w:eastAsia="en-US"/>
        </w:rPr>
        <w:t>Michael Bloomberg</w:t>
      </w:r>
      <w:r w:rsidR="00690DFA" w:rsidRPr="00BF3237">
        <w:rPr>
          <w:rFonts w:ascii="Times New Roman" w:eastAsia="Times New Roman" w:hAnsi="Times New Roman" w:cs="Times New Roman"/>
          <w:kern w:val="0"/>
          <w:lang w:eastAsia="en-US"/>
        </w:rPr>
        <w:t xml:space="preserve">. </w:t>
      </w:r>
      <w:r w:rsidR="00DF3D8A" w:rsidRPr="00BF3237">
        <w:rPr>
          <w:rFonts w:ascii="Times New Roman" w:eastAsia="Times New Roman" w:hAnsi="Times New Roman" w:cs="Times New Roman"/>
          <w:kern w:val="0"/>
          <w:lang w:eastAsia="en-US"/>
        </w:rPr>
        <w:t xml:space="preserve">After which, the Police department New York city started to develop security plans to ensure safety and peace through-out the convention. It is well-known fact that the New York city is main target for </w:t>
      </w:r>
      <w:r w:rsidR="00472A3F" w:rsidRPr="00BF3237">
        <w:rPr>
          <w:rFonts w:ascii="Times New Roman" w:eastAsia="Times New Roman" w:hAnsi="Times New Roman" w:cs="Times New Roman"/>
          <w:kern w:val="0"/>
          <w:lang w:eastAsia="en-US"/>
        </w:rPr>
        <w:t xml:space="preserve">terrorism and holding a convention would increases the chances of violence. After Commissioner Cohen researched all the means to ensure security and safety of the event, </w:t>
      </w:r>
      <w:r w:rsidR="008F0746" w:rsidRPr="00BF3237">
        <w:rPr>
          <w:rFonts w:ascii="Times New Roman" w:eastAsia="Times New Roman" w:hAnsi="Times New Roman" w:cs="Times New Roman"/>
          <w:kern w:val="0"/>
          <w:lang w:eastAsia="en-US"/>
        </w:rPr>
        <w:t xml:space="preserve">he concluded that chaos and escalating violence can be started with even a small act of extremism. He also researched every aspects of security threats and issues. </w:t>
      </w:r>
      <w:r w:rsidR="00C55DC9" w:rsidRPr="00BF3237">
        <w:rPr>
          <w:rFonts w:ascii="Times New Roman" w:eastAsia="Times New Roman" w:hAnsi="Times New Roman" w:cs="Times New Roman"/>
          <w:kern w:val="0"/>
          <w:lang w:eastAsia="en-US"/>
        </w:rPr>
        <w:t xml:space="preserve">In conclusion, the commissioner and the </w:t>
      </w:r>
      <w:r w:rsidR="00C55DC9" w:rsidRPr="006D6042">
        <w:rPr>
          <w:rFonts w:ascii="Times New Roman" w:eastAsia="Times New Roman" w:hAnsi="Times New Roman" w:cs="Times New Roman"/>
          <w:kern w:val="0"/>
          <w:lang w:eastAsia="en-US"/>
        </w:rPr>
        <w:t>Intelligence Division</w:t>
      </w:r>
      <w:r w:rsidR="00C55DC9" w:rsidRPr="00BF3237">
        <w:rPr>
          <w:rFonts w:ascii="Times New Roman" w:eastAsia="Times New Roman" w:hAnsi="Times New Roman" w:cs="Times New Roman"/>
          <w:kern w:val="0"/>
          <w:lang w:eastAsia="en-US"/>
        </w:rPr>
        <w:t xml:space="preserve"> of New York Police Department realized that a comprehensive and efficient strategy must be implemented </w:t>
      </w:r>
      <w:r w:rsidR="00D25806" w:rsidRPr="00BF3237">
        <w:rPr>
          <w:rFonts w:ascii="Times New Roman" w:eastAsia="Times New Roman" w:hAnsi="Times New Roman" w:cs="Times New Roman"/>
          <w:kern w:val="0"/>
          <w:lang w:eastAsia="en-US"/>
        </w:rPr>
        <w:t xml:space="preserve">for security measures. </w:t>
      </w:r>
      <w:r w:rsidR="00F3368A" w:rsidRPr="00BF3237">
        <w:rPr>
          <w:rFonts w:ascii="Times New Roman" w:eastAsia="Times New Roman" w:hAnsi="Times New Roman" w:cs="Times New Roman"/>
          <w:kern w:val="0"/>
          <w:lang w:eastAsia="en-US"/>
        </w:rPr>
        <w:t xml:space="preserve">According to the strategy Intelligence Division members went undercover and became part of </w:t>
      </w:r>
      <w:r w:rsidR="001728B9" w:rsidRPr="00BF3237">
        <w:rPr>
          <w:rFonts w:ascii="Times New Roman" w:eastAsia="Times New Roman" w:hAnsi="Times New Roman" w:cs="Times New Roman"/>
          <w:kern w:val="0"/>
          <w:lang w:eastAsia="en-US"/>
        </w:rPr>
        <w:t xml:space="preserve">different organization to see if they had planned violent act for the event. These officers also developed field Reports, to remember everything they learnt during undercover mission. </w:t>
      </w:r>
      <w:r w:rsidR="001728B9" w:rsidRPr="00BF3237">
        <w:rPr>
          <w:rFonts w:ascii="Times New Roman" w:hAnsi="Times New Roman" w:cs="Times New Roman"/>
          <w:shd w:val="clear" w:color="auto" w:fill="FEFEFE"/>
        </w:rPr>
        <w:t>Most importantly,</w:t>
      </w:r>
      <w:r w:rsidR="001728B9" w:rsidRPr="00BF3237">
        <w:rPr>
          <w:rFonts w:ascii="Times New Roman" w:hAnsi="Times New Roman" w:cs="Times New Roman"/>
          <w:shd w:val="clear" w:color="auto" w:fill="FEFEFE"/>
        </w:rPr>
        <w:t xml:space="preserve"> NYPD officers</w:t>
      </w:r>
      <w:r w:rsidR="00B77B0A" w:rsidRPr="00BF3237">
        <w:rPr>
          <w:rFonts w:ascii="Times New Roman" w:hAnsi="Times New Roman" w:cs="Times New Roman"/>
          <w:shd w:val="clear" w:color="auto" w:fill="FEFEFE"/>
        </w:rPr>
        <w:t xml:space="preserve"> were ordered</w:t>
      </w:r>
      <w:r w:rsidR="001728B9" w:rsidRPr="00BF3237">
        <w:rPr>
          <w:rFonts w:ascii="Times New Roman" w:hAnsi="Times New Roman" w:cs="Times New Roman"/>
          <w:shd w:val="clear" w:color="auto" w:fill="FEFEFE"/>
        </w:rPr>
        <w:t xml:space="preserve"> not to issue </w:t>
      </w:r>
      <w:r w:rsidR="00B77B0A" w:rsidRPr="00BF3237">
        <w:rPr>
          <w:rFonts w:ascii="Times New Roman" w:hAnsi="Times New Roman" w:cs="Times New Roman"/>
          <w:shd w:val="clear" w:color="auto" w:fill="FEFEFE"/>
        </w:rPr>
        <w:t>subpoenas</w:t>
      </w:r>
      <w:r w:rsidR="001728B9" w:rsidRPr="00BF3237">
        <w:rPr>
          <w:rFonts w:ascii="Times New Roman" w:hAnsi="Times New Roman" w:cs="Times New Roman"/>
          <w:shd w:val="clear" w:color="auto" w:fill="FEFEFE"/>
        </w:rPr>
        <w:t xml:space="preserve"> </w:t>
      </w:r>
      <w:r w:rsidR="00B77B0A" w:rsidRPr="00BF3237">
        <w:rPr>
          <w:rFonts w:ascii="Times New Roman" w:hAnsi="Times New Roman" w:cs="Times New Roman"/>
          <w:shd w:val="clear" w:color="auto" w:fill="FEFEFE"/>
        </w:rPr>
        <w:t>and</w:t>
      </w:r>
      <w:r w:rsidR="001728B9" w:rsidRPr="00BF3237">
        <w:rPr>
          <w:rFonts w:ascii="Times New Roman" w:hAnsi="Times New Roman" w:cs="Times New Roman"/>
          <w:shd w:val="clear" w:color="auto" w:fill="FEFEFE"/>
        </w:rPr>
        <w:t xml:space="preserve"> arrest </w:t>
      </w:r>
      <w:r w:rsidR="00B77B0A" w:rsidRPr="00BF3237">
        <w:rPr>
          <w:rFonts w:ascii="Times New Roman" w:hAnsi="Times New Roman" w:cs="Times New Roman"/>
          <w:shd w:val="clear" w:color="auto" w:fill="FEFEFE"/>
        </w:rPr>
        <w:t>every</w:t>
      </w:r>
      <w:r w:rsidR="001728B9" w:rsidRPr="00BF3237">
        <w:rPr>
          <w:rFonts w:ascii="Times New Roman" w:hAnsi="Times New Roman" w:cs="Times New Roman"/>
          <w:shd w:val="clear" w:color="auto" w:fill="FEFEFE"/>
        </w:rPr>
        <w:t xml:space="preserve"> </w:t>
      </w:r>
      <w:r w:rsidR="00BF3237" w:rsidRPr="00BF3237">
        <w:rPr>
          <w:rFonts w:ascii="Times New Roman" w:hAnsi="Times New Roman" w:cs="Times New Roman"/>
          <w:shd w:val="clear" w:color="auto" w:fill="FEFEFE"/>
        </w:rPr>
        <w:t>protestor</w:t>
      </w:r>
      <w:r w:rsidR="00B77B0A" w:rsidRPr="00BF3237">
        <w:rPr>
          <w:rFonts w:ascii="Times New Roman" w:hAnsi="Times New Roman" w:cs="Times New Roman"/>
          <w:shd w:val="clear" w:color="auto" w:fill="FEFEFE"/>
        </w:rPr>
        <w:t xml:space="preserve"> who is related to violence in convention. </w:t>
      </w:r>
      <w:r w:rsidR="00BF3237" w:rsidRPr="00BF3237">
        <w:rPr>
          <w:rFonts w:ascii="Times New Roman" w:hAnsi="Times New Roman" w:cs="Times New Roman"/>
          <w:shd w:val="clear" w:color="auto" w:fill="FEFEFE"/>
        </w:rPr>
        <w:t>It was</w:t>
      </w:r>
      <w:r w:rsidR="001728B9" w:rsidRPr="00BF3237">
        <w:rPr>
          <w:rFonts w:ascii="Times New Roman" w:hAnsi="Times New Roman" w:cs="Times New Roman"/>
          <w:shd w:val="clear" w:color="auto" w:fill="FEFEFE"/>
        </w:rPr>
        <w:t xml:space="preserve"> also required </w:t>
      </w:r>
      <w:r w:rsidR="00BF3237" w:rsidRPr="00BF3237">
        <w:rPr>
          <w:rFonts w:ascii="Times New Roman" w:hAnsi="Times New Roman" w:cs="Times New Roman"/>
          <w:shd w:val="clear" w:color="auto" w:fill="FEFEFE"/>
        </w:rPr>
        <w:t>to take fingerprints of</w:t>
      </w:r>
      <w:r w:rsidR="001728B9" w:rsidRPr="00BF3237">
        <w:rPr>
          <w:rFonts w:ascii="Times New Roman" w:hAnsi="Times New Roman" w:cs="Times New Roman"/>
          <w:shd w:val="clear" w:color="auto" w:fill="FEFEFE"/>
        </w:rPr>
        <w:t xml:space="preserve"> all arrestees to verify </w:t>
      </w:r>
      <w:r w:rsidR="00BF3237" w:rsidRPr="00BF3237">
        <w:rPr>
          <w:rFonts w:ascii="Times New Roman" w:hAnsi="Times New Roman" w:cs="Times New Roman"/>
          <w:shd w:val="clear" w:color="auto" w:fill="FEFEFE"/>
        </w:rPr>
        <w:t xml:space="preserve">identities of people in custody. </w:t>
      </w:r>
      <w:r w:rsidR="00D25806" w:rsidRPr="00BF3237">
        <w:rPr>
          <w:rFonts w:ascii="Times New Roman" w:hAnsi="Times New Roman" w:cs="Times New Roman"/>
        </w:rPr>
        <w:t xml:space="preserve">The fingerprint and detention practices used by New York Police Department were confronted at the </w:t>
      </w:r>
      <w:r w:rsidR="00D25806" w:rsidRPr="00BF3237">
        <w:rPr>
          <w:rFonts w:ascii="Times New Roman" w:hAnsi="Times New Roman" w:cs="Times New Roman"/>
        </w:rPr>
        <w:lastRenderedPageBreak/>
        <w:t xml:space="preserve">United States Court Southern District by plaintiffs during Republican National Convention. </w:t>
      </w:r>
      <w:r w:rsidR="00D25806">
        <w:rPr>
          <w:rFonts w:ascii="Times New Roman" w:hAnsi="Times New Roman" w:cs="Times New Roman"/>
        </w:rPr>
        <w:t xml:space="preserve">Violation of first, fourth and fourteenth Amendments during these practices was the basis of argument. District court ruled that bystanders were not cleared from streets before police made arrests and denied Cohen’s testimony. State laws and constitutional rights were being violated by fingerprinting rules. United States Court of Appeal was petitioned by NYPD for second Circuit which challenged the order of District court about undercover police reports </w:t>
      </w:r>
      <w:r w:rsidR="00D25806">
        <w:rPr>
          <w:rFonts w:ascii="Times New Roman" w:hAnsi="Times New Roman" w:cs="Times New Roman"/>
        </w:rPr>
        <w:fldChar w:fldCharType="begin"/>
      </w:r>
      <w:r w:rsidR="00D25806">
        <w:rPr>
          <w:rFonts w:ascii="Times New Roman" w:hAnsi="Times New Roman" w:cs="Times New Roman"/>
        </w:rPr>
        <w:instrText xml:space="preserve"> ADDIN ZOTERO_ITEM CSL_CITATION {"citationID":"XmPDaSQv","properties":{"formattedCitation":"(\\uc0\\u8220{}Dinler et al v. City of New York et al, No. 1,\\uc0\\u8221{} n.d.)","plainCitation":"(“Dinler et al v. City of New York et al, No. 1,” n.d.)","noteIndex":0},"citationItems":[{"id":72,"uris":["http://zotero.org/users/6144444/items/MCCN8KZG"],"uri":["http://zotero.org/users/6144444/items/MCCN8KZG"],"itemData":{"id":72,"type":"webpage","title":"Dinler et al v. City of New York et al, No. 1:2004cv07921 - Document 312 (S.D.N.Y. 2012)","container-title":"Justia Law","abstract":"Dinler et al v. City of New York et al, No. 1:2004cv07921 - Document 312 (S.D.N.Y. 2012) case opinion from the Southern District of New York US Federal District Court","URL":"https://law.justia.com/cases/federal/district-courts/new-york/nysdce/1:2004cv07921/256113/312/","title-short":"Dinler et al v. City of New York et al, No. 1","language":"en","accessed":{"date-parts":[["2019",11,23]]}}}],"schema":"https://github.com/citation-style-language/schema/raw/master/csl-citation.json"} </w:instrText>
      </w:r>
      <w:r w:rsidR="00D25806">
        <w:rPr>
          <w:rFonts w:ascii="Times New Roman" w:hAnsi="Times New Roman" w:cs="Times New Roman"/>
        </w:rPr>
        <w:fldChar w:fldCharType="separate"/>
      </w:r>
      <w:r w:rsidR="00D25806" w:rsidRPr="005045B3">
        <w:rPr>
          <w:rFonts w:ascii="Times New Roman" w:hAnsi="Times New Roman" w:cs="Times New Roman"/>
        </w:rPr>
        <w:t>(“Dinler et al v. City of New York et al, No. 1,” n.d.)</w:t>
      </w:r>
      <w:r w:rsidR="00D25806">
        <w:rPr>
          <w:rFonts w:ascii="Times New Roman" w:hAnsi="Times New Roman" w:cs="Times New Roman"/>
        </w:rPr>
        <w:fldChar w:fldCharType="end"/>
      </w:r>
      <w:r w:rsidR="00D25806">
        <w:rPr>
          <w:rFonts w:ascii="Times New Roman" w:hAnsi="Times New Roman" w:cs="Times New Roman"/>
        </w:rPr>
        <w:t>.</w:t>
      </w:r>
    </w:p>
    <w:p w:rsidR="00720AAF" w:rsidRDefault="00720AAF" w:rsidP="0010269E">
      <w:pPr>
        <w:ind w:firstLine="0"/>
        <w:rPr>
          <w:rFonts w:ascii="Times New Roman" w:hAnsi="Times New Roman" w:cs="Times New Roman"/>
          <w:b/>
          <w:bCs/>
        </w:rPr>
      </w:pPr>
      <w:r>
        <w:rPr>
          <w:rFonts w:ascii="Times New Roman" w:hAnsi="Times New Roman" w:cs="Times New Roman"/>
          <w:b/>
          <w:bCs/>
        </w:rPr>
        <w:t xml:space="preserve">STATEMENT OF THE FACTS: </w:t>
      </w:r>
      <w:r w:rsidRPr="00F41472">
        <w:rPr>
          <w:rFonts w:ascii="Times New Roman" w:hAnsi="Times New Roman" w:cs="Times New Roman"/>
        </w:rPr>
        <w:t>At Republican National Convention, in 2004, due to the demonstrations, plaintiffs pressed charges for state and federal rights violation against the individuals and the New York city.</w:t>
      </w:r>
      <w:r>
        <w:rPr>
          <w:rFonts w:ascii="Times New Roman" w:hAnsi="Times New Roman" w:cs="Times New Roman"/>
        </w:rPr>
        <w:t xml:space="preserve"> </w:t>
      </w:r>
      <w:r w:rsidRPr="00F41472">
        <w:rPr>
          <w:rFonts w:ascii="Times New Roman" w:hAnsi="Times New Roman" w:cs="Times New Roman"/>
        </w:rPr>
        <w:t xml:space="preserve">False claims, numerous state law provisions and 42 U.S.C </w:t>
      </w:r>
      <w:r w:rsidR="00B36E11">
        <w:rPr>
          <w:rFonts w:ascii="Times New Roman" w:hAnsi="Times New Roman" w:cs="Times New Roman"/>
        </w:rPr>
        <w:t xml:space="preserve">formed </w:t>
      </w:r>
      <w:r w:rsidRPr="00F41472">
        <w:rPr>
          <w:rFonts w:ascii="Times New Roman" w:hAnsi="Times New Roman" w:cs="Times New Roman"/>
        </w:rPr>
        <w:t>the basis of the lawsuit. Another reason of the lawsuit was fingerprinting and arrests due to minor breaches in the course of RNC. Based on inadequate expert proofs, testaments on accusations by deputy commissioner New York Police, David Cohen w</w:t>
      </w:r>
      <w:r w:rsidR="00B36E11">
        <w:rPr>
          <w:rFonts w:ascii="Times New Roman" w:hAnsi="Times New Roman" w:cs="Times New Roman"/>
        </w:rPr>
        <w:t xml:space="preserve">as </w:t>
      </w:r>
      <w:r w:rsidRPr="00F41472">
        <w:rPr>
          <w:rFonts w:ascii="Times New Roman" w:hAnsi="Times New Roman" w:cs="Times New Roman"/>
        </w:rPr>
        <w:t>also aimed to be eliminated in the case.</w:t>
      </w:r>
      <w:r>
        <w:rPr>
          <w:rFonts w:ascii="Times New Roman" w:hAnsi="Times New Roman" w:cs="Times New Roman"/>
          <w:b/>
          <w:bCs/>
        </w:rPr>
        <w:t xml:space="preserve"> </w:t>
      </w:r>
    </w:p>
    <w:p w:rsidR="00720AAF" w:rsidRPr="00F41472" w:rsidRDefault="00720AAF" w:rsidP="0010269E">
      <w:pPr>
        <w:ind w:firstLine="0"/>
        <w:rPr>
          <w:rFonts w:ascii="Times New Roman" w:hAnsi="Times New Roman" w:cs="Times New Roman"/>
          <w:b/>
          <w:bCs/>
        </w:rPr>
      </w:pPr>
      <w:r>
        <w:rPr>
          <w:rFonts w:ascii="Times New Roman" w:hAnsi="Times New Roman" w:cs="Times New Roman"/>
          <w:b/>
          <w:bCs/>
        </w:rPr>
        <w:t xml:space="preserve">LEGAL ISSUES: </w:t>
      </w:r>
      <w:r w:rsidRPr="00F41472">
        <w:rPr>
          <w:rFonts w:ascii="Times New Roman" w:hAnsi="Times New Roman" w:cs="Times New Roman"/>
        </w:rPr>
        <w:t xml:space="preserve">New York Police offered the issue of obtaining the writ of mandamus for obscuring their policies and investigation during the detention of respondents. </w:t>
      </w:r>
    </w:p>
    <w:p w:rsidR="00720AAF" w:rsidRPr="00F41472" w:rsidRDefault="00720AAF" w:rsidP="0010269E">
      <w:pPr>
        <w:ind w:firstLine="0"/>
        <w:rPr>
          <w:rFonts w:ascii="Times New Roman" w:hAnsi="Times New Roman" w:cs="Times New Roman"/>
          <w:b/>
          <w:bCs/>
        </w:rPr>
      </w:pPr>
      <w:r>
        <w:rPr>
          <w:rFonts w:ascii="Times New Roman" w:hAnsi="Times New Roman" w:cs="Times New Roman"/>
          <w:b/>
          <w:bCs/>
        </w:rPr>
        <w:t xml:space="preserve">HOLDING: </w:t>
      </w:r>
      <w:r w:rsidRPr="00F41472">
        <w:rPr>
          <w:rFonts w:ascii="Times New Roman" w:hAnsi="Times New Roman" w:cs="Times New Roman"/>
        </w:rPr>
        <w:t>Police departments were permitted to keep their surveillance and tactical strategy undisclosed under 28 U.S.C.A after the writ of mandamus was granted by United State</w:t>
      </w:r>
      <w:r w:rsidR="00B36E11">
        <w:rPr>
          <w:rFonts w:ascii="Times New Roman" w:hAnsi="Times New Roman" w:cs="Times New Roman"/>
        </w:rPr>
        <w:t>s</w:t>
      </w:r>
      <w:r w:rsidRPr="00F41472">
        <w:rPr>
          <w:rFonts w:ascii="Times New Roman" w:hAnsi="Times New Roman" w:cs="Times New Roman"/>
        </w:rPr>
        <w:t xml:space="preserve"> Court of Appeals which upturned the district court’s ruling. </w:t>
      </w:r>
    </w:p>
    <w:p w:rsidR="00720AAF" w:rsidRPr="00F41472" w:rsidRDefault="00720AAF" w:rsidP="0010269E">
      <w:pPr>
        <w:ind w:firstLine="0"/>
        <w:rPr>
          <w:rFonts w:ascii="Times New Roman" w:hAnsi="Times New Roman" w:cs="Times New Roman"/>
          <w:b/>
          <w:bCs/>
        </w:rPr>
      </w:pPr>
      <w:r>
        <w:rPr>
          <w:rFonts w:ascii="Times New Roman" w:hAnsi="Times New Roman" w:cs="Times New Roman"/>
          <w:b/>
          <w:bCs/>
        </w:rPr>
        <w:t xml:space="preserve">REASONING: </w:t>
      </w:r>
      <w:r w:rsidRPr="00F41472">
        <w:rPr>
          <w:rFonts w:ascii="Times New Roman" w:hAnsi="Times New Roman" w:cs="Times New Roman"/>
        </w:rPr>
        <w:t xml:space="preserve">Plaintiffs remained uncompelled by the necessity of undercover reports resulting in the overshadowing of public concern in disclosure, which was the main reason behind the Court of Appeal’s ruling. The privilege of law enforcement could issue a permit of writ of mandamus relief as its unguarded police reports. </w:t>
      </w:r>
    </w:p>
    <w:p w:rsidR="00720AAF" w:rsidRDefault="00720AAF" w:rsidP="0010269E">
      <w:pPr>
        <w:ind w:firstLine="0"/>
        <w:rPr>
          <w:rFonts w:ascii="Times New Roman" w:hAnsi="Times New Roman" w:cs="Times New Roman"/>
          <w:b/>
          <w:bCs/>
        </w:rPr>
      </w:pPr>
      <w:r>
        <w:rPr>
          <w:rFonts w:ascii="Times New Roman" w:hAnsi="Times New Roman" w:cs="Times New Roman"/>
          <w:b/>
          <w:bCs/>
        </w:rPr>
        <w:lastRenderedPageBreak/>
        <w:t xml:space="preserve">DISSENT: </w:t>
      </w:r>
      <w:r w:rsidRPr="00F41472">
        <w:rPr>
          <w:rFonts w:ascii="Times New Roman" w:hAnsi="Times New Roman" w:cs="Times New Roman"/>
        </w:rPr>
        <w:t>Argument made by New York Police Department was based on the destabilization of security of police officers and deteriorate the investigating competencies of law enforcement agencies due to the enforcement of district court’s ruling.</w:t>
      </w:r>
      <w:r>
        <w:rPr>
          <w:rFonts w:ascii="Times New Roman" w:hAnsi="Times New Roman" w:cs="Times New Roman"/>
          <w:b/>
          <w:bCs/>
        </w:rPr>
        <w:t xml:space="preserve"> </w:t>
      </w:r>
    </w:p>
    <w:p w:rsidR="00720AAF" w:rsidRPr="00F41472" w:rsidRDefault="00720AAF" w:rsidP="0010269E">
      <w:pPr>
        <w:ind w:firstLine="0"/>
        <w:rPr>
          <w:rFonts w:ascii="Times New Roman" w:hAnsi="Times New Roman" w:cs="Times New Roman"/>
          <w:b/>
          <w:bCs/>
        </w:rPr>
      </w:pPr>
      <w:r>
        <w:rPr>
          <w:rFonts w:ascii="Times New Roman" w:hAnsi="Times New Roman" w:cs="Times New Roman"/>
          <w:b/>
          <w:bCs/>
        </w:rPr>
        <w:t xml:space="preserve">CRITICAL SUMMARY: </w:t>
      </w:r>
      <w:r w:rsidRPr="00F41472">
        <w:rPr>
          <w:rFonts w:ascii="Times New Roman" w:hAnsi="Times New Roman" w:cs="Times New Roman"/>
        </w:rPr>
        <w:t xml:space="preserve">Unless sufficient reasons to warrant are provided, law enforcing bodies cannot be obliged to deliver undercover reports regarding the scrutiny and pre-emptive strategy while facing terrorism happenings. </w:t>
      </w:r>
      <w:r>
        <w:rPr>
          <w:rFonts w:ascii="Times New Roman" w:hAnsi="Times New Roman" w:cs="Times New Roman"/>
        </w:rPr>
        <w:fldChar w:fldCharType="begin"/>
      </w:r>
      <w:r>
        <w:rPr>
          <w:rFonts w:ascii="Times New Roman" w:hAnsi="Times New Roman" w:cs="Times New Roman"/>
        </w:rPr>
        <w:instrText xml:space="preserve"> ADDIN ZOTERO_ITEM CSL_CITATION {"citationID":"gPPz9I53","properties":{"formattedCitation":"(\\uc0\\u8220{}Dinler et al v. City of New York et al,\\uc0\\u8221{} n.d.)","plainCitation":"(“Dinler et al v. City of New York et al,” n.d.)","noteIndex":0},"citationItems":[{"id":74,"uris":["http://zotero.org/users/6144444/items/9DRI3UY2"],"uri":["http://zotero.org/users/6144444/items/9DRI3UY2"],"itemData":{"id":74,"type":"webpage","title":"Dinler et al v. City of New York et al","container-title":"Justia Dockets &amp; Filings","abstract":"Civil Rights: Other case filed on October 7, 2004 in the New York Southern District Court","URL":"https://dockets.justia.com/docket/new-york/nysdce/1:2004cv07921/256113","language":"en","accessed":{"date-parts":[["2019",11,23]]}}}],"schema":"https://github.com/citation-style-language/schema/raw/master/csl-citation.json"} </w:instrText>
      </w:r>
      <w:r>
        <w:rPr>
          <w:rFonts w:ascii="Times New Roman" w:hAnsi="Times New Roman" w:cs="Times New Roman"/>
        </w:rPr>
        <w:fldChar w:fldCharType="separate"/>
      </w:r>
      <w:r w:rsidRPr="004344FD">
        <w:rPr>
          <w:rFonts w:ascii="Times New Roman" w:hAnsi="Times New Roman" w:cs="Times New Roman"/>
        </w:rPr>
        <w:t>(“Dinler et al v. City of New York et al,” n.d.)</w:t>
      </w:r>
      <w:r>
        <w:rPr>
          <w:rFonts w:ascii="Times New Roman" w:hAnsi="Times New Roman" w:cs="Times New Roman"/>
        </w:rPr>
        <w:fldChar w:fldCharType="end"/>
      </w:r>
    </w:p>
    <w:bookmarkEnd w:id="0"/>
    <w:p w:rsidR="00720AAF" w:rsidRDefault="00720AAF">
      <w:pPr>
        <w:rPr>
          <w:rFonts w:ascii="Times New Roman" w:hAnsi="Times New Roman" w:cs="Times New Roman"/>
        </w:rPr>
      </w:pPr>
      <w:r>
        <w:rPr>
          <w:rFonts w:ascii="Times New Roman" w:hAnsi="Times New Roman" w:cs="Times New Roman"/>
        </w:rPr>
        <w:br w:type="page"/>
      </w:r>
    </w:p>
    <w:p w:rsidR="00720AAF" w:rsidRPr="005045B3" w:rsidRDefault="00720AAF" w:rsidP="00720AAF">
      <w:pPr>
        <w:jc w:val="center"/>
        <w:rPr>
          <w:rFonts w:ascii="Times New Roman" w:hAnsi="Times New Roman" w:cs="Times New Roman"/>
        </w:rPr>
      </w:pPr>
      <w:r w:rsidRPr="005045B3">
        <w:rPr>
          <w:rFonts w:ascii="Times New Roman" w:hAnsi="Times New Roman" w:cs="Times New Roman"/>
        </w:rPr>
        <w:lastRenderedPageBreak/>
        <w:t>References</w:t>
      </w:r>
    </w:p>
    <w:p w:rsidR="00720AAF" w:rsidRPr="00B36E11" w:rsidRDefault="00720AAF" w:rsidP="00720AAF">
      <w:pPr>
        <w:pStyle w:val="Bibliography"/>
        <w:rPr>
          <w:rFonts w:ascii="Times New Roman" w:hAnsi="Times New Roman" w:cs="Times New Roman"/>
        </w:rPr>
      </w:pPr>
      <w:r w:rsidRPr="00B36E11">
        <w:rPr>
          <w:rFonts w:ascii="Times New Roman" w:hAnsi="Times New Roman" w:cs="Times New Roman"/>
        </w:rPr>
        <w:fldChar w:fldCharType="begin"/>
      </w:r>
      <w:r w:rsidRPr="00B36E11">
        <w:rPr>
          <w:rFonts w:ascii="Times New Roman" w:hAnsi="Times New Roman" w:cs="Times New Roman"/>
        </w:rPr>
        <w:instrText xml:space="preserve"> ADDIN ZOTERO_BIBL {"uncited":[],"omitted":[],"custom":[]} CSL_BIBLIOGRAPHY </w:instrText>
      </w:r>
      <w:r w:rsidRPr="00B36E11">
        <w:rPr>
          <w:rFonts w:ascii="Times New Roman" w:hAnsi="Times New Roman" w:cs="Times New Roman"/>
        </w:rPr>
        <w:fldChar w:fldCharType="separate"/>
      </w:r>
      <w:r w:rsidRPr="00B36E11">
        <w:rPr>
          <w:rFonts w:ascii="Times New Roman" w:hAnsi="Times New Roman" w:cs="Times New Roman"/>
        </w:rPr>
        <w:t>Dinler et al v. City of New York et al. (n.d.). Retrieved November 23, 2019, from Justia Dockets &amp; Filings website: https://dockets.justia.com/docket/new-york/nysdce/1:2004cv07921/256113</w:t>
      </w:r>
    </w:p>
    <w:p w:rsidR="00720AAF" w:rsidRPr="00B36E11" w:rsidRDefault="00720AAF" w:rsidP="00720AAF">
      <w:pPr>
        <w:pStyle w:val="Bibliography"/>
        <w:rPr>
          <w:rFonts w:ascii="Times New Roman" w:hAnsi="Times New Roman" w:cs="Times New Roman"/>
        </w:rPr>
      </w:pPr>
      <w:r w:rsidRPr="00B36E11">
        <w:rPr>
          <w:rFonts w:ascii="Times New Roman" w:hAnsi="Times New Roman" w:cs="Times New Roman"/>
        </w:rPr>
        <w:t>Dinler et al v. City of New York et al, No. 1:2004cv07921—Document 312 (S.D.N.Y. 2012). (n.d.). Retrieved November 23, 2019, from Justia Law website: https://law.justia.com/cases/federal/district-courts/new-york/nysdce/1:2004cv07921/256113/312/</w:t>
      </w:r>
    </w:p>
    <w:p w:rsidR="00720AAF" w:rsidRDefault="00720AAF" w:rsidP="00720AAF">
      <w:r w:rsidRPr="00B36E11">
        <w:rPr>
          <w:rFonts w:ascii="Times New Roman" w:hAnsi="Times New Roman" w:cs="Times New Roman"/>
        </w:rPr>
        <w:fldChar w:fldCharType="end"/>
      </w:r>
    </w:p>
    <w:p w:rsidR="00720AAF" w:rsidRDefault="00720AAF"/>
    <w:sectPr w:rsidR="00720AA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C15" w:rsidRDefault="00A87C15">
      <w:pPr>
        <w:spacing w:line="240" w:lineRule="auto"/>
      </w:pPr>
      <w:r>
        <w:separator/>
      </w:r>
    </w:p>
    <w:p w:rsidR="00A87C15" w:rsidRDefault="00A87C15"/>
  </w:endnote>
  <w:endnote w:type="continuationSeparator" w:id="0">
    <w:p w:rsidR="00A87C15" w:rsidRDefault="00A87C15">
      <w:pPr>
        <w:spacing w:line="240" w:lineRule="auto"/>
      </w:pPr>
      <w:r>
        <w:continuationSeparator/>
      </w:r>
    </w:p>
    <w:p w:rsidR="00A87C15" w:rsidRDefault="00A87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C15" w:rsidRDefault="00A87C15">
      <w:pPr>
        <w:spacing w:line="240" w:lineRule="auto"/>
      </w:pPr>
      <w:r>
        <w:separator/>
      </w:r>
    </w:p>
    <w:p w:rsidR="00A87C15" w:rsidRDefault="00A87C15"/>
  </w:footnote>
  <w:footnote w:type="continuationSeparator" w:id="0">
    <w:p w:rsidR="00A87C15" w:rsidRDefault="00A87C15">
      <w:pPr>
        <w:spacing w:line="240" w:lineRule="auto"/>
      </w:pPr>
      <w:r>
        <w:continuationSeparator/>
      </w:r>
    </w:p>
    <w:p w:rsidR="00A87C15" w:rsidRDefault="00A87C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87C15">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0269E">
          <w:rPr>
            <w:rStyle w:val="Strong"/>
          </w:rPr>
          <w:t>Case Brief</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36E11">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0269E">
          <w:rPr>
            <w:rStyle w:val="Strong"/>
          </w:rPr>
          <w:t>Case Brief</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9431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10269E"/>
    <w:rsid w:val="00125F98"/>
    <w:rsid w:val="001728B9"/>
    <w:rsid w:val="00355DCA"/>
    <w:rsid w:val="00472A3F"/>
    <w:rsid w:val="00551A02"/>
    <w:rsid w:val="005534FA"/>
    <w:rsid w:val="005D3A03"/>
    <w:rsid w:val="005F7799"/>
    <w:rsid w:val="00690DFA"/>
    <w:rsid w:val="006D6042"/>
    <w:rsid w:val="00720AAF"/>
    <w:rsid w:val="008002C0"/>
    <w:rsid w:val="008C5323"/>
    <w:rsid w:val="008F0746"/>
    <w:rsid w:val="0099431F"/>
    <w:rsid w:val="009A6A3B"/>
    <w:rsid w:val="00A87C15"/>
    <w:rsid w:val="00B36E11"/>
    <w:rsid w:val="00B77B0A"/>
    <w:rsid w:val="00B823AA"/>
    <w:rsid w:val="00BA45DB"/>
    <w:rsid w:val="00BF3237"/>
    <w:rsid w:val="00BF4184"/>
    <w:rsid w:val="00C0601E"/>
    <w:rsid w:val="00C31D30"/>
    <w:rsid w:val="00C50272"/>
    <w:rsid w:val="00C55DC9"/>
    <w:rsid w:val="00C73F57"/>
    <w:rsid w:val="00CD6E39"/>
    <w:rsid w:val="00CF6E91"/>
    <w:rsid w:val="00D25806"/>
    <w:rsid w:val="00D85B68"/>
    <w:rsid w:val="00DF3D8A"/>
    <w:rsid w:val="00E6004D"/>
    <w:rsid w:val="00E81978"/>
    <w:rsid w:val="00F3368A"/>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60A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6D6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283961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B3ADB"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B3ADB"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B3ADB"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B3ADB"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B3ADB"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B3ADB"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B3ADB"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B3ADB"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5B3ADB"/>
    <w:rsid w:val="00D923B9"/>
    <w:rsid w:val="00E66A9B"/>
    <w:rsid w:val="00E9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Case Brief</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54D773-9881-46C2-A2D5-AF1E3A49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25</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CASE BRIEF</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dc:title>
  <dc:subject/>
  <dc:creator>Zack Gold</dc:creator>
  <cp:keywords/>
  <dc:description/>
  <cp:lastModifiedBy>Morning pc</cp:lastModifiedBy>
  <cp:revision>3</cp:revision>
  <dcterms:created xsi:type="dcterms:W3CDTF">2019-11-23T05:26:00Z</dcterms:created>
  <dcterms:modified xsi:type="dcterms:W3CDTF">2019-11-23T06:25:00Z</dcterms:modified>
</cp:coreProperties>
</file>