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2D9" w:rsidRPr="003C75C2" w:rsidRDefault="001E12D9" w:rsidP="003C75C2">
      <w:pPr>
        <w:spacing w:line="480" w:lineRule="auto"/>
        <w:rPr>
          <w:rFonts w:asciiTheme="majorBidi" w:hAnsiTheme="majorBidi" w:cstheme="majorBidi"/>
          <w:sz w:val="24"/>
          <w:szCs w:val="24"/>
        </w:rPr>
      </w:pPr>
      <w:r w:rsidRPr="003C75C2">
        <w:rPr>
          <w:rFonts w:asciiTheme="majorBidi" w:hAnsiTheme="majorBidi" w:cstheme="majorBidi"/>
          <w:sz w:val="24"/>
          <w:szCs w:val="24"/>
        </w:rPr>
        <w:t>All companies and enterprises launching a product should learn the following lessons from this story.</w:t>
      </w:r>
      <w:r w:rsidRPr="003C75C2">
        <w:rPr>
          <w:rFonts w:asciiTheme="majorBidi" w:hAnsiTheme="majorBidi" w:cstheme="majorBidi"/>
          <w:sz w:val="24"/>
          <w:szCs w:val="24"/>
        </w:rPr>
        <w:t xml:space="preserve"> </w:t>
      </w:r>
      <w:r w:rsidRPr="003C75C2">
        <w:rPr>
          <w:rFonts w:asciiTheme="majorBidi" w:hAnsiTheme="majorBidi" w:cstheme="majorBidi"/>
          <w:sz w:val="24"/>
          <w:szCs w:val="24"/>
        </w:rPr>
        <w:t>Run the product with fanfare, just like Google did, but use commercial media channels to enhance PR if you can afford it. At the same time, clearly convey to consumers what daily benefits they will receive from using your product. Make sure you can actually launch the product on time without missing a moment.</w:t>
      </w:r>
    </w:p>
    <w:p w:rsidR="009376A2" w:rsidRPr="003C75C2" w:rsidRDefault="009376A2" w:rsidP="003C75C2">
      <w:pPr>
        <w:spacing w:line="480" w:lineRule="auto"/>
        <w:rPr>
          <w:rFonts w:asciiTheme="majorBidi" w:hAnsiTheme="majorBidi" w:cstheme="majorBidi"/>
          <w:sz w:val="24"/>
          <w:szCs w:val="24"/>
        </w:rPr>
      </w:pPr>
      <w:r w:rsidRPr="003C75C2">
        <w:rPr>
          <w:rFonts w:asciiTheme="majorBidi" w:hAnsiTheme="majorBidi" w:cstheme="majorBidi"/>
          <w:sz w:val="24"/>
          <w:szCs w:val="24"/>
        </w:rPr>
        <w:t>When Sergey Brin publicly defended Google Glass and tried to prove that augmented reality glasses</w:t>
      </w:r>
      <w:r w:rsidR="001E12D9" w:rsidRPr="003C75C2">
        <w:rPr>
          <w:rFonts w:asciiTheme="majorBidi" w:hAnsiTheme="majorBidi" w:cstheme="majorBidi"/>
          <w:sz w:val="24"/>
          <w:szCs w:val="24"/>
        </w:rPr>
        <w:t>.</w:t>
      </w:r>
      <w:r w:rsidR="00E75540" w:rsidRPr="003C75C2">
        <w:rPr>
          <w:rFonts w:asciiTheme="majorBidi" w:hAnsiTheme="majorBidi" w:cstheme="majorBidi"/>
          <w:sz w:val="24"/>
          <w:szCs w:val="24"/>
        </w:rPr>
        <w:t xml:space="preserve"> “</w:t>
      </w:r>
      <w:r w:rsidRPr="003C75C2">
        <w:rPr>
          <w:rFonts w:asciiTheme="majorBidi" w:hAnsiTheme="majorBidi" w:cstheme="majorBidi"/>
          <w:sz w:val="24"/>
          <w:szCs w:val="24"/>
        </w:rPr>
        <w:t>The practice of crafting insights is</w:t>
      </w:r>
      <w:r w:rsidRPr="003C75C2">
        <w:rPr>
          <w:rFonts w:asciiTheme="majorBidi" w:hAnsiTheme="majorBidi" w:cstheme="majorBidi"/>
          <w:sz w:val="24"/>
          <w:szCs w:val="24"/>
        </w:rPr>
        <w:t xml:space="preserve"> </w:t>
      </w:r>
      <w:r w:rsidRPr="003C75C2">
        <w:rPr>
          <w:rFonts w:asciiTheme="majorBidi" w:hAnsiTheme="majorBidi" w:cstheme="majorBidi"/>
          <w:sz w:val="24"/>
          <w:szCs w:val="24"/>
        </w:rPr>
        <w:t>characterized by skills that are similar to</w:t>
      </w:r>
      <w:r w:rsidRPr="003C75C2">
        <w:rPr>
          <w:rFonts w:asciiTheme="majorBidi" w:hAnsiTheme="majorBidi" w:cstheme="majorBidi"/>
          <w:sz w:val="24"/>
          <w:szCs w:val="24"/>
        </w:rPr>
        <w:t xml:space="preserve"> </w:t>
      </w:r>
      <w:r w:rsidRPr="003C75C2">
        <w:rPr>
          <w:rFonts w:asciiTheme="majorBidi" w:hAnsiTheme="majorBidi" w:cstheme="majorBidi"/>
          <w:sz w:val="24"/>
          <w:szCs w:val="24"/>
        </w:rPr>
        <w:t>our own design process. It involves</w:t>
      </w:r>
      <w:r w:rsidRPr="003C75C2">
        <w:rPr>
          <w:rFonts w:asciiTheme="majorBidi" w:hAnsiTheme="majorBidi" w:cstheme="majorBidi"/>
          <w:sz w:val="24"/>
          <w:szCs w:val="24"/>
        </w:rPr>
        <w:t>, i</w:t>
      </w:r>
      <w:r w:rsidRPr="003C75C2">
        <w:rPr>
          <w:rFonts w:asciiTheme="majorBidi" w:hAnsiTheme="majorBidi" w:cstheme="majorBidi"/>
          <w:sz w:val="24"/>
          <w:szCs w:val="24"/>
        </w:rPr>
        <w:t>teration</w:t>
      </w:r>
      <w:r w:rsidRPr="003C75C2">
        <w:rPr>
          <w:rFonts w:asciiTheme="majorBidi" w:hAnsiTheme="majorBidi" w:cstheme="majorBidi"/>
          <w:sz w:val="24"/>
          <w:szCs w:val="24"/>
        </w:rPr>
        <w:t>, d</w:t>
      </w:r>
      <w:r w:rsidRPr="003C75C2">
        <w:rPr>
          <w:rFonts w:asciiTheme="majorBidi" w:hAnsiTheme="majorBidi" w:cstheme="majorBidi"/>
          <w:sz w:val="24"/>
          <w:szCs w:val="24"/>
        </w:rPr>
        <w:t>edicated time</w:t>
      </w:r>
      <w:r w:rsidRPr="003C75C2">
        <w:rPr>
          <w:rFonts w:asciiTheme="majorBidi" w:hAnsiTheme="majorBidi" w:cstheme="majorBidi"/>
          <w:sz w:val="24"/>
          <w:szCs w:val="24"/>
        </w:rPr>
        <w:t>, i</w:t>
      </w:r>
      <w:r w:rsidRPr="003C75C2">
        <w:rPr>
          <w:rFonts w:asciiTheme="majorBidi" w:hAnsiTheme="majorBidi" w:cstheme="majorBidi"/>
          <w:sz w:val="24"/>
          <w:szCs w:val="24"/>
        </w:rPr>
        <w:t>nternal reflection</w:t>
      </w:r>
      <w:r w:rsidRPr="003C75C2">
        <w:rPr>
          <w:rFonts w:asciiTheme="majorBidi" w:hAnsiTheme="majorBidi" w:cstheme="majorBidi"/>
          <w:sz w:val="24"/>
          <w:szCs w:val="24"/>
        </w:rPr>
        <w:t>, c</w:t>
      </w:r>
      <w:r w:rsidRPr="003C75C2">
        <w:rPr>
          <w:rFonts w:asciiTheme="majorBidi" w:hAnsiTheme="majorBidi" w:cstheme="majorBidi"/>
          <w:sz w:val="24"/>
          <w:szCs w:val="24"/>
        </w:rPr>
        <w:t>ollaboration with others</w:t>
      </w:r>
      <w:r w:rsidRPr="003C75C2">
        <w:rPr>
          <w:rFonts w:asciiTheme="majorBidi" w:hAnsiTheme="majorBidi" w:cstheme="majorBidi"/>
          <w:sz w:val="24"/>
          <w:szCs w:val="24"/>
        </w:rPr>
        <w:t xml:space="preserve"> and c</w:t>
      </w:r>
      <w:r w:rsidRPr="003C75C2">
        <w:rPr>
          <w:rFonts w:asciiTheme="majorBidi" w:hAnsiTheme="majorBidi" w:cstheme="majorBidi"/>
          <w:sz w:val="24"/>
          <w:szCs w:val="24"/>
        </w:rPr>
        <w:t>onsideration of audience</w:t>
      </w:r>
      <w:r w:rsidR="00E75540" w:rsidRPr="003C75C2">
        <w:rPr>
          <w:rFonts w:asciiTheme="majorBidi" w:hAnsiTheme="majorBidi" w:cstheme="majorBidi"/>
          <w:sz w:val="24"/>
          <w:szCs w:val="24"/>
        </w:rPr>
        <w:t>”(133)</w:t>
      </w:r>
      <w:r w:rsidRPr="003C75C2">
        <w:rPr>
          <w:rFonts w:asciiTheme="majorBidi" w:hAnsiTheme="majorBidi" w:cstheme="majorBidi"/>
          <w:sz w:val="24"/>
          <w:szCs w:val="24"/>
        </w:rPr>
        <w:t xml:space="preserve">. </w:t>
      </w:r>
      <w:r w:rsidRPr="003C75C2">
        <w:rPr>
          <w:rFonts w:asciiTheme="majorBidi" w:hAnsiTheme="majorBidi" w:cstheme="majorBidi"/>
          <w:sz w:val="24"/>
          <w:szCs w:val="24"/>
        </w:rPr>
        <w:t>For Google, a temporary refusal to publicly implement the project is an excellent reason to start all over again, this time starting from the real needs of a potential audience. The failure of Google Glass may suggest a change in the development of experimental devices. Now they will be developed in an atmosphere of secrecy and shown only to a narrow circle of researchers. And when we see augmented reality glasses on store shelves, now no one knows.</w:t>
      </w:r>
    </w:p>
    <w:p w:rsidR="00E75540" w:rsidRPr="003C75C2" w:rsidRDefault="00E75540" w:rsidP="003C75C2">
      <w:pPr>
        <w:spacing w:line="480" w:lineRule="auto"/>
        <w:rPr>
          <w:rFonts w:asciiTheme="majorBidi" w:hAnsiTheme="majorBidi" w:cstheme="majorBidi"/>
          <w:sz w:val="24"/>
          <w:szCs w:val="24"/>
        </w:rPr>
      </w:pPr>
    </w:p>
    <w:p w:rsidR="00E75540" w:rsidRPr="003C75C2" w:rsidRDefault="00E75540" w:rsidP="003C75C2">
      <w:pPr>
        <w:spacing w:line="480" w:lineRule="auto"/>
        <w:rPr>
          <w:rFonts w:asciiTheme="majorBidi" w:hAnsiTheme="majorBidi" w:cstheme="majorBidi"/>
          <w:sz w:val="24"/>
          <w:szCs w:val="24"/>
        </w:rPr>
      </w:pPr>
    </w:p>
    <w:p w:rsidR="00E75540" w:rsidRPr="003C75C2" w:rsidRDefault="00E75540" w:rsidP="003C75C2">
      <w:pPr>
        <w:spacing w:line="480" w:lineRule="auto"/>
        <w:rPr>
          <w:rFonts w:asciiTheme="majorBidi" w:hAnsiTheme="majorBidi" w:cstheme="majorBidi"/>
          <w:sz w:val="24"/>
          <w:szCs w:val="24"/>
        </w:rPr>
      </w:pPr>
    </w:p>
    <w:p w:rsidR="00D33CB4" w:rsidRDefault="00D33CB4" w:rsidP="003C75C2">
      <w:pPr>
        <w:spacing w:line="480" w:lineRule="auto"/>
        <w:jc w:val="center"/>
        <w:rPr>
          <w:rFonts w:asciiTheme="majorBidi" w:hAnsiTheme="majorBidi" w:cstheme="majorBidi"/>
          <w:sz w:val="24"/>
          <w:szCs w:val="24"/>
        </w:rPr>
      </w:pPr>
      <w:bookmarkStart w:id="0" w:name="_GoBack"/>
      <w:bookmarkEnd w:id="0"/>
    </w:p>
    <w:p w:rsidR="00D33CB4" w:rsidRDefault="00D33CB4" w:rsidP="00D33CB4">
      <w:pPr>
        <w:spacing w:line="480" w:lineRule="auto"/>
        <w:rPr>
          <w:rFonts w:asciiTheme="majorBidi" w:hAnsiTheme="majorBidi" w:cstheme="majorBidi"/>
          <w:sz w:val="24"/>
          <w:szCs w:val="24"/>
        </w:rPr>
      </w:pPr>
    </w:p>
    <w:p w:rsidR="00D33CB4" w:rsidRDefault="00D33CB4" w:rsidP="003C75C2">
      <w:pPr>
        <w:spacing w:line="480" w:lineRule="auto"/>
        <w:jc w:val="center"/>
        <w:rPr>
          <w:rFonts w:asciiTheme="majorBidi" w:hAnsiTheme="majorBidi" w:cstheme="majorBidi"/>
          <w:sz w:val="24"/>
          <w:szCs w:val="24"/>
        </w:rPr>
      </w:pPr>
    </w:p>
    <w:p w:rsidR="00D33CB4" w:rsidRDefault="00D33CB4" w:rsidP="003C75C2">
      <w:pPr>
        <w:spacing w:line="480" w:lineRule="auto"/>
        <w:jc w:val="center"/>
        <w:rPr>
          <w:rFonts w:asciiTheme="majorBidi" w:hAnsiTheme="majorBidi" w:cstheme="majorBidi"/>
          <w:sz w:val="24"/>
          <w:szCs w:val="24"/>
        </w:rPr>
      </w:pPr>
    </w:p>
    <w:p w:rsidR="00D33CB4" w:rsidRDefault="00D33CB4" w:rsidP="003C75C2">
      <w:pPr>
        <w:spacing w:line="480" w:lineRule="auto"/>
        <w:jc w:val="center"/>
        <w:rPr>
          <w:rFonts w:asciiTheme="majorBidi" w:hAnsiTheme="majorBidi" w:cstheme="majorBidi"/>
          <w:sz w:val="24"/>
          <w:szCs w:val="24"/>
        </w:rPr>
      </w:pPr>
    </w:p>
    <w:p w:rsidR="00E75540" w:rsidRPr="003C75C2" w:rsidRDefault="00E75540" w:rsidP="003C75C2">
      <w:pPr>
        <w:spacing w:line="480" w:lineRule="auto"/>
        <w:jc w:val="center"/>
        <w:rPr>
          <w:rFonts w:asciiTheme="majorBidi" w:hAnsiTheme="majorBidi" w:cstheme="majorBidi"/>
          <w:sz w:val="24"/>
          <w:szCs w:val="24"/>
        </w:rPr>
      </w:pPr>
      <w:r w:rsidRPr="003C75C2">
        <w:rPr>
          <w:rFonts w:asciiTheme="majorBidi" w:hAnsiTheme="majorBidi" w:cstheme="majorBidi"/>
          <w:sz w:val="24"/>
          <w:szCs w:val="24"/>
        </w:rPr>
        <w:t>Why abortion is justified ?</w:t>
      </w:r>
    </w:p>
    <w:p w:rsidR="00E75540" w:rsidRPr="003C75C2" w:rsidRDefault="00E75540" w:rsidP="003C75C2">
      <w:pPr>
        <w:pStyle w:val="ListParagraph"/>
        <w:numPr>
          <w:ilvl w:val="0"/>
          <w:numId w:val="1"/>
        </w:numPr>
        <w:spacing w:line="480" w:lineRule="auto"/>
        <w:rPr>
          <w:rFonts w:asciiTheme="majorBidi" w:hAnsiTheme="majorBidi" w:cstheme="majorBidi"/>
          <w:sz w:val="24"/>
          <w:szCs w:val="24"/>
        </w:rPr>
      </w:pPr>
      <w:r w:rsidRPr="003C75C2">
        <w:rPr>
          <w:rFonts w:asciiTheme="majorBidi" w:hAnsiTheme="majorBidi" w:cstheme="majorBidi"/>
          <w:sz w:val="24"/>
          <w:szCs w:val="24"/>
        </w:rPr>
        <w:t>Woman is a human and she is having full rights regarding her body so if she don’t like she can go for abortion.</w:t>
      </w:r>
    </w:p>
    <w:p w:rsidR="00E75540" w:rsidRPr="003C75C2" w:rsidRDefault="00E75540" w:rsidP="003C75C2">
      <w:pPr>
        <w:pStyle w:val="ListParagraph"/>
        <w:numPr>
          <w:ilvl w:val="0"/>
          <w:numId w:val="1"/>
        </w:numPr>
        <w:spacing w:line="480" w:lineRule="auto"/>
        <w:rPr>
          <w:rFonts w:asciiTheme="majorBidi" w:hAnsiTheme="majorBidi" w:cstheme="majorBidi"/>
          <w:sz w:val="24"/>
          <w:szCs w:val="24"/>
        </w:rPr>
      </w:pPr>
      <w:r w:rsidRPr="003C75C2">
        <w:rPr>
          <w:rFonts w:asciiTheme="majorBidi" w:hAnsiTheme="majorBidi" w:cstheme="majorBidi"/>
          <w:sz w:val="24"/>
          <w:szCs w:val="24"/>
        </w:rPr>
        <w:t xml:space="preserve">In any medical condition , when pregnancy is not safe for mother and </w:t>
      </w:r>
      <w:r w:rsidR="003C75C2" w:rsidRPr="003C75C2">
        <w:rPr>
          <w:rFonts w:asciiTheme="majorBidi" w:hAnsiTheme="majorBidi" w:cstheme="majorBidi"/>
          <w:sz w:val="24"/>
          <w:szCs w:val="24"/>
        </w:rPr>
        <w:t>baby,</w:t>
      </w:r>
      <w:r w:rsidRPr="003C75C2">
        <w:rPr>
          <w:rFonts w:asciiTheme="majorBidi" w:hAnsiTheme="majorBidi" w:cstheme="majorBidi"/>
          <w:sz w:val="24"/>
          <w:szCs w:val="24"/>
        </w:rPr>
        <w:t xml:space="preserve"> so it is justified</w:t>
      </w:r>
    </w:p>
    <w:p w:rsidR="003C75C2" w:rsidRPr="003C75C2" w:rsidRDefault="003C75C2" w:rsidP="003C75C2">
      <w:pPr>
        <w:pStyle w:val="ListParagraph"/>
        <w:numPr>
          <w:ilvl w:val="0"/>
          <w:numId w:val="1"/>
        </w:numPr>
        <w:spacing w:line="480" w:lineRule="auto"/>
        <w:rPr>
          <w:rFonts w:asciiTheme="majorBidi" w:hAnsiTheme="majorBidi" w:cstheme="majorBidi"/>
          <w:sz w:val="24"/>
          <w:szCs w:val="24"/>
        </w:rPr>
      </w:pPr>
      <w:r w:rsidRPr="003C75C2">
        <w:rPr>
          <w:rFonts w:asciiTheme="majorBidi" w:hAnsiTheme="majorBidi" w:cstheme="majorBidi"/>
          <w:sz w:val="24"/>
          <w:szCs w:val="24"/>
        </w:rPr>
        <w:t>If sex is personal choice, then why not abortion</w:t>
      </w:r>
    </w:p>
    <w:p w:rsidR="003C75C2" w:rsidRPr="003C75C2" w:rsidRDefault="003C75C2" w:rsidP="003C75C2">
      <w:pPr>
        <w:pStyle w:val="ListParagraph"/>
        <w:numPr>
          <w:ilvl w:val="0"/>
          <w:numId w:val="1"/>
        </w:numPr>
        <w:spacing w:line="480" w:lineRule="auto"/>
        <w:rPr>
          <w:rFonts w:asciiTheme="majorBidi" w:hAnsiTheme="majorBidi" w:cstheme="majorBidi"/>
          <w:sz w:val="24"/>
          <w:szCs w:val="24"/>
        </w:rPr>
      </w:pPr>
      <w:r>
        <w:rPr>
          <w:rFonts w:asciiTheme="majorBidi" w:hAnsiTheme="majorBidi" w:cstheme="majorBidi"/>
          <w:sz w:val="24"/>
          <w:szCs w:val="24"/>
        </w:rPr>
        <w:t>In case of rape or unwanted pregnancy, abortion is simply justified</w:t>
      </w:r>
    </w:p>
    <w:p w:rsidR="00E75540" w:rsidRPr="003C75C2" w:rsidRDefault="00E75540" w:rsidP="003C75C2">
      <w:pPr>
        <w:spacing w:line="480" w:lineRule="auto"/>
        <w:rPr>
          <w:rFonts w:asciiTheme="majorBidi" w:hAnsiTheme="majorBidi" w:cstheme="majorBidi"/>
          <w:sz w:val="24"/>
          <w:szCs w:val="24"/>
        </w:rPr>
      </w:pPr>
    </w:p>
    <w:p w:rsidR="00E75540" w:rsidRPr="003C75C2" w:rsidRDefault="00E75540" w:rsidP="003C75C2">
      <w:pPr>
        <w:spacing w:line="480" w:lineRule="auto"/>
        <w:rPr>
          <w:rFonts w:asciiTheme="majorBidi" w:hAnsiTheme="majorBidi" w:cstheme="majorBidi"/>
          <w:sz w:val="24"/>
          <w:szCs w:val="24"/>
        </w:rPr>
      </w:pPr>
    </w:p>
    <w:p w:rsidR="00E75540" w:rsidRPr="003C75C2" w:rsidRDefault="00E75540" w:rsidP="003C75C2">
      <w:pPr>
        <w:spacing w:line="480" w:lineRule="auto"/>
        <w:rPr>
          <w:rFonts w:asciiTheme="majorBidi" w:hAnsiTheme="majorBidi" w:cstheme="majorBidi"/>
          <w:sz w:val="24"/>
          <w:szCs w:val="24"/>
        </w:rPr>
      </w:pPr>
    </w:p>
    <w:p w:rsidR="00E75540" w:rsidRPr="003C75C2" w:rsidRDefault="00E75540" w:rsidP="003C75C2">
      <w:pPr>
        <w:spacing w:line="480" w:lineRule="auto"/>
        <w:rPr>
          <w:rFonts w:asciiTheme="majorBidi" w:hAnsiTheme="majorBidi" w:cstheme="majorBidi"/>
          <w:sz w:val="24"/>
          <w:szCs w:val="24"/>
        </w:rPr>
      </w:pPr>
    </w:p>
    <w:p w:rsidR="00E75540" w:rsidRPr="003C75C2" w:rsidRDefault="00E75540" w:rsidP="003C75C2">
      <w:pPr>
        <w:spacing w:line="480" w:lineRule="auto"/>
        <w:rPr>
          <w:rFonts w:asciiTheme="majorBidi" w:hAnsiTheme="majorBidi" w:cstheme="majorBidi"/>
          <w:sz w:val="24"/>
          <w:szCs w:val="24"/>
        </w:rPr>
      </w:pPr>
    </w:p>
    <w:p w:rsidR="00E75540" w:rsidRPr="003C75C2" w:rsidRDefault="00E75540" w:rsidP="003C75C2">
      <w:pPr>
        <w:spacing w:line="480" w:lineRule="auto"/>
        <w:rPr>
          <w:rFonts w:asciiTheme="majorBidi" w:hAnsiTheme="majorBidi" w:cstheme="majorBidi"/>
          <w:sz w:val="24"/>
          <w:szCs w:val="24"/>
        </w:rPr>
      </w:pPr>
    </w:p>
    <w:p w:rsidR="00E75540" w:rsidRPr="003C75C2" w:rsidRDefault="00E75540" w:rsidP="003C75C2">
      <w:pPr>
        <w:spacing w:line="480" w:lineRule="auto"/>
        <w:rPr>
          <w:rFonts w:asciiTheme="majorBidi" w:hAnsiTheme="majorBidi" w:cstheme="majorBidi"/>
          <w:sz w:val="24"/>
          <w:szCs w:val="24"/>
        </w:rPr>
      </w:pPr>
    </w:p>
    <w:p w:rsidR="00E75540" w:rsidRPr="003C75C2" w:rsidRDefault="00E75540" w:rsidP="003C75C2">
      <w:pPr>
        <w:spacing w:line="480" w:lineRule="auto"/>
        <w:rPr>
          <w:rFonts w:asciiTheme="majorBidi" w:hAnsiTheme="majorBidi" w:cstheme="majorBidi"/>
          <w:sz w:val="24"/>
          <w:szCs w:val="24"/>
        </w:rPr>
      </w:pPr>
    </w:p>
    <w:p w:rsidR="003C75C2" w:rsidRDefault="003C75C2" w:rsidP="003C75C2">
      <w:pPr>
        <w:spacing w:line="480" w:lineRule="auto"/>
        <w:rPr>
          <w:rFonts w:asciiTheme="majorBidi" w:hAnsiTheme="majorBidi" w:cstheme="majorBidi"/>
          <w:sz w:val="24"/>
          <w:szCs w:val="24"/>
        </w:rPr>
      </w:pPr>
    </w:p>
    <w:p w:rsidR="003C75C2" w:rsidRDefault="003C75C2" w:rsidP="003C75C2">
      <w:pPr>
        <w:spacing w:line="480" w:lineRule="auto"/>
        <w:rPr>
          <w:rFonts w:asciiTheme="majorBidi" w:hAnsiTheme="majorBidi" w:cstheme="majorBidi"/>
          <w:sz w:val="24"/>
          <w:szCs w:val="24"/>
        </w:rPr>
      </w:pPr>
    </w:p>
    <w:p w:rsidR="003C75C2" w:rsidRDefault="003C75C2" w:rsidP="003C75C2">
      <w:pPr>
        <w:spacing w:line="480" w:lineRule="auto"/>
        <w:rPr>
          <w:rFonts w:asciiTheme="majorBidi" w:hAnsiTheme="majorBidi" w:cstheme="majorBidi"/>
          <w:sz w:val="24"/>
          <w:szCs w:val="24"/>
        </w:rPr>
      </w:pPr>
    </w:p>
    <w:p w:rsidR="003C75C2" w:rsidRDefault="003C75C2" w:rsidP="003C75C2">
      <w:pPr>
        <w:spacing w:line="480" w:lineRule="auto"/>
        <w:rPr>
          <w:rFonts w:asciiTheme="majorBidi" w:hAnsiTheme="majorBidi" w:cstheme="majorBidi"/>
          <w:sz w:val="24"/>
          <w:szCs w:val="24"/>
        </w:rPr>
      </w:pPr>
    </w:p>
    <w:p w:rsidR="00E75540" w:rsidRPr="003C75C2" w:rsidRDefault="00E75540" w:rsidP="003C75C2">
      <w:pPr>
        <w:spacing w:line="480" w:lineRule="auto"/>
        <w:rPr>
          <w:rFonts w:asciiTheme="majorBidi" w:hAnsiTheme="majorBidi" w:cstheme="majorBidi"/>
          <w:sz w:val="24"/>
          <w:szCs w:val="24"/>
        </w:rPr>
      </w:pPr>
      <w:r w:rsidRPr="003C75C2">
        <w:rPr>
          <w:rFonts w:asciiTheme="majorBidi" w:hAnsiTheme="majorBidi" w:cstheme="majorBidi"/>
          <w:sz w:val="24"/>
          <w:szCs w:val="24"/>
        </w:rPr>
        <w:t>Work cited</w:t>
      </w:r>
    </w:p>
    <w:p w:rsidR="003C75C2" w:rsidRDefault="00E75540" w:rsidP="003C75C2">
      <w:pPr>
        <w:spacing w:line="480" w:lineRule="auto"/>
        <w:rPr>
          <w:rFonts w:asciiTheme="majorBidi" w:hAnsiTheme="majorBidi" w:cstheme="majorBidi"/>
          <w:sz w:val="24"/>
          <w:szCs w:val="24"/>
        </w:rPr>
      </w:pPr>
      <w:r w:rsidRPr="003C75C2">
        <w:rPr>
          <w:rFonts w:asciiTheme="majorBidi" w:hAnsiTheme="majorBidi" w:cstheme="majorBidi"/>
          <w:sz w:val="24"/>
          <w:szCs w:val="24"/>
        </w:rPr>
        <w:t xml:space="preserve">McDonagh, Eileen L. "My body, my consent: securing the constitutional right to abortion </w:t>
      </w:r>
    </w:p>
    <w:p w:rsidR="00E75540" w:rsidRPr="003C75C2" w:rsidRDefault="00E75540" w:rsidP="003C75C2">
      <w:pPr>
        <w:spacing w:line="480" w:lineRule="auto"/>
        <w:ind w:firstLine="720"/>
        <w:rPr>
          <w:rFonts w:asciiTheme="majorBidi" w:hAnsiTheme="majorBidi" w:cstheme="majorBidi"/>
          <w:sz w:val="24"/>
          <w:szCs w:val="24"/>
        </w:rPr>
      </w:pPr>
      <w:r w:rsidRPr="003C75C2">
        <w:rPr>
          <w:rFonts w:asciiTheme="majorBidi" w:hAnsiTheme="majorBidi" w:cstheme="majorBidi"/>
          <w:sz w:val="24"/>
          <w:szCs w:val="24"/>
        </w:rPr>
        <w:t>funding." Alb. L. Rev. 62 (</w:t>
      </w:r>
      <w:r w:rsidR="003C75C2" w:rsidRPr="003C75C2">
        <w:rPr>
          <w:rFonts w:asciiTheme="majorBidi" w:hAnsiTheme="majorBidi" w:cstheme="majorBidi"/>
          <w:sz w:val="24"/>
          <w:szCs w:val="24"/>
        </w:rPr>
        <w:t>200</w:t>
      </w:r>
      <w:r w:rsidRPr="003C75C2">
        <w:rPr>
          <w:rFonts w:asciiTheme="majorBidi" w:hAnsiTheme="majorBidi" w:cstheme="majorBidi"/>
          <w:sz w:val="24"/>
          <w:szCs w:val="24"/>
        </w:rPr>
        <w:t>8): 1057.</w:t>
      </w:r>
    </w:p>
    <w:p w:rsidR="003C75C2" w:rsidRDefault="003C75C2" w:rsidP="003C75C2">
      <w:pPr>
        <w:spacing w:line="480" w:lineRule="auto"/>
        <w:rPr>
          <w:rFonts w:asciiTheme="majorBidi" w:hAnsiTheme="majorBidi" w:cstheme="majorBidi"/>
          <w:sz w:val="24"/>
          <w:szCs w:val="24"/>
        </w:rPr>
      </w:pPr>
      <w:r w:rsidRPr="003C75C2">
        <w:rPr>
          <w:rFonts w:asciiTheme="majorBidi" w:hAnsiTheme="majorBidi" w:cstheme="majorBidi"/>
          <w:sz w:val="24"/>
          <w:szCs w:val="24"/>
        </w:rPr>
        <w:t xml:space="preserve">Mahon, James Edwin. "Abortion and the Right to not be Pregnant." Philosophy and Political </w:t>
      </w:r>
    </w:p>
    <w:p w:rsidR="003C75C2" w:rsidRPr="003C75C2" w:rsidRDefault="003C75C2" w:rsidP="003C75C2">
      <w:pPr>
        <w:spacing w:line="480" w:lineRule="auto"/>
        <w:ind w:firstLine="720"/>
        <w:rPr>
          <w:rFonts w:asciiTheme="majorBidi" w:hAnsiTheme="majorBidi" w:cstheme="majorBidi"/>
          <w:sz w:val="24"/>
          <w:szCs w:val="24"/>
        </w:rPr>
      </w:pPr>
      <w:r w:rsidRPr="003C75C2">
        <w:rPr>
          <w:rFonts w:asciiTheme="majorBidi" w:hAnsiTheme="majorBidi" w:cstheme="majorBidi"/>
          <w:sz w:val="24"/>
          <w:szCs w:val="24"/>
        </w:rPr>
        <w:t>Engagement. Palgrave Macmillan, London, 2016. 57-77.</w:t>
      </w:r>
    </w:p>
    <w:p w:rsidR="003C75C2" w:rsidRDefault="00E75540" w:rsidP="003C75C2">
      <w:pPr>
        <w:spacing w:line="480" w:lineRule="auto"/>
        <w:rPr>
          <w:rFonts w:asciiTheme="majorBidi" w:hAnsiTheme="majorBidi" w:cstheme="majorBidi"/>
          <w:sz w:val="24"/>
          <w:szCs w:val="24"/>
        </w:rPr>
      </w:pPr>
      <w:r w:rsidRPr="003C75C2">
        <w:rPr>
          <w:rFonts w:asciiTheme="majorBidi" w:hAnsiTheme="majorBidi" w:cstheme="majorBidi"/>
          <w:sz w:val="24"/>
          <w:szCs w:val="24"/>
        </w:rPr>
        <w:t xml:space="preserve">Harrison, Beverly </w:t>
      </w:r>
      <w:proofErr w:type="spellStart"/>
      <w:r w:rsidRPr="003C75C2">
        <w:rPr>
          <w:rFonts w:asciiTheme="majorBidi" w:hAnsiTheme="majorBidi" w:cstheme="majorBidi"/>
          <w:sz w:val="24"/>
          <w:szCs w:val="24"/>
        </w:rPr>
        <w:t>Wildung</w:t>
      </w:r>
      <w:proofErr w:type="spellEnd"/>
      <w:r w:rsidRPr="003C75C2">
        <w:rPr>
          <w:rFonts w:asciiTheme="majorBidi" w:hAnsiTheme="majorBidi" w:cstheme="majorBidi"/>
          <w:sz w:val="24"/>
          <w:szCs w:val="24"/>
        </w:rPr>
        <w:t xml:space="preserve">. Our right to choose: Toward a new ethic of abortion. Wipf and </w:t>
      </w:r>
    </w:p>
    <w:p w:rsidR="00E75540" w:rsidRPr="003C75C2" w:rsidRDefault="00E75540" w:rsidP="003C75C2">
      <w:pPr>
        <w:spacing w:line="480" w:lineRule="auto"/>
        <w:ind w:firstLine="720"/>
        <w:rPr>
          <w:rFonts w:asciiTheme="majorBidi" w:hAnsiTheme="majorBidi" w:cstheme="majorBidi"/>
          <w:sz w:val="24"/>
          <w:szCs w:val="24"/>
        </w:rPr>
      </w:pPr>
      <w:r w:rsidRPr="003C75C2">
        <w:rPr>
          <w:rFonts w:asciiTheme="majorBidi" w:hAnsiTheme="majorBidi" w:cstheme="majorBidi"/>
          <w:sz w:val="24"/>
          <w:szCs w:val="24"/>
        </w:rPr>
        <w:t>Stock Publishers, 2011.</w:t>
      </w:r>
    </w:p>
    <w:p w:rsidR="003C75C2" w:rsidRDefault="003C75C2" w:rsidP="003C75C2">
      <w:pPr>
        <w:spacing w:line="480" w:lineRule="auto"/>
        <w:rPr>
          <w:rFonts w:asciiTheme="majorBidi" w:hAnsiTheme="majorBidi" w:cstheme="majorBidi"/>
          <w:sz w:val="24"/>
          <w:szCs w:val="24"/>
        </w:rPr>
      </w:pPr>
      <w:proofErr w:type="spellStart"/>
      <w:r w:rsidRPr="003C75C2">
        <w:rPr>
          <w:rFonts w:asciiTheme="majorBidi" w:hAnsiTheme="majorBidi" w:cstheme="majorBidi"/>
          <w:sz w:val="24"/>
          <w:szCs w:val="24"/>
        </w:rPr>
        <w:t>Svenaeus</w:t>
      </w:r>
      <w:proofErr w:type="spellEnd"/>
      <w:r w:rsidRPr="003C75C2">
        <w:rPr>
          <w:rFonts w:asciiTheme="majorBidi" w:hAnsiTheme="majorBidi" w:cstheme="majorBidi"/>
          <w:sz w:val="24"/>
          <w:szCs w:val="24"/>
        </w:rPr>
        <w:t xml:space="preserve">, Fredrik. "Phenomenology of pregnancy and the ethics of abortion." Medicine, Health </w:t>
      </w:r>
    </w:p>
    <w:p w:rsidR="009376A2" w:rsidRPr="003C75C2" w:rsidRDefault="003C75C2" w:rsidP="003C75C2">
      <w:pPr>
        <w:spacing w:line="480" w:lineRule="auto"/>
        <w:ind w:firstLine="720"/>
        <w:rPr>
          <w:rFonts w:asciiTheme="majorBidi" w:hAnsiTheme="majorBidi" w:cstheme="majorBidi"/>
          <w:sz w:val="24"/>
          <w:szCs w:val="24"/>
        </w:rPr>
      </w:pPr>
      <w:r w:rsidRPr="003C75C2">
        <w:rPr>
          <w:rFonts w:asciiTheme="majorBidi" w:hAnsiTheme="majorBidi" w:cstheme="majorBidi"/>
          <w:sz w:val="24"/>
          <w:szCs w:val="24"/>
        </w:rPr>
        <w:t>Care and Philosophy 21.1 (2018): 77-87.</w:t>
      </w:r>
    </w:p>
    <w:p w:rsidR="009376A2" w:rsidRPr="003C75C2" w:rsidRDefault="009376A2" w:rsidP="003C75C2">
      <w:pPr>
        <w:spacing w:line="480" w:lineRule="auto"/>
        <w:rPr>
          <w:rFonts w:asciiTheme="majorBidi" w:hAnsiTheme="majorBidi" w:cstheme="majorBidi"/>
          <w:sz w:val="24"/>
          <w:szCs w:val="24"/>
        </w:rPr>
      </w:pPr>
    </w:p>
    <w:p w:rsidR="00176B3D" w:rsidRPr="003C75C2" w:rsidRDefault="00176B3D" w:rsidP="003C75C2">
      <w:pPr>
        <w:spacing w:line="480" w:lineRule="auto"/>
        <w:rPr>
          <w:rFonts w:asciiTheme="majorBidi" w:hAnsiTheme="majorBidi" w:cstheme="majorBidi"/>
          <w:sz w:val="24"/>
          <w:szCs w:val="24"/>
        </w:rPr>
      </w:pPr>
    </w:p>
    <w:sectPr w:rsidR="00176B3D" w:rsidRPr="003C75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A95AFF"/>
    <w:multiLevelType w:val="hybridMultilevel"/>
    <w:tmpl w:val="86CA5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Y3MDS3MDM3sLQ0MDVW0lEKTi0uzszPAykwrAUAW5lX2iwAAAA="/>
  </w:docVars>
  <w:rsids>
    <w:rsidRoot w:val="007E72B5"/>
    <w:rsid w:val="00176B3D"/>
    <w:rsid w:val="001E12D9"/>
    <w:rsid w:val="003C75C2"/>
    <w:rsid w:val="007E72B5"/>
    <w:rsid w:val="009376A2"/>
    <w:rsid w:val="00986007"/>
    <w:rsid w:val="00B62D69"/>
    <w:rsid w:val="00D33CB4"/>
    <w:rsid w:val="00E755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9BF13"/>
  <w15:chartTrackingRefBased/>
  <w15:docId w15:val="{5CE7D3A0-8D8B-4A52-AFFB-866C132F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76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6A2"/>
    <w:rPr>
      <w:rFonts w:ascii="Segoe UI" w:hAnsi="Segoe UI" w:cs="Segoe UI"/>
      <w:sz w:val="18"/>
      <w:szCs w:val="18"/>
    </w:rPr>
  </w:style>
  <w:style w:type="paragraph" w:styleId="ListParagraph">
    <w:name w:val="List Paragraph"/>
    <w:basedOn w:val="Normal"/>
    <w:uiPriority w:val="34"/>
    <w:qFormat/>
    <w:rsid w:val="00E75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Nouf Alzaid</cp:lastModifiedBy>
  <cp:revision>8</cp:revision>
  <dcterms:created xsi:type="dcterms:W3CDTF">2019-09-23T08:43:00Z</dcterms:created>
  <dcterms:modified xsi:type="dcterms:W3CDTF">2019-09-23T09:47:00Z</dcterms:modified>
</cp:coreProperties>
</file>