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F4875" w:rsidRPr="00D6664A">
      <w:pPr>
        <w:rPr>
          <w:rFonts w:ascii="Times New Roman" w:hAnsi="Times New Roman"/>
          <w:sz w:val="24"/>
          <w:szCs w:val="24"/>
        </w:rPr>
      </w:pPr>
    </w:p>
    <w:p w:rsidR="003B380B" w:rsidRPr="00D6664A">
      <w:pP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spacing w:after="0"/>
        <w:jc w:val="center"/>
        <w:rPr>
          <w:rFonts w:ascii="Times New Roman" w:hAnsi="Times New Roman"/>
          <w:sz w:val="24"/>
          <w:szCs w:val="24"/>
        </w:rPr>
      </w:pPr>
      <w:r w:rsidRPr="00FD65D9">
        <w:rPr>
          <w:rFonts w:ascii="Times New Roman" w:hAnsi="Times New Roman"/>
          <w:sz w:val="24"/>
          <w:szCs w:val="24"/>
          <w:highlight w:val="yellow"/>
        </w:rPr>
        <w:t>Comparative Analysis Paper</w:t>
      </w: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spacing w:after="0"/>
        <w:jc w:val="center"/>
        <w:rPr>
          <w:rFonts w:ascii="Times New Roman" w:hAnsi="Times New Roman"/>
          <w:sz w:val="24"/>
          <w:szCs w:val="24"/>
        </w:rPr>
      </w:pPr>
      <w:r w:rsidRPr="00FD65D9">
        <w:rPr>
          <w:rFonts w:ascii="Times New Roman" w:hAnsi="Times New Roman"/>
          <w:sz w:val="24"/>
          <w:szCs w:val="24"/>
          <w:highlight w:val="cyan"/>
        </w:rPr>
        <w:t xml:space="preserve">Enter </w:t>
      </w:r>
      <w:r w:rsidRPr="00FD65D9">
        <w:rPr>
          <w:rFonts w:ascii="Times New Roman" w:hAnsi="Times New Roman"/>
          <w:sz w:val="24"/>
          <w:szCs w:val="24"/>
          <w:highlight w:val="cyan"/>
        </w:rPr>
        <w:t>Your Name here</w:t>
      </w:r>
    </w:p>
    <w:p w:rsidR="00CF4875" w:rsidRPr="00D6664A" w:rsidP="00CF4875">
      <w:pPr>
        <w:spacing w:after="0"/>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jc w:val="center"/>
        <w:rPr>
          <w:rFonts w:ascii="Times New Roman" w:hAnsi="Times New Roman"/>
          <w:sz w:val="24"/>
          <w:szCs w:val="24"/>
        </w:rPr>
      </w:pPr>
    </w:p>
    <w:p w:rsidR="00CF4875" w:rsidRPr="00D6664A" w:rsidP="00CF4875">
      <w:pPr>
        <w:spacing w:after="0"/>
        <w:jc w:val="center"/>
        <w:rPr>
          <w:rFonts w:ascii="Times New Roman" w:hAnsi="Times New Roman"/>
          <w:sz w:val="24"/>
          <w:szCs w:val="24"/>
        </w:rPr>
      </w:pPr>
      <w:r w:rsidRPr="00FD65D9">
        <w:rPr>
          <w:rFonts w:ascii="Times New Roman" w:hAnsi="Times New Roman"/>
          <w:sz w:val="24"/>
          <w:szCs w:val="24"/>
          <w:highlight w:val="cyan"/>
        </w:rPr>
        <w:t>Date Here</w:t>
      </w:r>
    </w:p>
    <w:p w:rsidR="00CF4875" w:rsidRPr="00D6664A" w:rsidP="00CF4875">
      <w:pPr>
        <w:spacing w:after="0"/>
        <w:jc w:val="center"/>
        <w:rPr>
          <w:rFonts w:ascii="Times New Roman" w:hAnsi="Times New Roman"/>
          <w:sz w:val="24"/>
          <w:szCs w:val="24"/>
        </w:rPr>
      </w:pPr>
    </w:p>
    <w:p w:rsidR="00962ABF" w:rsidRPr="00D6664A"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rsidR="00D6664A" w:rsidP="00FD65D9">
      <w:pPr>
        <w:pStyle w:val="Title"/>
        <w:jc w:val="center"/>
        <w:rPr>
          <w:rFonts w:ascii="Times New Roman" w:hAnsi="Times New Roman" w:cs="Times New Roman"/>
          <w:b/>
          <w:sz w:val="24"/>
          <w:szCs w:val="24"/>
        </w:rPr>
      </w:pPr>
      <w:r w:rsidRPr="00FD65D9">
        <w:rPr>
          <w:rFonts w:ascii="Times New Roman" w:hAnsi="Times New Roman" w:cs="Times New Roman"/>
          <w:b/>
          <w:sz w:val="24"/>
          <w:szCs w:val="24"/>
        </w:rPr>
        <w:t>Comparative Analysis Paper</w:t>
      </w:r>
    </w:p>
    <w:p w:rsidR="00FD65D9" w:rsidP="00B46710">
      <w:pPr>
        <w:pStyle w:val="Heading1"/>
        <w:spacing w:after="240"/>
        <w:rPr>
          <w:rFonts w:ascii="Times New Roman" w:hAnsi="Times New Roman" w:cs="Times New Roman"/>
          <w:i/>
          <w:sz w:val="24"/>
          <w:szCs w:val="24"/>
        </w:rPr>
      </w:pPr>
      <w:r w:rsidRPr="00B46710">
        <w:rPr>
          <w:rFonts w:ascii="Times New Roman" w:hAnsi="Times New Roman" w:cs="Times New Roman"/>
          <w:i/>
          <w:color w:val="auto"/>
          <w:sz w:val="24"/>
          <w:szCs w:val="24"/>
        </w:rPr>
        <w:t>Introduction:</w:t>
      </w:r>
      <w:r w:rsidRPr="00B46710">
        <w:rPr>
          <w:rFonts w:ascii="Times New Roman" w:hAnsi="Times New Roman" w:cs="Times New Roman"/>
          <w:i/>
          <w:sz w:val="24"/>
          <w:szCs w:val="24"/>
        </w:rPr>
        <w:t xml:space="preserve"> </w:t>
      </w:r>
    </w:p>
    <w:p w:rsidR="00B46710" w:rsidP="00A11907">
      <w:pPr>
        <w:spacing w:after="240" w:line="480" w:lineRule="auto"/>
        <w:jc w:val="both"/>
        <w:rPr>
          <w:rFonts w:ascii="Times New Roman" w:hAnsi="Times New Roman"/>
          <w:sz w:val="24"/>
          <w:szCs w:val="24"/>
        </w:rPr>
      </w:pPr>
      <w:r w:rsidRPr="00B46710">
        <w:rPr>
          <w:rFonts w:ascii="Times New Roman" w:hAnsi="Times New Roman"/>
          <w:sz w:val="24"/>
          <w:szCs w:val="24"/>
        </w:rPr>
        <w:t>This comparative analysis paper will present to the readers, an in-depth contrast and comparative</w:t>
      </w:r>
      <w:r>
        <w:rPr>
          <w:rFonts w:ascii="Times New Roman" w:hAnsi="Times New Roman"/>
          <w:sz w:val="24"/>
          <w:szCs w:val="24"/>
        </w:rPr>
        <w:t xml:space="preserve"> analysis on two famous pieces of artworks. The essay will compare the small artistic piece of Harvester Vase with the artwork known as Geometric Krater. A general view of both the artworks </w:t>
      </w:r>
      <w:r w:rsidR="00C50B3D">
        <w:rPr>
          <w:rFonts w:ascii="Times New Roman" w:hAnsi="Times New Roman"/>
          <w:sz w:val="24"/>
          <w:szCs w:val="24"/>
        </w:rPr>
        <w:t>presents pottery sense of arts. Pedley suggests that although pottery art could break into minor pieces, they could be removed from the archeological records</w:t>
      </w:r>
      <w:r>
        <w:rPr>
          <w:rStyle w:val="FootnoteReference"/>
          <w:rFonts w:ascii="Times New Roman" w:hAnsi="Times New Roman"/>
          <w:sz w:val="24"/>
          <w:szCs w:val="24"/>
        </w:rPr>
        <w:footnoteReference w:id="2"/>
      </w:r>
      <w:r w:rsidR="00C50B3D">
        <w:rPr>
          <w:rFonts w:ascii="Times New Roman" w:hAnsi="Times New Roman"/>
          <w:sz w:val="24"/>
          <w:szCs w:val="24"/>
        </w:rPr>
        <w:t>. He also suggests that the pottery artwork enables the researchers to search the historical monuments, rethink about the nature and locale of the site</w:t>
      </w:r>
      <w:r>
        <w:rPr>
          <w:rStyle w:val="FootnoteReference"/>
          <w:rFonts w:ascii="Times New Roman" w:hAnsi="Times New Roman"/>
          <w:sz w:val="24"/>
          <w:szCs w:val="24"/>
        </w:rPr>
        <w:footnoteReference w:id="3"/>
      </w:r>
      <w:r w:rsidR="00C50B3D">
        <w:rPr>
          <w:rFonts w:ascii="Times New Roman" w:hAnsi="Times New Roman"/>
          <w:sz w:val="24"/>
          <w:szCs w:val="24"/>
        </w:rPr>
        <w:t>. Pottery art also helps in studying the religion, the culture, the way of living and about society in general. As there have been proofs that in ancient Greece, people would make the pottery art just to make their belongings distinguished from each other. 
</w:t>
      </w:r>
    </w:p>
    <w:p w:rsidR="00C50B3D" w:rsidP="00B3776B">
      <w:pPr>
        <w:spacing w:after="240" w:line="480" w:lineRule="auto"/>
        <w:ind w:firstLine="720"/>
        <w:rPr>
          <w:rFonts w:ascii="Times New Roman" w:hAnsi="Times New Roman"/>
          <w:sz w:val="24"/>
          <w:szCs w:val="24"/>
        </w:rPr>
      </w:pPr>
      <w:r>
        <w:rPr>
          <w:rFonts w:ascii="Times New Roman" w:hAnsi="Times New Roman"/>
          <w:sz w:val="24"/>
          <w:szCs w:val="24"/>
        </w:rPr>
        <w:t xml:space="preserve">Harvester Vase that has been found around Hagia Triada, dates back to 1500 B.C.E. this pottery artwork displays the pictures of men marching, which many believe to be the harvest celebrations. The Harvester Vase is a small piece of art that is around 4.5 inches in diameter and is made in the shape of a vessel. The other artwork that will be compared with the Harvester Vase is the Geometric Krater. This Geometric Krater had its traces in the </w:t>
      </w:r>
      <w:r w:rsidR="00580B3B">
        <w:rPr>
          <w:rFonts w:ascii="Times New Roman" w:hAnsi="Times New Roman"/>
          <w:sz w:val="24"/>
          <w:szCs w:val="24"/>
        </w:rPr>
        <w:t>Dipylon cemetery</w:t>
      </w:r>
      <w:r w:rsidR="00334555">
        <w:rPr>
          <w:rFonts w:ascii="Times New Roman" w:hAnsi="Times New Roman"/>
          <w:sz w:val="24"/>
          <w:szCs w:val="24"/>
        </w:rPr>
        <w:t>. This artwork is important to analyze the development of various geometric and linear style artworks. This artwork dates back to 740 B.C in Athens. This had been used to mark the graves and stands at around three and a half feet high from the ground. 
</w:t>
      </w:r>
    </w:p>
    <w:p w:rsidR="00B3776B" w:rsidP="00B3776B">
      <w:pPr>
        <w:pStyle w:val="Heading2"/>
        <w:rPr>
          <w:rFonts w:ascii="Times New Roman" w:hAnsi="Times New Roman" w:cs="Times New Roman"/>
          <w:color w:val="auto"/>
          <w:sz w:val="24"/>
          <w:szCs w:val="24"/>
        </w:rPr>
      </w:pPr>
      <w:r w:rsidRPr="00B3776B">
        <w:rPr>
          <w:rFonts w:ascii="Times New Roman" w:hAnsi="Times New Roman" w:cs="Times New Roman"/>
          <w:color w:val="auto"/>
          <w:sz w:val="24"/>
          <w:szCs w:val="24"/>
        </w:rPr>
        <w:t xml:space="preserve">Thesis statement: </w:t>
      </w:r>
    </w:p>
    <w:p w:rsidR="00B3776B" w:rsidRPr="00A11907" w:rsidP="00A11907">
      <w:pPr>
        <w:spacing w:before="240" w:line="480" w:lineRule="auto"/>
        <w:jc w:val="both"/>
        <w:rPr>
          <w:rFonts w:ascii="Times New Roman" w:hAnsi="Times New Roman"/>
          <w:i/>
          <w:sz w:val="24"/>
          <w:szCs w:val="24"/>
        </w:rPr>
      </w:pPr>
      <w:r w:rsidRPr="00A11907">
        <w:rPr>
          <w:rFonts w:ascii="Times New Roman" w:hAnsi="Times New Roman"/>
          <w:i/>
          <w:sz w:val="24"/>
          <w:szCs w:val="24"/>
        </w:rPr>
        <w:t xml:space="preserve">Both the pieces of art are developed in the linear shapes and remains significant for analyzing the sociocultural history of the time they belong. Harvester Vase illustrates the joy and celebrations, whereas the Geometric Krater is a sign of </w:t>
      </w:r>
      <w:r w:rsidRPr="00A11907" w:rsidR="002D0B65">
        <w:rPr>
          <w:rFonts w:ascii="Times New Roman" w:hAnsi="Times New Roman"/>
          <w:i/>
          <w:sz w:val="24"/>
          <w:szCs w:val="24"/>
        </w:rPr>
        <w:t xml:space="preserve">displeasure and discomfort. </w:t>
      </w:r>
      <w:r w:rsidRPr="00A11907">
        <w:rPr>
          <w:rFonts w:ascii="Times New Roman" w:hAnsi="Times New Roman"/>
          <w:i/>
          <w:sz w:val="24"/>
          <w:szCs w:val="24"/>
        </w:rPr>
        <w:t xml:space="preserve"> </w:t>
      </w:r>
    </w:p>
    <w:p w:rsidR="002D0B65" w:rsidP="002D0B65">
      <w:pPr>
        <w:spacing w:before="240" w:line="480" w:lineRule="auto"/>
        <w:ind w:firstLine="720"/>
        <w:jc w:val="both"/>
        <w:rPr>
          <w:rFonts w:ascii="Times New Roman" w:hAnsi="Times New Roman"/>
          <w:sz w:val="24"/>
          <w:szCs w:val="24"/>
        </w:rPr>
      </w:pPr>
      <w:r>
        <w:rPr>
          <w:rFonts w:ascii="Times New Roman" w:hAnsi="Times New Roman"/>
          <w:sz w:val="24"/>
          <w:szCs w:val="24"/>
        </w:rPr>
        <w:t>In both the artworks, the elements of art and the principles of designs are similar in many ways. Both artworks are linear in shape, they form a three-dimensional shape and they cover around the similar spaces. The values attached to them are different, one depicts joy, and the other depicts pain and discomforts of death.  
</w:t>
      </w:r>
    </w:p>
    <w:p w:rsidR="004D458C" w:rsidP="004D458C">
      <w:pPr>
        <w:pStyle w:val="Heading1"/>
        <w:rPr>
          <w:rFonts w:ascii="Times New Roman" w:hAnsi="Times New Roman" w:cs="Times New Roman"/>
          <w:i/>
          <w:color w:val="auto"/>
          <w:sz w:val="24"/>
          <w:szCs w:val="24"/>
        </w:rPr>
      </w:pPr>
      <w:r w:rsidRPr="004D458C">
        <w:rPr>
          <w:rFonts w:ascii="Times New Roman" w:hAnsi="Times New Roman" w:cs="Times New Roman"/>
          <w:i/>
          <w:color w:val="auto"/>
          <w:sz w:val="24"/>
          <w:szCs w:val="24"/>
        </w:rPr>
        <w:t xml:space="preserve">Body/ Analysis: </w:t>
      </w:r>
    </w:p>
    <w:p w:rsidR="002A7B64" w:rsidP="002A7B64">
      <w:pPr>
        <w:spacing w:before="240" w:line="480" w:lineRule="auto"/>
        <w:jc w:val="both"/>
        <w:rPr>
          <w:rFonts w:ascii="Times New Roman" w:hAnsi="Times New Roman"/>
          <w:sz w:val="24"/>
          <w:szCs w:val="24"/>
        </w:rPr>
      </w:pPr>
      <w:r>
        <w:rPr>
          <w:rFonts w:ascii="Times New Roman" w:hAnsi="Times New Roman"/>
          <w:sz w:val="24"/>
          <w:szCs w:val="24"/>
        </w:rPr>
        <w:t xml:space="preserve">The subjects of both artworks remain </w:t>
      </w:r>
      <w:r w:rsidR="00DF0BE0">
        <w:rPr>
          <w:rFonts w:ascii="Times New Roman" w:hAnsi="Times New Roman"/>
          <w:sz w:val="24"/>
          <w:szCs w:val="24"/>
        </w:rPr>
        <w:t xml:space="preserve">totally different. The Harvester Vase from the 1500 B.C.E depicts the time of joy during the times of harvesting. The artwork over the Vase suggests the socio-culture feelings of the people form Triada, which use the artworks to depict the times of joy. Therefore, the harvesting march has been portrayed over the vase. The </w:t>
      </w:r>
      <w:r w:rsidR="00AC250B">
        <w:rPr>
          <w:rFonts w:ascii="Times New Roman" w:hAnsi="Times New Roman"/>
          <w:sz w:val="24"/>
          <w:szCs w:val="24"/>
        </w:rPr>
        <w:t xml:space="preserve">Geometric Krater on other side is different to what vase has to offer. Since its traces were found in the Dipylon cemetery, therefore this suggests that </w:t>
      </w:r>
      <w:r>
        <w:rPr>
          <w:rFonts w:ascii="Times New Roman" w:hAnsi="Times New Roman"/>
          <w:sz w:val="24"/>
          <w:szCs w:val="24"/>
        </w:rPr>
        <w:t xml:space="preserve">it has more to do with the time of deaths and despair. Both, however, appears similar in composition. In both the artworks, the shape </w:t>
      </w:r>
      <w:r w:rsidR="000A4017">
        <w:rPr>
          <w:rFonts w:ascii="Times New Roman" w:hAnsi="Times New Roman"/>
          <w:sz w:val="24"/>
          <w:szCs w:val="24"/>
        </w:rPr>
        <w:t xml:space="preserve">has been kept linear and a body expanding from the tip to foot remains </w:t>
      </w:r>
      <w:r w:rsidR="008B5CD0">
        <w:rPr>
          <w:rFonts w:ascii="Times New Roman" w:hAnsi="Times New Roman"/>
          <w:sz w:val="24"/>
          <w:szCs w:val="24"/>
        </w:rPr>
        <w:t xml:space="preserve">visible. The Krater was different compared to Vase, as they were normally around forty inches in height.  The sense of pragmatism remained visible in Krater, whereas Vase could be attributed to dynamism. The shape of vase suggests that it might also be used to mix some kinds of liquors to be presented on the occasions of joy. </w:t>
      </w:r>
      <w:r w:rsidR="00C3149C">
        <w:rPr>
          <w:rFonts w:ascii="Times New Roman" w:hAnsi="Times New Roman"/>
          <w:sz w:val="24"/>
          <w:szCs w:val="24"/>
        </w:rPr>
        <w:t xml:space="preserve">In both of the artworks, it also remains visible that specific feelings have been attributed to them. The reason remains their traces, which are significant to feel what they could have symbolized. The Vase also </w:t>
      </w:r>
      <w:r w:rsidR="00C3149C">
        <w:rPr>
          <w:rFonts w:ascii="Times New Roman" w:hAnsi="Times New Roman"/>
          <w:sz w:val="24"/>
          <w:szCs w:val="24"/>
        </w:rPr>
        <w:t>has some drawings over it, which are important to analyze how the times of fascination were used to spend in Triada. 
</w:t>
      </w:r>
    </w:p>
    <w:p w:rsidR="00FA2C0C" w:rsidP="00FA2C0C">
      <w:pPr>
        <w:spacing w:before="240" w:line="480" w:lineRule="auto"/>
        <w:ind w:firstLine="720"/>
        <w:jc w:val="both"/>
        <w:rPr>
          <w:rStyle w:val="Heading1Char"/>
          <w:rFonts w:ascii="Times New Roman" w:hAnsi="Times New Roman" w:cs="Times New Roman"/>
          <w:i/>
          <w:color w:val="auto"/>
          <w:sz w:val="24"/>
          <w:szCs w:val="24"/>
        </w:rPr>
      </w:pPr>
      <w:r>
        <w:rPr>
          <w:rFonts w:ascii="Times New Roman" w:hAnsi="Times New Roman"/>
          <w:sz w:val="24"/>
          <w:szCs w:val="24"/>
        </w:rPr>
        <w:t xml:space="preserve">There is one interesting thing in considering the </w:t>
      </w:r>
      <w:r w:rsidR="0010196F">
        <w:rPr>
          <w:rFonts w:ascii="Times New Roman" w:hAnsi="Times New Roman"/>
          <w:sz w:val="24"/>
          <w:szCs w:val="24"/>
        </w:rPr>
        <w:t xml:space="preserve">outlook of both the artworks. Neither of the artwork presents a natural feeling. For example, the Vase could be attributed to the human nature of enjoyment and lavishness, on other side Krater had been used to symbolize the dead ones. The instincts they had been portraying are natural but the material in the worldly sense. A thorough comparison of both these suggests that both the artwork were manufactured considering the linear nature of art and a bit curved. Their contrast could be explained based on their physical appearances at places which are more than enough to get know about their traces. </w:t>
      </w:r>
      <w:r w:rsidR="00D72AB0">
        <w:rPr>
          <w:rFonts w:ascii="Times New Roman" w:hAnsi="Times New Roman"/>
          <w:sz w:val="24"/>
          <w:szCs w:val="24"/>
        </w:rPr>
        <w:t xml:space="preserve">The space in Vase appears like inward and that of the egg-shaped, compared to Krater. Krater had employed certain other shape reflections, for example, somewhere the Krater has remained much elongated and some employed the diagonal surfaces. Coldstream argues that Vase and Karter </w:t>
      </w:r>
      <w:r w:rsidR="004F121F">
        <w:rPr>
          <w:rFonts w:ascii="Times New Roman" w:hAnsi="Times New Roman"/>
          <w:sz w:val="24"/>
          <w:szCs w:val="24"/>
        </w:rPr>
        <w:t>could have been compared based on the physical attributions and they do not share any tangible attires in their shapes</w:t>
      </w:r>
      <w:r>
        <w:rPr>
          <w:rStyle w:val="FootnoteReference"/>
          <w:rFonts w:ascii="Times New Roman" w:hAnsi="Times New Roman"/>
          <w:sz w:val="24"/>
          <w:szCs w:val="24"/>
        </w:rPr>
        <w:footnoteReference w:id="4"/>
      </w:r>
      <w:r w:rsidR="004F121F">
        <w:rPr>
          <w:rFonts w:ascii="Times New Roman" w:hAnsi="Times New Roman"/>
          <w:sz w:val="24"/>
          <w:szCs w:val="24"/>
        </w:rPr>
        <w:t>. Similarly, there remain many different attributes on which they could have been compared. For example, Brann suggest that the color and shape of various pottery artwork remained alike to that of the color in which they were found, similarly the shapes have often found to be much distorted which makes it difficult for the analysts to study them clearly</w:t>
      </w:r>
      <w:r>
        <w:rPr>
          <w:rStyle w:val="FootnoteReference"/>
          <w:rFonts w:ascii="Times New Roman" w:hAnsi="Times New Roman"/>
          <w:sz w:val="24"/>
          <w:szCs w:val="24"/>
        </w:rPr>
        <w:footnoteReference w:id="5"/>
      </w:r>
      <w:r w:rsidR="004F121F">
        <w:rPr>
          <w:rFonts w:ascii="Times New Roman" w:hAnsi="Times New Roman"/>
          <w:sz w:val="24"/>
          <w:szCs w:val="24"/>
        </w:rPr>
        <w:t xml:space="preserve">. </w:t>
      </w:r>
      <w:r w:rsidRPr="00FA2C0C" w:rsidR="004F121F">
        <w:rPr>
          <w:rStyle w:val="Heading1Char"/>
          <w:rFonts w:ascii="Times New Roman" w:hAnsi="Times New Roman" w:cs="Times New Roman"/>
          <w:i/>
          <w:color w:val="auto"/>
          <w:sz w:val="24"/>
          <w:szCs w:val="24"/>
        </w:rPr>
        <w:t>Conclusion:</w:t>
      </w:r>
    </w:p>
    <w:p w:rsidR="001A0016" w:rsidP="001A0016">
      <w:pPr>
        <w:spacing w:before="240" w:line="480" w:lineRule="auto"/>
        <w:ind w:firstLine="720"/>
        <w:jc w:val="both"/>
        <w:rPr>
          <w:rStyle w:val="Heading1Char"/>
          <w:rFonts w:ascii="Times New Roman" w:hAnsi="Times New Roman" w:cs="Times New Roman"/>
          <w:color w:val="auto"/>
          <w:sz w:val="24"/>
          <w:szCs w:val="24"/>
        </w:rPr>
      </w:pPr>
      <w:r w:rsidRPr="003264AC">
        <w:rPr>
          <w:rStyle w:val="Heading1Char"/>
          <w:rFonts w:ascii="Times New Roman" w:hAnsi="Times New Roman" w:cs="Times New Roman"/>
          <w:color w:val="auto"/>
          <w:sz w:val="24"/>
          <w:szCs w:val="24"/>
        </w:rPr>
        <w:t xml:space="preserve">The comparative and contrast analysis that has been completed over the two historical pottery art suggests that pottery art had remained many attributives toward the socio-cultural </w:t>
      </w:r>
      <w:r w:rsidRPr="003264AC">
        <w:rPr>
          <w:rStyle w:val="Heading1Char"/>
          <w:rFonts w:ascii="Times New Roman" w:hAnsi="Times New Roman" w:cs="Times New Roman"/>
          <w:color w:val="auto"/>
          <w:sz w:val="24"/>
          <w:szCs w:val="24"/>
        </w:rPr>
        <w:t xml:space="preserve">significance. </w:t>
      </w:r>
      <w:r w:rsidRPr="003264AC" w:rsidR="00D708F3">
        <w:rPr>
          <w:rStyle w:val="Heading1Char"/>
          <w:rFonts w:ascii="Times New Roman" w:hAnsi="Times New Roman" w:cs="Times New Roman"/>
          <w:color w:val="auto"/>
          <w:sz w:val="24"/>
          <w:szCs w:val="24"/>
        </w:rPr>
        <w:t>For</w:t>
      </w:r>
      <w:r w:rsidRPr="003264AC">
        <w:rPr>
          <w:rStyle w:val="Heading1Char"/>
          <w:rFonts w:ascii="Times New Roman" w:hAnsi="Times New Roman" w:cs="Times New Roman"/>
          <w:color w:val="auto"/>
          <w:sz w:val="24"/>
          <w:szCs w:val="24"/>
        </w:rPr>
        <w:t xml:space="preserve"> both, the artworks there had remained some feelings attached which shows that they were </w:t>
      </w:r>
      <w:r w:rsidRPr="003264AC" w:rsidR="00D708F3">
        <w:rPr>
          <w:rStyle w:val="Heading1Char"/>
          <w:rFonts w:ascii="Times New Roman" w:hAnsi="Times New Roman" w:cs="Times New Roman"/>
          <w:color w:val="auto"/>
          <w:sz w:val="24"/>
          <w:szCs w:val="24"/>
        </w:rPr>
        <w:t xml:space="preserve">created in some certain kind of settings. The vase could have been used for mixing of the liquors that were taken by some young adult males of that time. Similarly, the Karter was based in cemetery which shows that they had some dead </w:t>
      </w:r>
      <w:r w:rsidRPr="003264AC" w:rsidR="00895511">
        <w:rPr>
          <w:rStyle w:val="Heading1Char"/>
          <w:rFonts w:ascii="Times New Roman" w:hAnsi="Times New Roman" w:cs="Times New Roman"/>
          <w:color w:val="auto"/>
          <w:sz w:val="24"/>
          <w:szCs w:val="24"/>
        </w:rPr>
        <w:t xml:space="preserve">souls beneath </w:t>
      </w:r>
      <w:r w:rsidR="003264AC">
        <w:rPr>
          <w:rStyle w:val="Heading1Char"/>
          <w:rFonts w:ascii="Times New Roman" w:hAnsi="Times New Roman" w:cs="Times New Roman"/>
          <w:color w:val="auto"/>
          <w:sz w:val="24"/>
          <w:szCs w:val="24"/>
        </w:rPr>
        <w:t xml:space="preserve">them. Since they have also been related much too geometrical sense of drawings, therefore there remain some comparisons in this sense of drawings. </w:t>
      </w:r>
      <w:r>
        <w:rPr>
          <w:rStyle w:val="Heading1Char"/>
          <w:rFonts w:ascii="Times New Roman" w:hAnsi="Times New Roman" w:cs="Times New Roman"/>
          <w:color w:val="auto"/>
          <w:sz w:val="24"/>
          <w:szCs w:val="24"/>
        </w:rPr>
        <w:t>The pottery work from the time periods of the above-mentioned artwork suggests during that during eras, human consciousness remained primary in creating arts. 
</w:t>
      </w:r>
    </w:p>
    <w:p w:rsidR="001A0016" w:rsidP="006E53A5">
      <w:pPr>
        <w:spacing w:after="0" w:line="240" w:lineRule="auto"/>
        <w:jc w:val="center"/>
        <w:rPr>
          <w:rStyle w:val="Heading1Char"/>
          <w:rFonts w:ascii="Times New Roman" w:hAnsi="Times New Roman" w:cs="Times New Roman"/>
          <w:color w:val="auto"/>
          <w:sz w:val="24"/>
          <w:szCs w:val="24"/>
        </w:rPr>
      </w:pPr>
      <w:r>
        <w:rPr>
          <w:rStyle w:val="Heading1Char"/>
          <w:rFonts w:ascii="Times New Roman" w:hAnsi="Times New Roman" w:cs="Times New Roman"/>
          <w:color w:val="auto"/>
          <w:sz w:val="24"/>
          <w:szCs w:val="24"/>
        </w:rPr>
        <w:br w:type="page"/>
      </w:r>
    </w:p>
    <w:p w:rsidR="001A0016" w:rsidRPr="003264AC" w:rsidP="006E53A5">
      <w:pPr>
        <w:pStyle w:val="Heading1"/>
        <w:jc w:val="center"/>
        <w:rPr>
          <w:rStyle w:val="Heading1Char"/>
          <w:rFonts w:ascii="Times New Roman" w:hAnsi="Times New Roman" w:cs="Times New Roman"/>
          <w:color w:val="auto"/>
          <w:sz w:val="24"/>
          <w:szCs w:val="24"/>
        </w:rPr>
      </w:pPr>
      <w:r>
        <w:rPr>
          <w:rStyle w:val="Heading1Char"/>
          <w:rFonts w:ascii="Times New Roman" w:hAnsi="Times New Roman" w:cs="Times New Roman"/>
          <w:color w:val="auto"/>
          <w:sz w:val="24"/>
          <w:szCs w:val="24"/>
        </w:rPr>
        <w:t>References:</w:t>
      </w:r>
    </w:p>
    <w:p w:rsidR="006E53A5" w:rsidRPr="006E53A5" w:rsidP="006E53A5">
      <w:pPr>
        <w:pStyle w:val="Bibliography"/>
        <w:spacing w:line="480" w:lineRule="auto"/>
        <w:rPr>
          <w:rFonts w:ascii="Times New Roman" w:hAnsi="Times New Roman"/>
          <w:sz w:val="24"/>
          <w:szCs w:val="24"/>
        </w:rPr>
      </w:pPr>
      <w:r w:rsidRPr="006E53A5">
        <w:rPr>
          <w:rFonts w:ascii="Times New Roman" w:hAnsi="Times New Roman"/>
          <w:sz w:val="24"/>
          <w:szCs w:val="24"/>
        </w:rPr>
        <w:fldChar w:fldCharType="begin"/>
      </w:r>
      <w:r w:rsidRPr="006E53A5">
        <w:rPr>
          <w:rFonts w:ascii="Times New Roman" w:hAnsi="Times New Roman"/>
          <w:sz w:val="24"/>
          <w:szCs w:val="24"/>
        </w:rPr>
        <w:instrText xml:space="preserve"> ADDIN ZOTERO_BIBL {"uncited":[],"omitted":[],"custom":[]} CSL_BIBLIOGRAPHY </w:instrText>
      </w:r>
      <w:r w:rsidRPr="006E53A5">
        <w:rPr>
          <w:rFonts w:ascii="Times New Roman" w:hAnsi="Times New Roman"/>
          <w:sz w:val="24"/>
          <w:szCs w:val="24"/>
        </w:rPr>
        <w:fldChar w:fldCharType="separate"/>
      </w:r>
      <w:r w:rsidRPr="006E53A5">
        <w:rPr>
          <w:rFonts w:ascii="Times New Roman" w:hAnsi="Times New Roman"/>
          <w:sz w:val="24"/>
          <w:szCs w:val="24"/>
        </w:rPr>
        <w:t xml:space="preserve">Brann, Eva. “Late Geometric Well Groups from the Athenian Agora.” </w:t>
      </w:r>
      <w:r w:rsidRPr="006E53A5">
        <w:rPr>
          <w:rFonts w:ascii="Times New Roman" w:hAnsi="Times New Roman"/>
          <w:i/>
          <w:iCs/>
          <w:sz w:val="24"/>
          <w:szCs w:val="24"/>
        </w:rPr>
        <w:t>Hesperia: The Journal of the American School of Classical Studies at Athens</w:t>
      </w:r>
      <w:r w:rsidRPr="006E53A5">
        <w:rPr>
          <w:rFonts w:ascii="Times New Roman" w:hAnsi="Times New Roman"/>
          <w:sz w:val="24"/>
          <w:szCs w:val="24"/>
        </w:rPr>
        <w:t xml:space="preserve"> 30, no. 2 (1961): 93–146.</w:t>
      </w:r>
    </w:p>
    <w:p w:rsidR="006E53A5" w:rsidRPr="006E53A5" w:rsidP="006E53A5">
      <w:pPr>
        <w:pStyle w:val="Bibliography"/>
        <w:spacing w:line="480" w:lineRule="auto"/>
        <w:rPr>
          <w:rFonts w:ascii="Times New Roman" w:hAnsi="Times New Roman"/>
          <w:sz w:val="24"/>
          <w:szCs w:val="24"/>
        </w:rPr>
      </w:pPr>
      <w:r w:rsidRPr="006E53A5">
        <w:rPr>
          <w:rFonts w:ascii="Times New Roman" w:hAnsi="Times New Roman"/>
          <w:sz w:val="24"/>
          <w:szCs w:val="24"/>
        </w:rPr>
        <w:t xml:space="preserve">Coldstream, J. N. “Knossos 1951-61: </w:t>
      </w:r>
      <w:r w:rsidRPr="006E53A5">
        <w:rPr>
          <w:rFonts w:ascii="Times New Roman" w:hAnsi="Times New Roman"/>
          <w:sz w:val="24"/>
          <w:szCs w:val="24"/>
        </w:rPr>
        <w:t>Protogeometric</w:t>
      </w:r>
      <w:r w:rsidRPr="006E53A5">
        <w:rPr>
          <w:rFonts w:ascii="Times New Roman" w:hAnsi="Times New Roman"/>
          <w:sz w:val="24"/>
          <w:szCs w:val="24"/>
        </w:rPr>
        <w:t xml:space="preserve"> and Geometric Pottery from the Town.” </w:t>
      </w:r>
      <w:r w:rsidRPr="006E53A5">
        <w:rPr>
          <w:rFonts w:ascii="Times New Roman" w:hAnsi="Times New Roman"/>
          <w:i/>
          <w:iCs/>
          <w:sz w:val="24"/>
          <w:szCs w:val="24"/>
        </w:rPr>
        <w:t>The Annual of the British School at Athens</w:t>
      </w:r>
      <w:r w:rsidRPr="006E53A5">
        <w:rPr>
          <w:rFonts w:ascii="Times New Roman" w:hAnsi="Times New Roman"/>
          <w:sz w:val="24"/>
          <w:szCs w:val="24"/>
        </w:rPr>
        <w:t xml:space="preserve"> 67 (1972): 63–98.</w:t>
      </w:r>
    </w:p>
    <w:p w:rsidR="006E53A5" w:rsidRPr="006E53A5" w:rsidP="006E53A5">
      <w:pPr>
        <w:pStyle w:val="Bibliography"/>
        <w:spacing w:line="480" w:lineRule="auto"/>
        <w:rPr>
          <w:rFonts w:ascii="Times New Roman" w:hAnsi="Times New Roman"/>
          <w:sz w:val="24"/>
          <w:szCs w:val="24"/>
        </w:rPr>
      </w:pPr>
      <w:r w:rsidRPr="006E53A5">
        <w:rPr>
          <w:rFonts w:ascii="Times New Roman" w:hAnsi="Times New Roman"/>
          <w:sz w:val="24"/>
          <w:szCs w:val="24"/>
        </w:rPr>
        <w:t xml:space="preserve">Pedley, John Griffiths. </w:t>
      </w:r>
      <w:r w:rsidRPr="006E53A5">
        <w:rPr>
          <w:rFonts w:ascii="Times New Roman" w:hAnsi="Times New Roman"/>
          <w:i/>
          <w:iCs/>
          <w:sz w:val="24"/>
          <w:szCs w:val="24"/>
        </w:rPr>
        <w:t>Greek Art and Archaeology</w:t>
      </w:r>
      <w:r w:rsidRPr="006E53A5">
        <w:rPr>
          <w:rFonts w:ascii="Times New Roman" w:hAnsi="Times New Roman"/>
          <w:sz w:val="24"/>
          <w:szCs w:val="24"/>
        </w:rPr>
        <w:t>. Prentice Hall, 1993.</w:t>
      </w:r>
      <w:bookmarkStart w:id="0" w:name="_GoBack"/>
      <w:bookmarkEnd w:id="0"/>
    </w:p>
    <w:p w:rsidR="00FA2C0C" w:rsidRPr="00FA2C0C" w:rsidP="006E53A5">
      <w:pPr>
        <w:spacing w:before="240" w:line="480" w:lineRule="auto"/>
        <w:ind w:firstLine="720"/>
        <w:jc w:val="both"/>
        <w:rPr>
          <w:rFonts w:ascii="Times New Roman" w:hAnsi="Times New Roman"/>
          <w:sz w:val="24"/>
          <w:szCs w:val="24"/>
        </w:rPr>
      </w:pPr>
      <w:r w:rsidRPr="006E53A5">
        <w:rPr>
          <w:rFonts w:ascii="Times New Roman" w:hAnsi="Times New Roman"/>
          <w:sz w:val="24"/>
          <w:szCs w:val="24"/>
        </w:rPr>
        <w:fldChar w:fldCharType="end"/>
      </w:r>
    </w:p>
    <w:p w:rsidR="004F121F" w:rsidP="004F121F">
      <w:pPr>
        <w:pStyle w:val="Heading1"/>
        <w:rPr>
          <w:rFonts w:ascii="Times New Roman" w:hAnsi="Times New Roman" w:cs="Times New Roman"/>
          <w:i/>
          <w:color w:val="auto"/>
          <w:sz w:val="24"/>
          <w:szCs w:val="24"/>
        </w:rPr>
      </w:pPr>
      <w:r w:rsidRPr="004D458C">
        <w:rPr>
          <w:rFonts w:ascii="Times New Roman" w:hAnsi="Times New Roman" w:cs="Times New Roman"/>
          <w:i/>
          <w:color w:val="auto"/>
          <w:sz w:val="24"/>
          <w:szCs w:val="24"/>
        </w:rPr>
        <w:t xml:space="preserve"> </w:t>
      </w:r>
    </w:p>
    <w:p w:rsidR="004F121F" w:rsidP="00C3149C">
      <w:pPr>
        <w:spacing w:before="240" w:line="480" w:lineRule="auto"/>
        <w:ind w:firstLine="720"/>
        <w:jc w:val="both"/>
        <w:rPr>
          <w:rFonts w:ascii="Times New Roman" w:hAnsi="Times New Roman"/>
          <w:sz w:val="24"/>
          <w:szCs w:val="24"/>
        </w:rPr>
      </w:pPr>
    </w:p>
    <w:p w:rsidR="00C3149C" w:rsidRPr="00E0146F" w:rsidP="002A7B64">
      <w:pPr>
        <w:spacing w:before="240" w:line="480" w:lineRule="auto"/>
        <w:jc w:val="both"/>
        <w:rPr>
          <w:rFonts w:ascii="Times New Roman" w:hAnsi="Times New Roman"/>
          <w:sz w:val="24"/>
          <w:szCs w:val="24"/>
        </w:rPr>
      </w:pPr>
      <w:r>
        <w:rPr>
          <w:rFonts w:ascii="Times New Roman" w:hAnsi="Times New Roman"/>
          <w:sz w:val="24"/>
          <w:szCs w:val="24"/>
        </w:rPr>
        <w:tab/>
      </w:r>
    </w:p>
    <w:p w:rsidR="00C50B3D" w:rsidRPr="00B46710" w:rsidP="00B46710">
      <w:pPr>
        <w:spacing w:after="240" w:line="480" w:lineRule="auto"/>
        <w:ind w:firstLine="720"/>
        <w:rPr>
          <w:rFonts w:ascii="Times New Roman" w:hAnsi="Times New Roman"/>
          <w:sz w:val="24"/>
          <w:szCs w:val="24"/>
        </w:rPr>
      </w:pPr>
    </w:p>
    <w:sectPr w:rsidSect="00CF4875">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4C44" w:rsidP="00CF4875">
      <w:pPr>
        <w:spacing w:after="0" w:line="240" w:lineRule="auto"/>
      </w:pPr>
      <w:r>
        <w:separator/>
      </w:r>
    </w:p>
  </w:footnote>
  <w:footnote w:type="continuationSeparator" w:id="1">
    <w:p w:rsidR="002D4C44" w:rsidP="00CF4875">
      <w:pPr>
        <w:spacing w:after="0" w:line="240" w:lineRule="auto"/>
      </w:pPr>
      <w:r>
        <w:continuationSeparator/>
      </w:r>
    </w:p>
  </w:footnote>
  <w:footnote w:id="2">
    <w:p w:rsidR="00C50B3D">
      <w:pPr>
        <w:pStyle w:val="FootnoteText"/>
      </w:pPr>
      <w:r>
        <w:rPr>
          <w:rStyle w:val="FootnoteReference"/>
        </w:rPr>
        <w:footnoteRef/>
      </w:r>
      <w:r>
        <w:t xml:space="preserve"> </w:t>
      </w:r>
      <w:r>
        <w:fldChar w:fldCharType="begin"/>
      </w:r>
      <w:r>
        <w:instrText xml:space="preserve"> ADDIN ZOTERO_ITEM CSL_CITATION {"citationID":"faA0Bc3n","properties":{"formattedCitation":"John Griffiths Pedley, {\\i{}Greek Art and Archaeology} (Prentice Hall, 1993), 59.","plainCitation":"John Griffiths Pedley, Greek Art and Archaeology (Prentice Hall, 1993), 59.","noteIndex":1},"citationItems":[{"id":699,"uris":["http://zotero.org/users/local/s8f0QVnP/items/3Q3CHHGC"],"uri":["http://zotero.org/users/local/s8f0QVnP/items/3Q3CHHGC"],"itemData":{"id":699,"type":"book","title":"Greek art and archaeology","publisher":"Prentice Hall","source":"Google Scholar","author":[{"family":"Pedley","given":"John Griffiths"}],"issued":{"date-parts":[["1993"]]}},"locator":"59","label":"page"}],"schema":"https://github.com/citation-style-language/schema/raw/master/csl-citation.json"} </w:instrText>
      </w:r>
      <w:r>
        <w:fldChar w:fldCharType="separate"/>
      </w:r>
      <w:r w:rsidRPr="00C50B3D">
        <w:rPr>
          <w:rFonts w:cs="Calibri"/>
          <w:szCs w:val="24"/>
        </w:rPr>
        <w:t xml:space="preserve">John Griffiths Pedley, </w:t>
      </w:r>
      <w:r w:rsidRPr="00C50B3D">
        <w:rPr>
          <w:rFonts w:cs="Calibri"/>
          <w:i/>
          <w:iCs/>
          <w:szCs w:val="24"/>
        </w:rPr>
        <w:t>Greek Art and Archaeology</w:t>
      </w:r>
      <w:r w:rsidRPr="00C50B3D">
        <w:rPr>
          <w:rFonts w:cs="Calibri"/>
          <w:szCs w:val="24"/>
        </w:rPr>
        <w:t xml:space="preserve"> (Prentice Hall, 1993), 59.</w:t>
      </w:r>
      <w:r>
        <w:fldChar w:fldCharType="end"/>
      </w:r>
    </w:p>
  </w:footnote>
  <w:footnote w:id="3">
    <w:p w:rsidR="00C50B3D">
      <w:pPr>
        <w:pStyle w:val="FootnoteText"/>
      </w:pPr>
      <w:r>
        <w:rPr>
          <w:rStyle w:val="FootnoteReference"/>
        </w:rPr>
        <w:footnoteRef/>
      </w:r>
      <w:r>
        <w:t xml:space="preserve"> </w:t>
      </w:r>
      <w:r>
        <w:fldChar w:fldCharType="begin"/>
      </w:r>
      <w:r>
        <w:instrText xml:space="preserve"> ADDIN ZOTERO_ITEM CSL_CITATION {"citationID":"L4aHaLmB","properties":{"formattedCitation":"Pedley, 63.","plainCitation":"Pedley, 63.","noteIndex":2},"citationItems":[{"id":699,"uris":["http://zotero.org/users/local/s8f0QVnP/items/3Q3CHHGC"],"uri":["http://zotero.org/users/local/s8f0QVnP/items/3Q3CHHGC"],"itemData":{"id":699,"type":"book","title":"Greek art and archaeology","publisher":"Prentice Hall","source":"Google Scholar","author":[{"family":"Pedley","given":"John Griffiths"}],"issued":{"date-parts":[["1993"]]}},"locator":"63","label":"page"}],"schema":"https://github.com/citation-style-language/schema/raw/master/csl-citation.json"} </w:instrText>
      </w:r>
      <w:r>
        <w:fldChar w:fldCharType="separate"/>
      </w:r>
      <w:r w:rsidRPr="00C50B3D">
        <w:rPr>
          <w:rFonts w:cs="Calibri"/>
        </w:rPr>
        <w:t>Pedley, 63.</w:t>
      </w:r>
      <w:r>
        <w:fldChar w:fldCharType="end"/>
      </w:r>
    </w:p>
  </w:footnote>
  <w:footnote w:id="4">
    <w:p w:rsidR="004F121F">
      <w:pPr>
        <w:pStyle w:val="FootnoteText"/>
      </w:pPr>
      <w:r>
        <w:rPr>
          <w:rStyle w:val="FootnoteReference"/>
        </w:rPr>
        <w:footnoteRef/>
      </w:r>
      <w:r>
        <w:t xml:space="preserve"> </w:t>
      </w:r>
      <w:r>
        <w:fldChar w:fldCharType="begin"/>
      </w:r>
      <w:r>
        <w:instrText xml:space="preserve"> ADDIN ZOTERO_ITEM CSL_CITATION {"citationID":"NZm7sN7X","properties":{"formattedCitation":"J. N. Coldstream, \\uc0\\u8220{}Knossos 1951-61: Protogeometric and Geometric Pottery from the Town,\\uc0\\u8221{} {\\i{}The Annual of the British School at Athens} 67 (1972): 74.","plainCitation":"J. N. Coldstream, “Knossos 1951-61: Protogeometric and Geometric Pottery from the Town,” The Annual of the British School at Athens 67 (1972): 74.","noteIndex":3},"citationItems":[{"id":700,"uris":["http://zotero.org/users/local/s8f0QVnP/items/CFRLJDAN"],"uri":["http://zotero.org/users/local/s8f0QVnP/items/CFRLJDAN"],"itemData":{"id":700,"type":"article-journal","title":"Knossos 1951-61: Protogeometric and Geometric pottery from the town","container-title":"The Annual of the British School at Athens","page":"63–98","volume":"67","source":"Google Scholar","title-short":"Knossos 1951-61","author":[{"family":"Coldstream","given":"J. N."}],"issued":{"date-parts":[["1972"]]}},"locator":"74","label":"page"}],"schema":"https://github.com/citation-style-language/schema/raw/master/csl-citation.json"} </w:instrText>
      </w:r>
      <w:r>
        <w:fldChar w:fldCharType="separate"/>
      </w:r>
      <w:r w:rsidRPr="004F121F">
        <w:rPr>
          <w:rFonts w:cs="Calibri"/>
          <w:szCs w:val="24"/>
        </w:rPr>
        <w:t xml:space="preserve">J. N. Coldstream, “Knossos 1951-61: </w:t>
      </w:r>
      <w:r w:rsidRPr="004F121F">
        <w:rPr>
          <w:rFonts w:cs="Calibri"/>
          <w:szCs w:val="24"/>
        </w:rPr>
        <w:t>Protogeometric</w:t>
      </w:r>
      <w:r w:rsidRPr="004F121F">
        <w:rPr>
          <w:rFonts w:cs="Calibri"/>
          <w:szCs w:val="24"/>
        </w:rPr>
        <w:t xml:space="preserve"> and Geometric Pottery from the Town,” </w:t>
      </w:r>
      <w:r w:rsidRPr="004F121F">
        <w:rPr>
          <w:rFonts w:cs="Calibri"/>
          <w:i/>
          <w:iCs/>
          <w:szCs w:val="24"/>
        </w:rPr>
        <w:t>The Annual of the British School at Athens</w:t>
      </w:r>
      <w:r w:rsidRPr="004F121F">
        <w:rPr>
          <w:rFonts w:cs="Calibri"/>
          <w:szCs w:val="24"/>
        </w:rPr>
        <w:t xml:space="preserve"> 67 (1972): 74.</w:t>
      </w:r>
      <w:r>
        <w:fldChar w:fldCharType="end"/>
      </w:r>
    </w:p>
  </w:footnote>
  <w:footnote w:id="5">
    <w:p w:rsidR="004F121F">
      <w:pPr>
        <w:pStyle w:val="FootnoteText"/>
      </w:pPr>
      <w:r>
        <w:rPr>
          <w:rStyle w:val="FootnoteReference"/>
        </w:rPr>
        <w:footnoteRef/>
      </w:r>
      <w:r>
        <w:t xml:space="preserve"> </w:t>
      </w:r>
      <w:r>
        <w:fldChar w:fldCharType="begin"/>
      </w:r>
      <w:r>
        <w:instrText xml:space="preserve"> ADDIN ZOTERO_ITEM CSL_CITATION {"citationID":"dgV42GOt","properties":{"formattedCitation":"Eva Brann, \\uc0\\u8220{}Late Geometric Well Groups from the Athenian Agora,\\uc0\\u8221{} {\\i{}Hesperia: The Journal of the American School of Classical Studies at Athens} 30, no. 2 (1961): 141.","plainCitation":"Eva Brann, “Late Geometric Well Groups from the Athenian Agora,” Hesperia: The Journal of the American School of Classical Studies at Athens 30, no. 2 (1961): 141.","noteIndex":4},"citationItems":[{"id":702,"uris":["http://zotero.org/users/local/s8f0QVnP/items/VQC4S6L6"],"uri":["http://zotero.org/users/local/s8f0QVnP/items/VQC4S6L6"],"itemData":{"id":702,"type":"article-journal","title":"Late Geometric Well Groups from the Athenian Agora","container-title":"Hesperia: The Journal of the American School of Classical Studies at Athens","page":"93–146","volume":"30","issue":"2","source":"Google Scholar","author":[{"family":"Brann","given":"Eva"}],"issued":{"date-parts":[["1961"]]}},"locator":"141","label":"page"}],"schema":"https://github.com/citation-style-language/schema/raw/master/csl-citation.json"} </w:instrText>
      </w:r>
      <w:r>
        <w:fldChar w:fldCharType="separate"/>
      </w:r>
      <w:r w:rsidRPr="004F121F">
        <w:rPr>
          <w:rFonts w:cs="Calibri"/>
          <w:szCs w:val="24"/>
        </w:rPr>
        <w:t xml:space="preserve">Eva Brann, “Late Geometric Well Groups from the Athenian Agora,” </w:t>
      </w:r>
      <w:r w:rsidRPr="004F121F">
        <w:rPr>
          <w:rFonts w:cs="Calibri"/>
          <w:i/>
          <w:iCs/>
          <w:szCs w:val="24"/>
        </w:rPr>
        <w:t>Hesperia: The Journal of the American School of Classical Studies at Athens</w:t>
      </w:r>
      <w:r w:rsidRPr="004F121F">
        <w:rPr>
          <w:rFonts w:cs="Calibri"/>
          <w:szCs w:val="24"/>
        </w:rPr>
        <w:t xml:space="preserve"> 30, no. 2 (1961): 141.</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875" w:rsidRPr="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6E53A5">
      <w:rPr>
        <w:rFonts w:ascii="Times" w:hAnsi="Times" w:cs="Times"/>
        <w:noProof/>
        <w:sz w:val="24"/>
        <w:szCs w:val="24"/>
      </w:rPr>
      <w:t>6</w:t>
    </w:r>
    <w:r w:rsidRPr="00CF4875">
      <w:rPr>
        <w:rFonts w:ascii="Times" w:hAnsi="Times" w:cs="Times"/>
        <w:noProof/>
        <w:sz w:val="24"/>
        <w:szCs w:val="24"/>
      </w:rPr>
      <w:fldChar w:fldCharType="end"/>
    </w:r>
  </w:p>
  <w:p w:rsidR="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8826F5B"/>
    <w:multiLevelType w:val="hybridMultilevel"/>
    <w:tmpl w:val="C9D6AF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3136"/>
    <w:rsid w:val="000A4017"/>
    <w:rsid w:val="0010196F"/>
    <w:rsid w:val="00132C17"/>
    <w:rsid w:val="00166CE0"/>
    <w:rsid w:val="00190115"/>
    <w:rsid w:val="00190D3C"/>
    <w:rsid w:val="001911D3"/>
    <w:rsid w:val="001A0016"/>
    <w:rsid w:val="001A3E43"/>
    <w:rsid w:val="001A7D25"/>
    <w:rsid w:val="001C3F29"/>
    <w:rsid w:val="001F0653"/>
    <w:rsid w:val="002074DB"/>
    <w:rsid w:val="002559E7"/>
    <w:rsid w:val="00275C03"/>
    <w:rsid w:val="00292B1A"/>
    <w:rsid w:val="002A6767"/>
    <w:rsid w:val="002A7B64"/>
    <w:rsid w:val="002B0B11"/>
    <w:rsid w:val="002C08CF"/>
    <w:rsid w:val="002D0B65"/>
    <w:rsid w:val="002D4C44"/>
    <w:rsid w:val="003264AC"/>
    <w:rsid w:val="00334555"/>
    <w:rsid w:val="00372754"/>
    <w:rsid w:val="003B380B"/>
    <w:rsid w:val="00434569"/>
    <w:rsid w:val="004D458C"/>
    <w:rsid w:val="004F121F"/>
    <w:rsid w:val="00513984"/>
    <w:rsid w:val="00550CF7"/>
    <w:rsid w:val="00580B3B"/>
    <w:rsid w:val="00597F02"/>
    <w:rsid w:val="005F3742"/>
    <w:rsid w:val="00630CF4"/>
    <w:rsid w:val="00661129"/>
    <w:rsid w:val="006E53A5"/>
    <w:rsid w:val="00796864"/>
    <w:rsid w:val="007A7471"/>
    <w:rsid w:val="00804CA6"/>
    <w:rsid w:val="00826D83"/>
    <w:rsid w:val="00895511"/>
    <w:rsid w:val="008B5CD0"/>
    <w:rsid w:val="008C44C3"/>
    <w:rsid w:val="008D6D76"/>
    <w:rsid w:val="00962ABF"/>
    <w:rsid w:val="009E20DB"/>
    <w:rsid w:val="009E5E3F"/>
    <w:rsid w:val="009F68CF"/>
    <w:rsid w:val="00A063BB"/>
    <w:rsid w:val="00A11907"/>
    <w:rsid w:val="00A27BD7"/>
    <w:rsid w:val="00A52154"/>
    <w:rsid w:val="00A674D4"/>
    <w:rsid w:val="00A73D2A"/>
    <w:rsid w:val="00A8421E"/>
    <w:rsid w:val="00AC250B"/>
    <w:rsid w:val="00B10097"/>
    <w:rsid w:val="00B3776B"/>
    <w:rsid w:val="00B37A56"/>
    <w:rsid w:val="00B46710"/>
    <w:rsid w:val="00B97CE2"/>
    <w:rsid w:val="00BA3BA7"/>
    <w:rsid w:val="00BD617F"/>
    <w:rsid w:val="00C3149C"/>
    <w:rsid w:val="00C32FFD"/>
    <w:rsid w:val="00C50B3D"/>
    <w:rsid w:val="00C55AE0"/>
    <w:rsid w:val="00CF4875"/>
    <w:rsid w:val="00D6664A"/>
    <w:rsid w:val="00D708F3"/>
    <w:rsid w:val="00D72AB0"/>
    <w:rsid w:val="00D8267D"/>
    <w:rsid w:val="00DD0C78"/>
    <w:rsid w:val="00DF0BE0"/>
    <w:rsid w:val="00E0146F"/>
    <w:rsid w:val="00F367E6"/>
    <w:rsid w:val="00FA2C0C"/>
    <w:rsid w:val="00FB2C5F"/>
    <w:rsid w:val="00FD65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467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77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Title">
    <w:name w:val="Title"/>
    <w:basedOn w:val="Normal"/>
    <w:next w:val="Normal"/>
    <w:link w:val="TitleChar"/>
    <w:uiPriority w:val="10"/>
    <w:qFormat/>
    <w:rsid w:val="00FD65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5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6710"/>
    <w:rPr>
      <w:rFonts w:asciiTheme="majorHAnsi" w:eastAsiaTheme="majorEastAsia" w:hAnsiTheme="majorHAnsi" w:cstheme="majorBidi"/>
      <w:color w:val="2E74B5" w:themeColor="accent1" w:themeShade="BF"/>
      <w:sz w:val="32"/>
      <w:szCs w:val="32"/>
    </w:rPr>
  </w:style>
  <w:style w:type="character" w:customStyle="1" w:styleId="tooltips">
    <w:name w:val="tooltips"/>
    <w:basedOn w:val="DefaultParagraphFont"/>
    <w:rsid w:val="00C50B3D"/>
  </w:style>
  <w:style w:type="character" w:customStyle="1" w:styleId="Heading2Char">
    <w:name w:val="Heading 2 Char"/>
    <w:basedOn w:val="DefaultParagraphFont"/>
    <w:link w:val="Heading2"/>
    <w:uiPriority w:val="9"/>
    <w:rsid w:val="00B377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30B33B-B734-49EF-A359-E53BE8A6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2019-05-06T07:55:00Z</dcterms:created>
  <dcterms:modified xsi:type="dcterms:W3CDTF">2019-05-18T06:11:00Z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id="t1ynqM59"/&gt;&lt;style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