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CD" w:rsidRDefault="009C74CD" w:rsidP="0060609A">
      <w:pPr>
        <w:pStyle w:val="Heading3"/>
        <w:shd w:val="clear" w:color="auto" w:fill="FFFFFF"/>
        <w:spacing w:before="450" w:beforeAutospacing="0" w:after="330" w:afterAutospacing="0" w:line="480" w:lineRule="auto"/>
        <w:contextualSpacing/>
        <w:rPr>
          <w:sz w:val="24"/>
          <w:szCs w:val="24"/>
        </w:rPr>
      </w:pPr>
    </w:p>
    <w:p w:rsidR="00075AE9" w:rsidRDefault="00075AE9">
      <w:pPr>
        <w:rPr>
          <w:sz w:val="24"/>
          <w:szCs w:val="24"/>
        </w:rPr>
      </w:pPr>
    </w:p>
    <w:p w:rsidR="00075AE9" w:rsidRDefault="00075AE9">
      <w:pPr>
        <w:rPr>
          <w:sz w:val="24"/>
          <w:szCs w:val="24"/>
        </w:rPr>
      </w:pPr>
    </w:p>
    <w:p w:rsidR="00075AE9" w:rsidRDefault="00075AE9">
      <w:pPr>
        <w:rPr>
          <w:sz w:val="24"/>
          <w:szCs w:val="24"/>
        </w:rPr>
      </w:pPr>
    </w:p>
    <w:p w:rsidR="00075AE9" w:rsidRDefault="00075AE9">
      <w:pPr>
        <w:rPr>
          <w:sz w:val="24"/>
          <w:szCs w:val="24"/>
        </w:rPr>
      </w:pPr>
    </w:p>
    <w:p w:rsidR="00075AE9" w:rsidRDefault="00075AE9">
      <w:pPr>
        <w:rPr>
          <w:sz w:val="24"/>
          <w:szCs w:val="24"/>
        </w:rPr>
      </w:pPr>
    </w:p>
    <w:p w:rsidR="00075AE9" w:rsidRDefault="00075AE9">
      <w:pPr>
        <w:rPr>
          <w:sz w:val="24"/>
          <w:szCs w:val="24"/>
        </w:rPr>
      </w:pPr>
    </w:p>
    <w:p w:rsidR="00075AE9" w:rsidRPr="00075AE9" w:rsidRDefault="00075AE9" w:rsidP="00075AE9">
      <w:pPr>
        <w:jc w:val="center"/>
        <w:rPr>
          <w:rFonts w:ascii="Times New Roman" w:hAnsi="Times New Roman" w:cs="Times New Roman"/>
          <w:sz w:val="24"/>
          <w:szCs w:val="24"/>
        </w:rPr>
      </w:pPr>
      <w:r w:rsidRPr="00075AE9">
        <w:rPr>
          <w:rFonts w:ascii="Times New Roman" w:hAnsi="Times New Roman" w:cs="Times New Roman"/>
          <w:sz w:val="24"/>
          <w:szCs w:val="24"/>
        </w:rPr>
        <w:t>LAWS20060 – TAXATION LAW OF AUSTRALIA</w:t>
      </w:r>
    </w:p>
    <w:p w:rsidR="00075AE9" w:rsidRPr="00075AE9" w:rsidRDefault="00075AE9" w:rsidP="00075AE9">
      <w:pPr>
        <w:jc w:val="center"/>
        <w:rPr>
          <w:rFonts w:ascii="Times New Roman" w:hAnsi="Times New Roman" w:cs="Times New Roman"/>
          <w:sz w:val="24"/>
          <w:szCs w:val="24"/>
        </w:rPr>
      </w:pPr>
      <w:r>
        <w:rPr>
          <w:rFonts w:ascii="Times New Roman" w:hAnsi="Times New Roman" w:cs="Times New Roman"/>
          <w:sz w:val="24"/>
          <w:szCs w:val="24"/>
        </w:rPr>
        <w:t>Name</w:t>
      </w:r>
    </w:p>
    <w:p w:rsidR="00075AE9" w:rsidRPr="00075AE9" w:rsidRDefault="00075AE9" w:rsidP="00075AE9">
      <w:pPr>
        <w:jc w:val="center"/>
        <w:rPr>
          <w:rFonts w:ascii="Times New Roman" w:hAnsi="Times New Roman" w:cs="Times New Roman"/>
          <w:sz w:val="24"/>
          <w:szCs w:val="24"/>
        </w:rPr>
      </w:pPr>
      <w:r w:rsidRPr="00075AE9">
        <w:rPr>
          <w:rFonts w:ascii="Times New Roman" w:hAnsi="Times New Roman" w:cs="Times New Roman"/>
          <w:sz w:val="24"/>
          <w:szCs w:val="24"/>
        </w:rPr>
        <w:t>Student ID:</w:t>
      </w:r>
    </w:p>
    <w:p w:rsidR="00075AE9" w:rsidRPr="00075AE9" w:rsidRDefault="00075AE9" w:rsidP="00075AE9">
      <w:pPr>
        <w:jc w:val="center"/>
        <w:rPr>
          <w:rFonts w:ascii="Times New Roman" w:hAnsi="Times New Roman" w:cs="Times New Roman"/>
          <w:sz w:val="24"/>
          <w:szCs w:val="24"/>
        </w:rPr>
      </w:pPr>
      <w:r w:rsidRPr="00075AE9">
        <w:rPr>
          <w:rFonts w:ascii="Times New Roman" w:hAnsi="Times New Roman" w:cs="Times New Roman"/>
          <w:sz w:val="24"/>
          <w:szCs w:val="24"/>
        </w:rPr>
        <w:t>Professor Name:</w:t>
      </w:r>
    </w:p>
    <w:p w:rsidR="00075AE9" w:rsidRPr="00075AE9" w:rsidRDefault="00075AE9" w:rsidP="00075AE9">
      <w:pPr>
        <w:jc w:val="center"/>
        <w:rPr>
          <w:rFonts w:ascii="Times New Roman" w:hAnsi="Times New Roman" w:cs="Times New Roman"/>
          <w:sz w:val="24"/>
          <w:szCs w:val="24"/>
        </w:rPr>
      </w:pPr>
      <w:r w:rsidRPr="00075AE9">
        <w:rPr>
          <w:rFonts w:ascii="Times New Roman" w:hAnsi="Times New Roman" w:cs="Times New Roman"/>
          <w:sz w:val="24"/>
          <w:szCs w:val="24"/>
        </w:rPr>
        <w:t>University Name:</w:t>
      </w:r>
    </w:p>
    <w:p w:rsidR="00075AE9" w:rsidRPr="00075AE9" w:rsidRDefault="00075AE9" w:rsidP="00075AE9">
      <w:pPr>
        <w:jc w:val="center"/>
        <w:rPr>
          <w:rFonts w:ascii="Times New Roman" w:hAnsi="Times New Roman" w:cs="Times New Roman"/>
          <w:sz w:val="24"/>
          <w:szCs w:val="24"/>
        </w:rPr>
      </w:pPr>
      <w:r>
        <w:rPr>
          <w:rFonts w:ascii="Times New Roman" w:hAnsi="Times New Roman" w:cs="Times New Roman"/>
          <w:sz w:val="24"/>
          <w:szCs w:val="24"/>
        </w:rPr>
        <w:t xml:space="preserve">Date </w:t>
      </w:r>
    </w:p>
    <w:p w:rsidR="009C74CD" w:rsidRDefault="009C74CD">
      <w:pPr>
        <w:rPr>
          <w:rFonts w:ascii="Times New Roman" w:eastAsia="Times New Roman" w:hAnsi="Times New Roman" w:cs="Times New Roman"/>
          <w:b/>
          <w:bCs/>
          <w:sz w:val="24"/>
          <w:szCs w:val="24"/>
        </w:rPr>
      </w:pPr>
      <w:r>
        <w:rPr>
          <w:sz w:val="24"/>
          <w:szCs w:val="24"/>
        </w:rPr>
        <w:br w:type="page"/>
      </w:r>
    </w:p>
    <w:p w:rsidR="0060609A" w:rsidRPr="00BE35AA" w:rsidRDefault="0060609A" w:rsidP="0060609A">
      <w:pPr>
        <w:pStyle w:val="Heading3"/>
        <w:shd w:val="clear" w:color="auto" w:fill="FFFFFF"/>
        <w:spacing w:before="450" w:beforeAutospacing="0" w:after="330" w:afterAutospacing="0" w:line="480" w:lineRule="auto"/>
        <w:contextualSpacing/>
        <w:rPr>
          <w:sz w:val="24"/>
          <w:szCs w:val="24"/>
        </w:rPr>
      </w:pPr>
      <w:r w:rsidRPr="00BE35AA">
        <w:rPr>
          <w:sz w:val="24"/>
          <w:szCs w:val="24"/>
        </w:rPr>
        <w:lastRenderedPageBreak/>
        <w:t>Question 1</w:t>
      </w:r>
    </w:p>
    <w:p w:rsidR="008C0618" w:rsidRPr="00BE35AA" w:rsidRDefault="00734552" w:rsidP="00C04316">
      <w:pPr>
        <w:pStyle w:val="Heading3"/>
        <w:shd w:val="clear" w:color="auto" w:fill="FFFFFF"/>
        <w:spacing w:before="450" w:beforeAutospacing="0" w:after="330" w:afterAutospacing="0" w:line="480" w:lineRule="auto"/>
        <w:ind w:firstLine="720"/>
        <w:contextualSpacing/>
        <w:rPr>
          <w:b w:val="0"/>
          <w:bCs w:val="0"/>
          <w:sz w:val="24"/>
          <w:szCs w:val="24"/>
        </w:rPr>
      </w:pPr>
      <w:r w:rsidRPr="00BE35AA">
        <w:rPr>
          <w:b w:val="0"/>
          <w:sz w:val="24"/>
          <w:szCs w:val="24"/>
        </w:rPr>
        <w:t>A</w:t>
      </w:r>
      <w:r w:rsidR="008C0618" w:rsidRPr="00BE35AA">
        <w:rPr>
          <w:b w:val="0"/>
          <w:sz w:val="24"/>
          <w:szCs w:val="24"/>
        </w:rPr>
        <w:t>).</w:t>
      </w:r>
      <w:r w:rsidR="008C0618" w:rsidRPr="00BE35AA">
        <w:rPr>
          <w:sz w:val="24"/>
          <w:szCs w:val="24"/>
        </w:rPr>
        <w:t xml:space="preserve"> </w:t>
      </w:r>
      <w:r w:rsidR="008C0618" w:rsidRPr="00BE35AA">
        <w:rPr>
          <w:b w:val="0"/>
          <w:sz w:val="24"/>
          <w:szCs w:val="24"/>
        </w:rPr>
        <w:t>TR 2018/4</w:t>
      </w:r>
      <w:r w:rsidR="00455CB9">
        <w:rPr>
          <w:rStyle w:val="FootnoteReference"/>
          <w:b w:val="0"/>
          <w:sz w:val="24"/>
          <w:szCs w:val="24"/>
        </w:rPr>
        <w:footnoteReference w:id="2"/>
      </w:r>
      <w:r w:rsidR="008C0618" w:rsidRPr="00BE35AA">
        <w:rPr>
          <w:b w:val="0"/>
          <w:sz w:val="24"/>
          <w:szCs w:val="24"/>
        </w:rPr>
        <w:t xml:space="preserve"> contains new </w:t>
      </w:r>
      <w:r w:rsidR="008C0618" w:rsidRPr="00BE35AA">
        <w:rPr>
          <w:b w:val="0"/>
          <w:bCs w:val="0"/>
          <w:sz w:val="24"/>
          <w:szCs w:val="24"/>
        </w:rPr>
        <w:t xml:space="preserve">effective life of depreciating assets </w:t>
      </w:r>
      <w:r w:rsidR="008C0618" w:rsidRPr="00BE35AA">
        <w:rPr>
          <w:b w:val="0"/>
          <w:sz w:val="24"/>
          <w:szCs w:val="24"/>
          <w:shd w:val="clear" w:color="auto" w:fill="FFFFFF"/>
        </w:rPr>
        <w:t xml:space="preserve">under s40-100 of </w:t>
      </w:r>
      <w:r w:rsidR="00A5325A">
        <w:rPr>
          <w:b w:val="0"/>
          <w:sz w:val="24"/>
          <w:szCs w:val="24"/>
          <w:shd w:val="clear" w:color="auto" w:fill="FFFFFF"/>
        </w:rPr>
        <w:t xml:space="preserve">ITAA 1997 </w:t>
      </w:r>
      <w:r w:rsidR="008C0618" w:rsidRPr="00BE35AA">
        <w:rPr>
          <w:b w:val="0"/>
          <w:sz w:val="24"/>
          <w:szCs w:val="24"/>
          <w:shd w:val="clear" w:color="auto" w:fill="FFFFFF"/>
        </w:rPr>
        <w:t xml:space="preserve">and started being </w:t>
      </w:r>
      <w:r w:rsidR="008C0618" w:rsidRPr="00BE35AA">
        <w:rPr>
          <w:b w:val="0"/>
          <w:bCs w:val="0"/>
          <w:sz w:val="24"/>
          <w:szCs w:val="24"/>
        </w:rPr>
        <w:t>applicable from 1</w:t>
      </w:r>
      <w:r w:rsidR="008C0618" w:rsidRPr="00BE35AA">
        <w:rPr>
          <w:b w:val="0"/>
          <w:bCs w:val="0"/>
          <w:sz w:val="24"/>
          <w:szCs w:val="24"/>
          <w:vertAlign w:val="superscript"/>
        </w:rPr>
        <w:t>st</w:t>
      </w:r>
      <w:r w:rsidR="008C0618" w:rsidRPr="00BE35AA">
        <w:rPr>
          <w:b w:val="0"/>
          <w:bCs w:val="0"/>
          <w:sz w:val="24"/>
          <w:szCs w:val="24"/>
        </w:rPr>
        <w:t xml:space="preserve"> July 2018. </w:t>
      </w:r>
    </w:p>
    <w:p w:rsidR="00A5325A" w:rsidRDefault="008C0618" w:rsidP="00A6763C">
      <w:pPr>
        <w:pStyle w:val="Heading3"/>
        <w:shd w:val="clear" w:color="auto" w:fill="FFFFFF"/>
        <w:spacing w:before="450" w:beforeAutospacing="0" w:after="330" w:afterAutospacing="0" w:line="480" w:lineRule="auto"/>
        <w:ind w:firstLine="720"/>
        <w:contextualSpacing/>
        <w:rPr>
          <w:b w:val="0"/>
          <w:sz w:val="24"/>
          <w:szCs w:val="24"/>
        </w:rPr>
      </w:pPr>
      <w:r w:rsidRPr="00BE35AA">
        <w:rPr>
          <w:b w:val="0"/>
          <w:bCs w:val="0"/>
          <w:sz w:val="24"/>
          <w:szCs w:val="24"/>
        </w:rPr>
        <w:t xml:space="preserve">b). </w:t>
      </w:r>
      <w:r w:rsidR="00C04316" w:rsidRPr="00BE35AA">
        <w:rPr>
          <w:b w:val="0"/>
          <w:bCs w:val="0"/>
          <w:sz w:val="24"/>
          <w:szCs w:val="24"/>
        </w:rPr>
        <w:t xml:space="preserve">details of </w:t>
      </w:r>
      <w:r w:rsidRPr="00BE35AA">
        <w:rPr>
          <w:b w:val="0"/>
          <w:sz w:val="24"/>
          <w:szCs w:val="24"/>
        </w:rPr>
        <w:t xml:space="preserve">tax offsets are contained in </w:t>
      </w:r>
      <w:r w:rsidR="00A5325A" w:rsidRPr="00BE35AA">
        <w:rPr>
          <w:b w:val="0"/>
          <w:sz w:val="24"/>
          <w:szCs w:val="24"/>
        </w:rPr>
        <w:t>Income Tax Assessment Act 1997</w:t>
      </w:r>
      <w:r w:rsidR="00A5325A">
        <w:rPr>
          <w:rStyle w:val="FootnoteReference"/>
          <w:b w:val="0"/>
          <w:sz w:val="24"/>
          <w:szCs w:val="24"/>
        </w:rPr>
        <w:footnoteReference w:id="3"/>
      </w:r>
      <w:r w:rsidR="00A6763C">
        <w:rPr>
          <w:b w:val="0"/>
          <w:sz w:val="24"/>
          <w:szCs w:val="24"/>
        </w:rPr>
        <w:t xml:space="preserve"> </w:t>
      </w:r>
      <w:r w:rsidRPr="00BE35AA">
        <w:rPr>
          <w:b w:val="0"/>
          <w:sz w:val="24"/>
          <w:szCs w:val="24"/>
        </w:rPr>
        <w:t xml:space="preserve">Division 376 </w:t>
      </w:r>
    </w:p>
    <w:p w:rsidR="008C0618" w:rsidRPr="00BE35AA" w:rsidRDefault="008C0618" w:rsidP="00C04316">
      <w:pPr>
        <w:pStyle w:val="Heading3"/>
        <w:shd w:val="clear" w:color="auto" w:fill="FFFFFF"/>
        <w:spacing w:before="450" w:beforeAutospacing="0" w:after="330" w:afterAutospacing="0" w:line="480" w:lineRule="auto"/>
        <w:ind w:firstLine="720"/>
        <w:contextualSpacing/>
        <w:rPr>
          <w:b w:val="0"/>
          <w:sz w:val="24"/>
          <w:szCs w:val="24"/>
          <w:shd w:val="clear" w:color="auto" w:fill="FFFFFF"/>
        </w:rPr>
      </w:pPr>
      <w:r w:rsidRPr="00BE35AA">
        <w:rPr>
          <w:b w:val="0"/>
          <w:sz w:val="24"/>
          <w:szCs w:val="24"/>
        </w:rPr>
        <w:t xml:space="preserve">c). for 2018/19 tax year, the top tax rate applicable to resident is </w:t>
      </w:r>
      <w:r w:rsidRPr="00BE35AA">
        <w:rPr>
          <w:b w:val="0"/>
          <w:sz w:val="24"/>
          <w:szCs w:val="24"/>
          <w:shd w:val="clear" w:color="auto" w:fill="FFFFFF"/>
        </w:rPr>
        <w:t xml:space="preserve">45% for </w:t>
      </w:r>
      <w:r w:rsidRPr="00BE35AA">
        <w:rPr>
          <w:rStyle w:val="Strong"/>
          <w:sz w:val="24"/>
          <w:szCs w:val="24"/>
        </w:rPr>
        <w:t>income threshold of</w:t>
      </w:r>
      <w:r w:rsidRPr="00BE35AA">
        <w:rPr>
          <w:rStyle w:val="Strong"/>
          <w:b/>
          <w:sz w:val="24"/>
          <w:szCs w:val="24"/>
        </w:rPr>
        <w:t xml:space="preserve"> </w:t>
      </w:r>
      <w:r w:rsidRPr="00BE35AA">
        <w:rPr>
          <w:b w:val="0"/>
          <w:sz w:val="24"/>
          <w:szCs w:val="24"/>
          <w:shd w:val="clear" w:color="auto" w:fill="FFFFFF"/>
        </w:rPr>
        <w:t>$180,000 and over</w:t>
      </w:r>
    </w:p>
    <w:p w:rsidR="000E36A7" w:rsidRDefault="00455F48" w:rsidP="00C04316">
      <w:pPr>
        <w:pStyle w:val="Heading3"/>
        <w:shd w:val="clear" w:color="auto" w:fill="FFFFFF"/>
        <w:spacing w:before="450" w:beforeAutospacing="0" w:after="330" w:afterAutospacing="0" w:line="480" w:lineRule="auto"/>
        <w:ind w:firstLine="720"/>
        <w:contextualSpacing/>
        <w:rPr>
          <w:b w:val="0"/>
          <w:sz w:val="24"/>
          <w:szCs w:val="24"/>
          <w:shd w:val="clear" w:color="auto" w:fill="FFFFFF"/>
        </w:rPr>
      </w:pPr>
      <w:r>
        <w:rPr>
          <w:b w:val="0"/>
          <w:sz w:val="24"/>
          <w:szCs w:val="24"/>
          <w:shd w:val="clear" w:color="auto" w:fill="FFFFFF"/>
        </w:rPr>
        <w:t>d). Capital</w:t>
      </w:r>
      <w:r w:rsidR="008C0618" w:rsidRPr="00BE35AA">
        <w:rPr>
          <w:b w:val="0"/>
          <w:sz w:val="24"/>
          <w:szCs w:val="24"/>
          <w:shd w:val="clear" w:color="auto" w:fill="FFFFFF"/>
        </w:rPr>
        <w:t xml:space="preserve"> losses</w:t>
      </w:r>
      <w:r>
        <w:rPr>
          <w:b w:val="0"/>
          <w:sz w:val="24"/>
          <w:szCs w:val="24"/>
          <w:shd w:val="clear" w:color="auto" w:fill="FFFFFF"/>
        </w:rPr>
        <w:t xml:space="preserve"> or </w:t>
      </w:r>
      <w:r w:rsidRPr="00BE35AA">
        <w:rPr>
          <w:b w:val="0"/>
          <w:sz w:val="24"/>
          <w:szCs w:val="24"/>
          <w:shd w:val="clear" w:color="auto" w:fill="FFFFFF"/>
        </w:rPr>
        <w:t>gains</w:t>
      </w:r>
      <w:r w:rsidR="00BB3578">
        <w:rPr>
          <w:b w:val="0"/>
          <w:sz w:val="24"/>
          <w:szCs w:val="24"/>
          <w:shd w:val="clear" w:color="auto" w:fill="FFFFFF"/>
        </w:rPr>
        <w:t xml:space="preserve"> on assets obtained prior to 20/09/</w:t>
      </w:r>
      <w:r w:rsidR="008C0618" w:rsidRPr="00BE35AA">
        <w:rPr>
          <w:b w:val="0"/>
          <w:sz w:val="24"/>
          <w:szCs w:val="24"/>
          <w:shd w:val="clear" w:color="auto" w:fill="FFFFFF"/>
        </w:rPr>
        <w:t>1985 (the initiation d</w:t>
      </w:r>
      <w:r w:rsidR="00BB3578">
        <w:rPr>
          <w:b w:val="0"/>
          <w:sz w:val="24"/>
          <w:szCs w:val="24"/>
          <w:shd w:val="clear" w:color="auto" w:fill="FFFFFF"/>
        </w:rPr>
        <w:t>ay</w:t>
      </w:r>
      <w:r w:rsidR="008C0618" w:rsidRPr="00BE35AA">
        <w:rPr>
          <w:b w:val="0"/>
          <w:sz w:val="24"/>
          <w:szCs w:val="24"/>
          <w:shd w:val="clear" w:color="auto" w:fill="FFFFFF"/>
        </w:rPr>
        <w:t xml:space="preserve"> of the CGT) are exempted from </w:t>
      </w:r>
      <w:r w:rsidR="00BB3578">
        <w:rPr>
          <w:b w:val="0"/>
          <w:sz w:val="24"/>
          <w:szCs w:val="24"/>
          <w:shd w:val="clear" w:color="auto" w:fill="FFFFFF"/>
        </w:rPr>
        <w:t>CGT</w:t>
      </w:r>
      <w:r w:rsidR="008C0618" w:rsidRPr="00BE35AA">
        <w:rPr>
          <w:b w:val="0"/>
          <w:sz w:val="24"/>
          <w:szCs w:val="24"/>
          <w:shd w:val="clear" w:color="auto" w:fill="FFFFFF"/>
        </w:rPr>
        <w:t xml:space="preserve">. </w:t>
      </w:r>
      <w:r w:rsidR="008C0618" w:rsidRPr="00BE35AA">
        <w:rPr>
          <w:b w:val="0"/>
          <w:iCs/>
          <w:sz w:val="24"/>
          <w:szCs w:val="24"/>
          <w:shd w:val="clear" w:color="auto" w:fill="FFFFFF"/>
        </w:rPr>
        <w:t>Legislative reference:</w:t>
      </w:r>
      <w:r w:rsidR="008C0618" w:rsidRPr="00BE35AA">
        <w:rPr>
          <w:b w:val="0"/>
          <w:sz w:val="24"/>
          <w:szCs w:val="24"/>
          <w:shd w:val="clear" w:color="auto" w:fill="FFFFFF"/>
        </w:rPr>
        <w:t xml:space="preserve"> Division 104 of </w:t>
      </w:r>
      <w:r w:rsidR="000E36A7">
        <w:rPr>
          <w:b w:val="0"/>
          <w:sz w:val="24"/>
          <w:szCs w:val="24"/>
          <w:shd w:val="clear" w:color="auto" w:fill="FFFFFF"/>
        </w:rPr>
        <w:t>ITAA 1997</w:t>
      </w:r>
    </w:p>
    <w:p w:rsidR="00233CB5" w:rsidRPr="00BE35AA" w:rsidRDefault="008C0618" w:rsidP="00C04316">
      <w:pPr>
        <w:pStyle w:val="Heading3"/>
        <w:shd w:val="clear" w:color="auto" w:fill="FFFFFF"/>
        <w:spacing w:before="450" w:beforeAutospacing="0" w:after="330" w:afterAutospacing="0" w:line="480" w:lineRule="auto"/>
        <w:ind w:firstLine="720"/>
        <w:contextualSpacing/>
        <w:rPr>
          <w:b w:val="0"/>
          <w:sz w:val="24"/>
          <w:szCs w:val="24"/>
        </w:rPr>
      </w:pPr>
      <w:r w:rsidRPr="00BE35AA">
        <w:rPr>
          <w:b w:val="0"/>
          <w:sz w:val="24"/>
          <w:szCs w:val="24"/>
          <w:shd w:val="clear" w:color="auto" w:fill="FFFFFF"/>
        </w:rPr>
        <w:t xml:space="preserve">e). </w:t>
      </w:r>
      <w:r w:rsidR="002D2859" w:rsidRPr="00BE35AA">
        <w:rPr>
          <w:b w:val="0"/>
          <w:sz w:val="24"/>
          <w:szCs w:val="24"/>
          <w:shd w:val="clear" w:color="auto" w:fill="FFFFFF"/>
        </w:rPr>
        <w:t>CGT event B1 in s104-15 of the </w:t>
      </w:r>
      <w:r w:rsidR="00003CA0">
        <w:rPr>
          <w:b w:val="0"/>
          <w:sz w:val="24"/>
          <w:szCs w:val="24"/>
          <w:shd w:val="clear" w:color="auto" w:fill="FFFFFF"/>
        </w:rPr>
        <w:t>ITAA 1997</w:t>
      </w:r>
      <w:r w:rsidR="00AF240C">
        <w:rPr>
          <w:rStyle w:val="FootnoteReference"/>
          <w:b w:val="0"/>
          <w:iCs/>
          <w:sz w:val="24"/>
          <w:szCs w:val="24"/>
          <w:shd w:val="clear" w:color="auto" w:fill="FFFFFF"/>
        </w:rPr>
        <w:footnoteReference w:id="4"/>
      </w:r>
      <w:r w:rsidR="002D2859" w:rsidRPr="00BE35AA">
        <w:rPr>
          <w:b w:val="0"/>
          <w:sz w:val="24"/>
          <w:szCs w:val="24"/>
          <w:shd w:val="clear" w:color="auto" w:fill="FFFFFF"/>
        </w:rPr>
        <w:t> </w:t>
      </w:r>
      <w:r w:rsidR="00233CB5" w:rsidRPr="00BE35AA">
        <w:rPr>
          <w:b w:val="0"/>
          <w:sz w:val="24"/>
          <w:szCs w:val="24"/>
          <w:shd w:val="clear" w:color="auto" w:fill="FFFFFF"/>
        </w:rPr>
        <w:t xml:space="preserve">is triggered when a person </w:t>
      </w:r>
      <w:r w:rsidR="00003CA0">
        <w:rPr>
          <w:b w:val="0"/>
          <w:sz w:val="24"/>
          <w:szCs w:val="24"/>
          <w:shd w:val="clear" w:color="auto" w:fill="FFFFFF"/>
        </w:rPr>
        <w:t>go into an</w:t>
      </w:r>
      <w:r w:rsidR="00233CB5" w:rsidRPr="00BE35AA">
        <w:rPr>
          <w:b w:val="0"/>
          <w:sz w:val="24"/>
          <w:szCs w:val="24"/>
          <w:shd w:val="clear" w:color="auto" w:fill="FFFFFF"/>
        </w:rPr>
        <w:t xml:space="preserve"> agreement</w:t>
      </w:r>
      <w:r w:rsidR="008551EC">
        <w:rPr>
          <w:b w:val="0"/>
          <w:sz w:val="24"/>
          <w:szCs w:val="24"/>
          <w:shd w:val="clear" w:color="auto" w:fill="FFFFFF"/>
        </w:rPr>
        <w:t xml:space="preserve"> in which the rights to </w:t>
      </w:r>
      <w:r w:rsidR="008551EC" w:rsidRPr="00BE35AA">
        <w:rPr>
          <w:b w:val="0"/>
          <w:sz w:val="24"/>
          <w:szCs w:val="24"/>
          <w:shd w:val="clear" w:color="auto" w:fill="FFFFFF"/>
        </w:rPr>
        <w:t>enjoyment</w:t>
      </w:r>
      <w:r w:rsidR="008551EC">
        <w:rPr>
          <w:b w:val="0"/>
          <w:sz w:val="24"/>
          <w:szCs w:val="24"/>
          <w:shd w:val="clear" w:color="auto" w:fill="FFFFFF"/>
        </w:rPr>
        <w:t xml:space="preserve"> and use </w:t>
      </w:r>
      <w:r w:rsidR="00233CB5" w:rsidRPr="00BE35AA">
        <w:rPr>
          <w:b w:val="0"/>
          <w:sz w:val="24"/>
          <w:szCs w:val="24"/>
          <w:shd w:val="clear" w:color="auto" w:fill="FFFFFF"/>
        </w:rPr>
        <w:t xml:space="preserve">of a CGT asset </w:t>
      </w:r>
      <w:r w:rsidR="00945752">
        <w:rPr>
          <w:b w:val="0"/>
          <w:sz w:val="24"/>
          <w:szCs w:val="24"/>
          <w:shd w:val="clear" w:color="auto" w:fill="FFFFFF"/>
        </w:rPr>
        <w:t xml:space="preserve">possessed </w:t>
      </w:r>
      <w:r w:rsidR="00233CB5" w:rsidRPr="00BE35AA">
        <w:rPr>
          <w:b w:val="0"/>
          <w:sz w:val="24"/>
          <w:szCs w:val="24"/>
          <w:shd w:val="clear" w:color="auto" w:fill="FFFFFF"/>
        </w:rPr>
        <w:t xml:space="preserve">by the </w:t>
      </w:r>
      <w:r w:rsidR="00E17C93" w:rsidRPr="00BE35AA">
        <w:rPr>
          <w:b w:val="0"/>
          <w:sz w:val="24"/>
          <w:szCs w:val="24"/>
          <w:shd w:val="clear" w:color="auto" w:fill="FFFFFF"/>
        </w:rPr>
        <w:t xml:space="preserve">person is passed to another individual </w:t>
      </w:r>
      <w:r w:rsidR="00945752">
        <w:rPr>
          <w:b w:val="0"/>
          <w:sz w:val="24"/>
          <w:szCs w:val="24"/>
          <w:shd w:val="clear" w:color="auto" w:fill="FFFFFF"/>
        </w:rPr>
        <w:t>and the asset</w:t>
      </w:r>
      <w:r w:rsidR="003B0FD7">
        <w:rPr>
          <w:b w:val="0"/>
          <w:sz w:val="24"/>
          <w:szCs w:val="24"/>
          <w:shd w:val="clear" w:color="auto" w:fill="FFFFFF"/>
        </w:rPr>
        <w:t>’s title</w:t>
      </w:r>
      <w:r w:rsidR="00945752">
        <w:rPr>
          <w:b w:val="0"/>
          <w:sz w:val="24"/>
          <w:szCs w:val="24"/>
          <w:shd w:val="clear" w:color="auto" w:fill="FFFFFF"/>
        </w:rPr>
        <w:t xml:space="preserve"> may or will </w:t>
      </w:r>
      <w:r w:rsidR="00E17C93" w:rsidRPr="00BE35AA">
        <w:rPr>
          <w:b w:val="0"/>
          <w:sz w:val="24"/>
          <w:szCs w:val="24"/>
          <w:shd w:val="clear" w:color="auto" w:fill="FFFFFF"/>
        </w:rPr>
        <w:t xml:space="preserve">pass to the other individual </w:t>
      </w:r>
      <w:r w:rsidR="00475CB7" w:rsidRPr="00BE35AA">
        <w:rPr>
          <w:b w:val="0"/>
          <w:sz w:val="24"/>
          <w:szCs w:val="24"/>
          <w:shd w:val="clear" w:color="auto" w:fill="FFFFFF"/>
        </w:rPr>
        <w:t xml:space="preserve">at the end of the agreement. </w:t>
      </w:r>
      <w:r w:rsidR="002B39F1" w:rsidRPr="00BE35AA">
        <w:rPr>
          <w:b w:val="0"/>
          <w:sz w:val="24"/>
          <w:szCs w:val="24"/>
        </w:rPr>
        <w:t xml:space="preserve">CGT event B1 s104-15 tax any capital </w:t>
      </w:r>
      <w:r w:rsidR="003B0FD7">
        <w:rPr>
          <w:b w:val="0"/>
          <w:sz w:val="24"/>
          <w:szCs w:val="24"/>
        </w:rPr>
        <w:t>loss</w:t>
      </w:r>
      <w:r w:rsidR="002B39F1" w:rsidRPr="00BE35AA">
        <w:rPr>
          <w:b w:val="0"/>
          <w:sz w:val="24"/>
          <w:szCs w:val="24"/>
        </w:rPr>
        <w:t xml:space="preserve"> or capital</w:t>
      </w:r>
      <w:r w:rsidR="003B0FD7">
        <w:rPr>
          <w:b w:val="0"/>
          <w:sz w:val="24"/>
          <w:szCs w:val="24"/>
        </w:rPr>
        <w:t xml:space="preserve"> gain</w:t>
      </w:r>
      <w:r w:rsidR="002B39F1" w:rsidRPr="00BE35AA">
        <w:rPr>
          <w:b w:val="0"/>
          <w:sz w:val="24"/>
          <w:szCs w:val="24"/>
        </w:rPr>
        <w:t xml:space="preserve"> </w:t>
      </w:r>
      <w:r w:rsidR="0027543F" w:rsidRPr="00BE35AA">
        <w:rPr>
          <w:b w:val="0"/>
          <w:sz w:val="24"/>
          <w:szCs w:val="24"/>
        </w:rPr>
        <w:t xml:space="preserve">earned when the </w:t>
      </w:r>
      <w:r w:rsidR="0086481E" w:rsidRPr="00BE35AA">
        <w:rPr>
          <w:b w:val="0"/>
          <w:sz w:val="24"/>
          <w:szCs w:val="24"/>
        </w:rPr>
        <w:t>individual</w:t>
      </w:r>
      <w:r w:rsidR="0027543F" w:rsidRPr="00BE35AA">
        <w:rPr>
          <w:b w:val="0"/>
          <w:sz w:val="24"/>
          <w:szCs w:val="24"/>
        </w:rPr>
        <w:t xml:space="preserve"> first obtains the </w:t>
      </w:r>
      <w:r w:rsidR="005040BF" w:rsidRPr="00BE35AA">
        <w:rPr>
          <w:b w:val="0"/>
          <w:sz w:val="24"/>
          <w:szCs w:val="24"/>
          <w:shd w:val="clear" w:color="auto" w:fill="FFFFFF"/>
        </w:rPr>
        <w:t>enjoyment</w:t>
      </w:r>
      <w:r w:rsidR="005040BF">
        <w:rPr>
          <w:b w:val="0"/>
          <w:sz w:val="24"/>
          <w:szCs w:val="24"/>
          <w:shd w:val="clear" w:color="auto" w:fill="FFFFFF"/>
        </w:rPr>
        <w:t xml:space="preserve"> and use </w:t>
      </w:r>
      <w:r w:rsidR="0027543F" w:rsidRPr="00BE35AA">
        <w:rPr>
          <w:b w:val="0"/>
          <w:sz w:val="24"/>
          <w:szCs w:val="24"/>
        </w:rPr>
        <w:t xml:space="preserve">of the person’s </w:t>
      </w:r>
      <w:r w:rsidR="0086481E" w:rsidRPr="00BE35AA">
        <w:rPr>
          <w:b w:val="0"/>
          <w:sz w:val="24"/>
          <w:szCs w:val="24"/>
        </w:rPr>
        <w:t xml:space="preserve">assets. </w:t>
      </w:r>
      <w:r w:rsidR="00ED1E5A" w:rsidRPr="00BE35AA">
        <w:rPr>
          <w:b w:val="0"/>
          <w:sz w:val="24"/>
          <w:szCs w:val="24"/>
        </w:rPr>
        <w:t>This</w:t>
      </w:r>
      <w:r w:rsidR="0086481E" w:rsidRPr="00BE35AA">
        <w:rPr>
          <w:b w:val="0"/>
          <w:sz w:val="24"/>
          <w:szCs w:val="24"/>
        </w:rPr>
        <w:t xml:space="preserve"> </w:t>
      </w:r>
      <w:r w:rsidR="00ED1E5A" w:rsidRPr="00BE35AA">
        <w:rPr>
          <w:b w:val="0"/>
          <w:sz w:val="24"/>
          <w:szCs w:val="24"/>
        </w:rPr>
        <w:t xml:space="preserve">CGT is only triggered when there is an agreement in which the asset </w:t>
      </w:r>
      <w:r w:rsidR="002A098A" w:rsidRPr="00BE35AA">
        <w:rPr>
          <w:b w:val="0"/>
          <w:sz w:val="24"/>
          <w:szCs w:val="24"/>
        </w:rPr>
        <w:t xml:space="preserve">title </w:t>
      </w:r>
      <w:r w:rsidR="00ED1E5A" w:rsidRPr="00BE35AA">
        <w:rPr>
          <w:b w:val="0"/>
          <w:sz w:val="24"/>
          <w:szCs w:val="24"/>
        </w:rPr>
        <w:t xml:space="preserve">will or might </w:t>
      </w:r>
      <w:r w:rsidR="002A098A" w:rsidRPr="00BE35AA">
        <w:rPr>
          <w:b w:val="0"/>
          <w:sz w:val="24"/>
          <w:szCs w:val="24"/>
        </w:rPr>
        <w:t xml:space="preserve">pass and if the asset does not pass, capital gains or losses are disregarded. </w:t>
      </w:r>
    </w:p>
    <w:p w:rsidR="00193E8A" w:rsidRPr="00BE35AA" w:rsidRDefault="006702E1" w:rsidP="00C04316">
      <w:pPr>
        <w:pStyle w:val="Heading3"/>
        <w:shd w:val="clear" w:color="auto" w:fill="FFFFFF"/>
        <w:spacing w:before="450" w:after="330" w:line="480" w:lineRule="auto"/>
        <w:ind w:firstLine="720"/>
        <w:contextualSpacing/>
        <w:rPr>
          <w:b w:val="0"/>
          <w:sz w:val="24"/>
          <w:szCs w:val="24"/>
        </w:rPr>
      </w:pPr>
      <w:r w:rsidRPr="00BE35AA">
        <w:rPr>
          <w:b w:val="0"/>
          <w:sz w:val="24"/>
          <w:szCs w:val="24"/>
        </w:rPr>
        <w:t>f)</w:t>
      </w:r>
      <w:r w:rsidR="00193E8A" w:rsidRPr="00BE35AA">
        <w:rPr>
          <w:b w:val="0"/>
          <w:sz w:val="24"/>
          <w:szCs w:val="24"/>
        </w:rPr>
        <w:t>. the</w:t>
      </w:r>
      <w:r w:rsidR="00EE51DA" w:rsidRPr="00BE35AA">
        <w:rPr>
          <w:b w:val="0"/>
          <w:sz w:val="24"/>
          <w:szCs w:val="24"/>
        </w:rPr>
        <w:t xml:space="preserve"> formula</w:t>
      </w:r>
      <w:r w:rsidR="005040BF">
        <w:rPr>
          <w:b w:val="0"/>
          <w:sz w:val="24"/>
          <w:szCs w:val="24"/>
        </w:rPr>
        <w:t>e</w:t>
      </w:r>
      <w:r w:rsidR="00EE51DA" w:rsidRPr="00BE35AA">
        <w:rPr>
          <w:b w:val="0"/>
          <w:sz w:val="24"/>
          <w:szCs w:val="24"/>
        </w:rPr>
        <w:t xml:space="preserve"> </w:t>
      </w:r>
      <w:r w:rsidR="00387756">
        <w:rPr>
          <w:b w:val="0"/>
          <w:sz w:val="24"/>
          <w:szCs w:val="24"/>
        </w:rPr>
        <w:t>enclosed</w:t>
      </w:r>
      <w:r w:rsidR="00EE51DA" w:rsidRPr="00BE35AA">
        <w:rPr>
          <w:b w:val="0"/>
          <w:sz w:val="24"/>
          <w:szCs w:val="24"/>
        </w:rPr>
        <w:t xml:space="preserve"> in </w:t>
      </w:r>
      <w:r w:rsidR="00710991" w:rsidRPr="00BE35AA">
        <w:rPr>
          <w:b w:val="0"/>
          <w:sz w:val="24"/>
          <w:szCs w:val="24"/>
        </w:rPr>
        <w:t>s</w:t>
      </w:r>
      <w:r w:rsidR="005040BF">
        <w:rPr>
          <w:b w:val="0"/>
          <w:sz w:val="24"/>
          <w:szCs w:val="24"/>
        </w:rPr>
        <w:t xml:space="preserve">ection </w:t>
      </w:r>
      <w:r w:rsidR="00710991" w:rsidRPr="00BE35AA">
        <w:rPr>
          <w:b w:val="0"/>
          <w:sz w:val="24"/>
          <w:szCs w:val="24"/>
        </w:rPr>
        <w:t>4-10(3)</w:t>
      </w:r>
      <w:r w:rsidR="00193E8A" w:rsidRPr="00BE35AA">
        <w:rPr>
          <w:b w:val="0"/>
          <w:sz w:val="24"/>
          <w:szCs w:val="24"/>
        </w:rPr>
        <w:t xml:space="preserve"> ITAA 1997</w:t>
      </w:r>
      <w:r w:rsidR="00227046">
        <w:rPr>
          <w:rStyle w:val="FootnoteReference"/>
          <w:b w:val="0"/>
          <w:sz w:val="24"/>
          <w:szCs w:val="24"/>
        </w:rPr>
        <w:footnoteReference w:id="5"/>
      </w:r>
      <w:r w:rsidR="00193E8A" w:rsidRPr="00BE35AA">
        <w:rPr>
          <w:b w:val="0"/>
          <w:sz w:val="24"/>
          <w:szCs w:val="24"/>
        </w:rPr>
        <w:t xml:space="preserve"> is expressed as; </w:t>
      </w:r>
    </w:p>
    <w:p w:rsidR="00C04316" w:rsidRPr="00BE35AA" w:rsidRDefault="005040BF" w:rsidP="00C04316">
      <w:pPr>
        <w:pStyle w:val="Heading3"/>
        <w:shd w:val="clear" w:color="auto" w:fill="FFFFFF"/>
        <w:spacing w:before="450" w:after="330" w:line="480" w:lineRule="auto"/>
        <w:contextualSpacing/>
        <w:rPr>
          <w:b w:val="0"/>
          <w:sz w:val="24"/>
          <w:szCs w:val="24"/>
        </w:rPr>
      </w:pPr>
      <w:r>
        <w:rPr>
          <w:b w:val="0"/>
          <w:sz w:val="24"/>
          <w:szCs w:val="24"/>
        </w:rPr>
        <w:t>Income Tax=</w:t>
      </w:r>
      <w:r w:rsidR="00710991" w:rsidRPr="00BE35AA">
        <w:rPr>
          <w:b w:val="0"/>
          <w:sz w:val="24"/>
          <w:szCs w:val="24"/>
        </w:rPr>
        <w:t>(Taxable Income x Tax Rates) – Offsets</w:t>
      </w:r>
    </w:p>
    <w:p w:rsidR="00A00233" w:rsidRDefault="00A00233" w:rsidP="00A00233">
      <w:pPr>
        <w:pStyle w:val="Heading3"/>
        <w:shd w:val="clear" w:color="auto" w:fill="FFFFFF"/>
        <w:spacing w:before="450" w:after="330" w:line="480" w:lineRule="auto"/>
        <w:contextualSpacing/>
        <w:rPr>
          <w:b w:val="0"/>
          <w:sz w:val="24"/>
          <w:szCs w:val="24"/>
        </w:rPr>
      </w:pPr>
      <w:r>
        <w:rPr>
          <w:b w:val="0"/>
          <w:sz w:val="24"/>
          <w:szCs w:val="24"/>
        </w:rPr>
        <w:t>This formula is applied to compute income tax for a particular financial year. The initial step is to multiply the taxable income with the individual’s tax rate to establish the income tax amount on the taxable income. The taxpayer will be required to incorporate all tax offsets which will lower the total income tax as they will be deducted from the tax acquired in the preceding step.</w:t>
      </w:r>
    </w:p>
    <w:p w:rsidR="00A00233" w:rsidRPr="00BE35AA" w:rsidRDefault="00A00233" w:rsidP="00A00233">
      <w:pPr>
        <w:spacing w:line="480" w:lineRule="auto"/>
        <w:ind w:firstLine="720"/>
        <w:contextualSpacing/>
        <w:rPr>
          <w:rFonts w:ascii="Times New Roman" w:hAnsi="Times New Roman" w:cs="Times New Roman"/>
          <w:sz w:val="24"/>
          <w:szCs w:val="24"/>
        </w:rPr>
      </w:pPr>
      <w:r w:rsidRPr="00BE35AA">
        <w:rPr>
          <w:rFonts w:ascii="Times New Roman" w:hAnsi="Times New Roman" w:cs="Times New Roman"/>
          <w:b/>
          <w:sz w:val="24"/>
          <w:szCs w:val="24"/>
        </w:rPr>
        <w:lastRenderedPageBreak/>
        <w:t xml:space="preserve">g). </w:t>
      </w:r>
      <w:r>
        <w:rPr>
          <w:rFonts w:ascii="Times New Roman" w:hAnsi="Times New Roman" w:cs="Times New Roman"/>
          <w:sz w:val="24"/>
          <w:szCs w:val="24"/>
        </w:rPr>
        <w:t xml:space="preserve">the deduction of legal expenditure was </w:t>
      </w:r>
      <w:r w:rsidRPr="00BE35AA">
        <w:rPr>
          <w:rFonts w:ascii="Times New Roman" w:hAnsi="Times New Roman" w:cs="Times New Roman"/>
          <w:sz w:val="24"/>
          <w:szCs w:val="24"/>
        </w:rPr>
        <w:t>reviewed by theHigh Court in FC of T v Day 2008 ATC 20-064</w:t>
      </w:r>
      <w:r>
        <w:rPr>
          <w:rStyle w:val="FootnoteReference"/>
          <w:rFonts w:ascii="Times New Roman" w:hAnsi="Times New Roman" w:cs="Times New Roman"/>
          <w:sz w:val="24"/>
          <w:szCs w:val="24"/>
        </w:rPr>
        <w:footnoteReference w:id="6"/>
      </w:r>
      <w:r w:rsidRPr="00BE35AA">
        <w:rPr>
          <w:rFonts w:ascii="Times New Roman" w:hAnsi="Times New Roman" w:cs="Times New Roman"/>
          <w:sz w:val="24"/>
          <w:szCs w:val="24"/>
        </w:rPr>
        <w:t xml:space="preserve">. under s8 (1) of the </w:t>
      </w:r>
      <w:r w:rsidRPr="00BE35AA">
        <w:rPr>
          <w:rFonts w:ascii="Times New Roman" w:hAnsi="Times New Roman" w:cs="Times New Roman"/>
          <w:i/>
          <w:sz w:val="24"/>
          <w:szCs w:val="24"/>
        </w:rPr>
        <w:t>ITAA 97</w:t>
      </w:r>
      <w:r w:rsidRPr="00BE35AA">
        <w:rPr>
          <w:rFonts w:ascii="Times New Roman" w:hAnsi="Times New Roman" w:cs="Times New Roman"/>
          <w:sz w:val="24"/>
          <w:szCs w:val="24"/>
        </w:rPr>
        <w:t xml:space="preserve">, a public servant officer </w:t>
      </w:r>
      <w:r>
        <w:rPr>
          <w:rFonts w:ascii="Times New Roman" w:hAnsi="Times New Roman" w:cs="Times New Roman"/>
          <w:sz w:val="24"/>
          <w:szCs w:val="24"/>
        </w:rPr>
        <w:t xml:space="preserve">requested for a deduct in legal expenditures </w:t>
      </w:r>
      <w:r w:rsidRPr="00BE35AA">
        <w:rPr>
          <w:rFonts w:ascii="Times New Roman" w:hAnsi="Times New Roman" w:cs="Times New Roman"/>
          <w:sz w:val="24"/>
          <w:szCs w:val="24"/>
        </w:rPr>
        <w:t xml:space="preserve">he </w:t>
      </w:r>
      <w:r>
        <w:rPr>
          <w:rFonts w:ascii="Times New Roman" w:hAnsi="Times New Roman" w:cs="Times New Roman"/>
          <w:sz w:val="24"/>
          <w:szCs w:val="24"/>
        </w:rPr>
        <w:t>spend</w:t>
      </w:r>
      <w:r w:rsidRPr="00BE35AA">
        <w:rPr>
          <w:rFonts w:ascii="Times New Roman" w:hAnsi="Times New Roman" w:cs="Times New Roman"/>
          <w:sz w:val="24"/>
          <w:szCs w:val="24"/>
        </w:rPr>
        <w:t xml:space="preserve"> as a result of several cases related to disciplinary charges filed by his employer against him. </w:t>
      </w:r>
      <w:r>
        <w:rPr>
          <w:rFonts w:ascii="Times New Roman" w:hAnsi="Times New Roman" w:cs="Times New Roman"/>
          <w:sz w:val="24"/>
          <w:szCs w:val="24"/>
        </w:rPr>
        <w:t xml:space="preserve"> It is highlighted in S 8 (1) that any legal expenses spent on the production of assessable income </w:t>
      </w:r>
      <w:r w:rsidRPr="00BE35AA">
        <w:rPr>
          <w:rFonts w:ascii="Times New Roman" w:hAnsi="Times New Roman" w:cs="Times New Roman"/>
          <w:sz w:val="24"/>
          <w:szCs w:val="24"/>
        </w:rPr>
        <w:t>and further, the under the Public Service Act 1922</w:t>
      </w:r>
      <w:r>
        <w:rPr>
          <w:rStyle w:val="FootnoteReference"/>
          <w:rFonts w:ascii="Times New Roman" w:hAnsi="Times New Roman" w:cs="Times New Roman"/>
          <w:sz w:val="24"/>
          <w:szCs w:val="24"/>
        </w:rPr>
        <w:footnoteReference w:id="7"/>
      </w:r>
      <w:r w:rsidRPr="00BE35AA">
        <w:rPr>
          <w:rFonts w:ascii="Times New Roman" w:hAnsi="Times New Roman" w:cs="Times New Roman"/>
          <w:sz w:val="24"/>
          <w:szCs w:val="24"/>
        </w:rPr>
        <w:t>, customs officers are entitled to legal expenses deductions. However, in this case,</w:t>
      </w:r>
      <w:r>
        <w:rPr>
          <w:rFonts w:ascii="Times New Roman" w:hAnsi="Times New Roman" w:cs="Times New Roman"/>
          <w:sz w:val="24"/>
          <w:szCs w:val="24"/>
        </w:rPr>
        <w:t xml:space="preserve"> it was ascertained that the legal expenditures </w:t>
      </w:r>
      <w:r w:rsidRPr="00BE35AA">
        <w:rPr>
          <w:rFonts w:ascii="Times New Roman" w:hAnsi="Times New Roman" w:cs="Times New Roman"/>
          <w:sz w:val="24"/>
          <w:szCs w:val="24"/>
        </w:rPr>
        <w:t>were</w:t>
      </w:r>
      <w:r>
        <w:rPr>
          <w:rFonts w:ascii="Times New Roman" w:hAnsi="Times New Roman" w:cs="Times New Roman"/>
          <w:sz w:val="24"/>
          <w:szCs w:val="24"/>
        </w:rPr>
        <w:t xml:space="preserve"> </w:t>
      </w:r>
      <w:r w:rsidRPr="00BE35AA">
        <w:rPr>
          <w:rFonts w:ascii="Times New Roman" w:hAnsi="Times New Roman" w:cs="Times New Roman"/>
          <w:sz w:val="24"/>
          <w:szCs w:val="24"/>
        </w:rPr>
        <w:t>disallowed</w:t>
      </w:r>
      <w:r>
        <w:rPr>
          <w:rFonts w:ascii="Times New Roman" w:hAnsi="Times New Roman" w:cs="Times New Roman"/>
          <w:sz w:val="24"/>
          <w:szCs w:val="24"/>
        </w:rPr>
        <w:t xml:space="preserve"> </w:t>
      </w:r>
      <w:r w:rsidRPr="00BE35AA">
        <w:rPr>
          <w:rFonts w:ascii="Times New Roman" w:hAnsi="Times New Roman" w:cs="Times New Roman"/>
          <w:sz w:val="24"/>
          <w:szCs w:val="24"/>
        </w:rPr>
        <w:t>deductible</w:t>
      </w:r>
      <w:r>
        <w:rPr>
          <w:rFonts w:ascii="Times New Roman" w:hAnsi="Times New Roman" w:cs="Times New Roman"/>
          <w:sz w:val="24"/>
          <w:szCs w:val="24"/>
        </w:rPr>
        <w:t xml:space="preserve"> </w:t>
      </w:r>
      <w:r w:rsidRPr="00BE35AA">
        <w:rPr>
          <w:rFonts w:ascii="Times New Roman" w:hAnsi="Times New Roman" w:cs="Times New Roman"/>
          <w:sz w:val="24"/>
          <w:szCs w:val="24"/>
        </w:rPr>
        <w:t xml:space="preserve">based on </w:t>
      </w:r>
      <w:r w:rsidRPr="00BE35AA">
        <w:rPr>
          <w:rFonts w:ascii="Times New Roman" w:hAnsi="Times New Roman" w:cs="Times New Roman"/>
          <w:sz w:val="24"/>
          <w:szCs w:val="24"/>
          <w:shd w:val="clear" w:color="auto" w:fill="FFFFFF"/>
        </w:rPr>
        <w:t>s 8-1(2)(b) of losses or outgoings of a private nature. This ruling is significance as it outlines that costs</w:t>
      </w:r>
      <w:r>
        <w:rPr>
          <w:rFonts w:ascii="Times New Roman" w:hAnsi="Times New Roman" w:cs="Times New Roman"/>
          <w:sz w:val="24"/>
          <w:szCs w:val="24"/>
          <w:shd w:val="clear" w:color="auto" w:fill="FFFFFF"/>
        </w:rPr>
        <w:t xml:space="preserve"> </w:t>
      </w:r>
      <w:r w:rsidRPr="00BE35AA">
        <w:rPr>
          <w:rFonts w:ascii="Times New Roman" w:hAnsi="Times New Roman" w:cs="Times New Roman"/>
          <w:sz w:val="24"/>
          <w:szCs w:val="24"/>
          <w:shd w:val="clear" w:color="auto" w:fill="FFFFFF"/>
        </w:rPr>
        <w:t xml:space="preserve">incurred in defending conduct are not deductible as the costs were </w:t>
      </w:r>
      <w:r>
        <w:rPr>
          <w:rFonts w:ascii="Times New Roman" w:hAnsi="Times New Roman" w:cs="Times New Roman"/>
          <w:sz w:val="24"/>
          <w:szCs w:val="24"/>
          <w:shd w:val="clear" w:color="auto" w:fill="FFFFFF"/>
        </w:rPr>
        <w:t>not utilized</w:t>
      </w:r>
      <w:r w:rsidRPr="00BE35AA">
        <w:rPr>
          <w:rFonts w:ascii="Times New Roman" w:hAnsi="Times New Roman" w:cs="Times New Roman"/>
          <w:sz w:val="24"/>
          <w:szCs w:val="24"/>
          <w:shd w:val="clear" w:color="auto" w:fill="FFFFFF"/>
        </w:rPr>
        <w:t xml:space="preserve"> in the course of producing or gaining </w:t>
      </w:r>
      <w:r w:rsidRPr="00BE35AA">
        <w:rPr>
          <w:rFonts w:ascii="Times New Roman" w:hAnsi="Times New Roman" w:cs="Times New Roman"/>
          <w:sz w:val="24"/>
          <w:szCs w:val="24"/>
        </w:rPr>
        <w:t>assessable</w:t>
      </w:r>
      <w:r w:rsidRPr="00BE35AA">
        <w:rPr>
          <w:rFonts w:ascii="Times New Roman" w:hAnsi="Times New Roman" w:cs="Times New Roman"/>
          <w:sz w:val="24"/>
          <w:szCs w:val="24"/>
          <w:shd w:val="clear" w:color="auto" w:fill="FFFFFF"/>
        </w:rPr>
        <w:t xml:space="preserve"> income. </w:t>
      </w:r>
    </w:p>
    <w:p w:rsidR="00A00233" w:rsidRDefault="00A00233" w:rsidP="00A00233">
      <w:pPr>
        <w:spacing w:line="480" w:lineRule="auto"/>
        <w:ind w:firstLine="720"/>
        <w:contextualSpacing/>
        <w:rPr>
          <w:rFonts w:ascii="Times New Roman" w:hAnsi="Times New Roman" w:cs="Times New Roman"/>
          <w:sz w:val="24"/>
          <w:szCs w:val="24"/>
        </w:rPr>
      </w:pPr>
      <w:r w:rsidRPr="00BE35AA">
        <w:rPr>
          <w:rFonts w:ascii="Times New Roman" w:hAnsi="Times New Roman" w:cs="Times New Roman"/>
          <w:sz w:val="24"/>
          <w:szCs w:val="24"/>
        </w:rPr>
        <w:t xml:space="preserve">h) </w:t>
      </w:r>
      <w:r>
        <w:rPr>
          <w:rFonts w:ascii="Times New Roman" w:hAnsi="Times New Roman" w:cs="Times New Roman"/>
          <w:sz w:val="24"/>
          <w:szCs w:val="24"/>
        </w:rPr>
        <w:t xml:space="preserve">Marginal rate refers to a tax rate which is applied </w:t>
      </w:r>
      <w:r w:rsidRPr="00BE35AA">
        <w:rPr>
          <w:rFonts w:ascii="Times New Roman" w:hAnsi="Times New Roman" w:cs="Times New Roman"/>
          <w:sz w:val="24"/>
          <w:szCs w:val="24"/>
        </w:rPr>
        <w:t xml:space="preserve">to the incremental amount of the tax base. On the other hand, </w:t>
      </w:r>
      <w:r>
        <w:rPr>
          <w:rFonts w:ascii="Times New Roman" w:hAnsi="Times New Roman" w:cs="Times New Roman"/>
          <w:sz w:val="24"/>
          <w:szCs w:val="24"/>
        </w:rPr>
        <w:t xml:space="preserve">the entire amount of tax a person pays divided by the taxable income is referred to as the average rate. </w:t>
      </w:r>
    </w:p>
    <w:p w:rsidR="00A00233" w:rsidRPr="00BE35AA" w:rsidRDefault="00A00233" w:rsidP="00A00233">
      <w:pPr>
        <w:spacing w:after="240" w:line="480" w:lineRule="auto"/>
        <w:ind w:firstLine="720"/>
        <w:rPr>
          <w:rFonts w:ascii="Times New Roman" w:hAnsi="Times New Roman" w:cs="Times New Roman"/>
          <w:sz w:val="24"/>
          <w:szCs w:val="24"/>
        </w:rPr>
      </w:pPr>
      <w:r w:rsidRPr="00BE35AA">
        <w:rPr>
          <w:rFonts w:ascii="Times New Roman" w:hAnsi="Times New Roman" w:cs="Times New Roman"/>
          <w:sz w:val="24"/>
          <w:szCs w:val="24"/>
        </w:rPr>
        <w:t xml:space="preserve">i). </w:t>
      </w:r>
      <w:r>
        <w:rPr>
          <w:rFonts w:ascii="Times New Roman" w:hAnsi="Times New Roman" w:cs="Times New Roman"/>
          <w:sz w:val="24"/>
          <w:szCs w:val="24"/>
        </w:rPr>
        <w:t>Consumption Tax refers a tax whose economic incidence relies on the consumer for instance through the increase in the cost of goods and services. It is more focused on consumption rather than earning as in the case of income tax. The goods and services tax was established in 1</w:t>
      </w:r>
      <w:r w:rsidRPr="00C448E3">
        <w:rPr>
          <w:rFonts w:ascii="Times New Roman" w:hAnsi="Times New Roman" w:cs="Times New Roman"/>
          <w:sz w:val="24"/>
          <w:szCs w:val="24"/>
          <w:vertAlign w:val="superscript"/>
        </w:rPr>
        <w:t>st</w:t>
      </w:r>
      <w:r>
        <w:rPr>
          <w:rFonts w:ascii="Times New Roman" w:hAnsi="Times New Roman" w:cs="Times New Roman"/>
          <w:sz w:val="24"/>
          <w:szCs w:val="24"/>
        </w:rPr>
        <w:t xml:space="preserve"> July 2000. The burden of the increase in prices falls on the consumers who are not entitled to any credits. They therefore absorb the GST cost in the prices they purchase goods and services.</w:t>
      </w:r>
    </w:p>
    <w:p w:rsidR="007576CB" w:rsidRPr="00BE35AA" w:rsidRDefault="00A35C47" w:rsidP="00C04316">
      <w:pPr>
        <w:spacing w:line="480" w:lineRule="auto"/>
        <w:ind w:firstLine="720"/>
        <w:contextualSpacing/>
        <w:rPr>
          <w:rFonts w:ascii="Times New Roman" w:hAnsi="Times New Roman" w:cs="Times New Roman"/>
          <w:b/>
          <w:sz w:val="24"/>
          <w:szCs w:val="24"/>
        </w:rPr>
      </w:pPr>
      <w:r w:rsidRPr="00BE35AA">
        <w:rPr>
          <w:rFonts w:ascii="Times New Roman" w:hAnsi="Times New Roman" w:cs="Times New Roman"/>
          <w:b/>
          <w:sz w:val="24"/>
          <w:szCs w:val="24"/>
        </w:rPr>
        <w:t>Question 2</w:t>
      </w:r>
    </w:p>
    <w:p w:rsidR="00BD53D8" w:rsidRPr="00BE35AA" w:rsidRDefault="00A40500" w:rsidP="00C04316">
      <w:pPr>
        <w:spacing w:line="480" w:lineRule="auto"/>
        <w:ind w:firstLine="720"/>
        <w:contextualSpacing/>
        <w:rPr>
          <w:rFonts w:ascii="Times New Roman" w:hAnsi="Times New Roman" w:cs="Times New Roman"/>
          <w:sz w:val="24"/>
          <w:szCs w:val="24"/>
          <w:shd w:val="clear" w:color="auto" w:fill="FFFFFF"/>
        </w:rPr>
      </w:pPr>
      <w:r w:rsidRPr="00BE35AA">
        <w:rPr>
          <w:rFonts w:ascii="Times New Roman" w:hAnsi="Times New Roman" w:cs="Times New Roman"/>
          <w:sz w:val="24"/>
          <w:szCs w:val="24"/>
        </w:rPr>
        <w:t xml:space="preserve">a). </w:t>
      </w:r>
      <w:r w:rsidR="00BD53D8" w:rsidRPr="00BE35AA">
        <w:rPr>
          <w:rFonts w:ascii="Times New Roman" w:hAnsi="Times New Roman" w:cs="Times New Roman"/>
          <w:sz w:val="24"/>
          <w:szCs w:val="24"/>
        </w:rPr>
        <w:t xml:space="preserve">Since Brett took a loan to pay employee wages, </w:t>
      </w:r>
      <w:r w:rsidR="00436483" w:rsidRPr="00BE35AA">
        <w:rPr>
          <w:rFonts w:ascii="Times New Roman" w:hAnsi="Times New Roman" w:cs="Times New Roman"/>
          <w:sz w:val="24"/>
          <w:szCs w:val="24"/>
        </w:rPr>
        <w:t xml:space="preserve">the interest </w:t>
      </w:r>
      <w:r w:rsidR="009707D2" w:rsidRPr="00BE35AA">
        <w:rPr>
          <w:rFonts w:ascii="Times New Roman" w:hAnsi="Times New Roman" w:cs="Times New Roman"/>
          <w:sz w:val="24"/>
          <w:szCs w:val="24"/>
        </w:rPr>
        <w:t xml:space="preserve">expense is deductable. Individuals can claim deductions for expenses incurred in earning investment and assessable </w:t>
      </w:r>
      <w:r w:rsidR="00D16C1F" w:rsidRPr="00BE35AA">
        <w:rPr>
          <w:rFonts w:ascii="Times New Roman" w:hAnsi="Times New Roman" w:cs="Times New Roman"/>
          <w:sz w:val="24"/>
          <w:szCs w:val="24"/>
        </w:rPr>
        <w:lastRenderedPageBreak/>
        <w:t>income. Additionally, despite the loan being secured using his per</w:t>
      </w:r>
      <w:r w:rsidR="006B7008" w:rsidRPr="00BE35AA">
        <w:rPr>
          <w:rFonts w:ascii="Times New Roman" w:hAnsi="Times New Roman" w:cs="Times New Roman"/>
          <w:sz w:val="24"/>
          <w:szCs w:val="24"/>
        </w:rPr>
        <w:t xml:space="preserve">sonal home, Brett is still qualified to deduct home equity loan interest as the loan was primarily utilized for business purposes. </w:t>
      </w:r>
      <w:r w:rsidR="009876A0" w:rsidRPr="00BE35AA">
        <w:rPr>
          <w:rFonts w:ascii="Times New Roman" w:hAnsi="Times New Roman" w:cs="Times New Roman"/>
          <w:sz w:val="24"/>
          <w:szCs w:val="24"/>
        </w:rPr>
        <w:t xml:space="preserve">Interest accrued by business owners from personal loans to fund their businesses </w:t>
      </w:r>
      <w:r w:rsidR="009876A0" w:rsidRPr="00BE35AA">
        <w:rPr>
          <w:rFonts w:ascii="Times New Roman" w:hAnsi="Times New Roman" w:cs="Times New Roman"/>
          <w:sz w:val="24"/>
          <w:szCs w:val="24"/>
          <w:shd w:val="clear" w:color="auto" w:fill="FFFFFF"/>
        </w:rPr>
        <w:t>can deduct</w:t>
      </w:r>
      <w:r w:rsidR="00AA0C56" w:rsidRPr="00BE35AA">
        <w:rPr>
          <w:rFonts w:ascii="Times New Roman" w:hAnsi="Times New Roman" w:cs="Times New Roman"/>
          <w:sz w:val="24"/>
          <w:szCs w:val="24"/>
          <w:shd w:val="clear" w:color="auto" w:fill="FFFFFF"/>
        </w:rPr>
        <w:t>ed</w:t>
      </w:r>
      <w:r w:rsidR="009876A0" w:rsidRPr="00BE35AA">
        <w:rPr>
          <w:rFonts w:ascii="Times New Roman" w:hAnsi="Times New Roman" w:cs="Times New Roman"/>
          <w:sz w:val="24"/>
          <w:szCs w:val="24"/>
          <w:shd w:val="clear" w:color="auto" w:fill="FFFFFF"/>
        </w:rPr>
        <w:t xml:space="preserve"> from </w:t>
      </w:r>
      <w:r w:rsidR="00AA0C56" w:rsidRPr="00BE35AA">
        <w:rPr>
          <w:rFonts w:ascii="Times New Roman" w:hAnsi="Times New Roman" w:cs="Times New Roman"/>
          <w:sz w:val="24"/>
          <w:szCs w:val="24"/>
          <w:shd w:val="clear" w:color="auto" w:fill="FFFFFF"/>
        </w:rPr>
        <w:t>their</w:t>
      </w:r>
      <w:r w:rsidR="009876A0" w:rsidRPr="00BE35AA">
        <w:rPr>
          <w:rFonts w:ascii="Times New Roman" w:hAnsi="Times New Roman" w:cs="Times New Roman"/>
          <w:sz w:val="24"/>
          <w:szCs w:val="24"/>
          <w:shd w:val="clear" w:color="auto" w:fill="FFFFFF"/>
        </w:rPr>
        <w:t xml:space="preserve"> tax bill</w:t>
      </w:r>
      <w:r w:rsidR="00AA0C56" w:rsidRPr="00BE35AA">
        <w:rPr>
          <w:rFonts w:ascii="Times New Roman" w:hAnsi="Times New Roman" w:cs="Times New Roman"/>
          <w:sz w:val="24"/>
          <w:szCs w:val="24"/>
          <w:shd w:val="clear" w:color="auto" w:fill="FFFFFF"/>
        </w:rPr>
        <w:t xml:space="preserve"> and tax deductions can be claimed in personal income tax filing. </w:t>
      </w:r>
    </w:p>
    <w:p w:rsidR="00AE39CA" w:rsidRPr="00BE35AA" w:rsidRDefault="00A40500" w:rsidP="00C04316">
      <w:pPr>
        <w:pStyle w:val="NormalWeb"/>
        <w:shd w:val="clear" w:color="auto" w:fill="FFFFFF"/>
        <w:spacing w:before="0" w:beforeAutospacing="0" w:after="158" w:afterAutospacing="0" w:line="480" w:lineRule="auto"/>
        <w:ind w:firstLine="720"/>
        <w:contextualSpacing/>
        <w:rPr>
          <w:shd w:val="clear" w:color="auto" w:fill="FFFFFF"/>
        </w:rPr>
      </w:pPr>
      <w:r w:rsidRPr="00BE35AA">
        <w:rPr>
          <w:shd w:val="clear" w:color="auto" w:fill="FFFFFF"/>
        </w:rPr>
        <w:t>b</w:t>
      </w:r>
      <w:r w:rsidR="00CD0253" w:rsidRPr="00BE35AA">
        <w:rPr>
          <w:shd w:val="clear" w:color="auto" w:fill="FFFFFF"/>
        </w:rPr>
        <w:t>).</w:t>
      </w:r>
      <w:r w:rsidR="00104C03" w:rsidRPr="00BE35AA">
        <w:rPr>
          <w:shd w:val="clear" w:color="auto" w:fill="FFFFFF"/>
        </w:rPr>
        <w:t xml:space="preserve"> the mobile phone charges incurred by Julie are deductable but </w:t>
      </w:r>
      <w:r w:rsidR="00CD0253" w:rsidRPr="00BE35AA">
        <w:rPr>
          <w:shd w:val="clear" w:color="auto" w:fill="FFFFFF"/>
        </w:rPr>
        <w:t xml:space="preserve">only the percentage used for work related calls. The current tax system allows tax deductions for most costs </w:t>
      </w:r>
      <w:r w:rsidR="0084500B" w:rsidRPr="00BE35AA">
        <w:rPr>
          <w:shd w:val="clear" w:color="auto" w:fill="FFFFFF"/>
        </w:rPr>
        <w:t>incurred in running businesses by reducing the taxable income</w:t>
      </w:r>
      <w:r w:rsidR="000B0821" w:rsidRPr="00BE35AA">
        <w:rPr>
          <w:shd w:val="clear" w:color="auto" w:fill="FFFFFF"/>
        </w:rPr>
        <w:t xml:space="preserve">. Employees who use their personal mobile phones for work related </w:t>
      </w:r>
      <w:r w:rsidR="00381B2A" w:rsidRPr="00BE35AA">
        <w:rPr>
          <w:shd w:val="clear" w:color="auto" w:fill="FFFFFF"/>
        </w:rPr>
        <w:t xml:space="preserve">activities are allowed to claim deductions for the </w:t>
      </w:r>
      <w:r w:rsidR="004440C8" w:rsidRPr="00BE35AA">
        <w:rPr>
          <w:shd w:val="clear" w:color="auto" w:fill="FFFFFF"/>
        </w:rPr>
        <w:t>mobile phone charges</w:t>
      </w:r>
      <w:r w:rsidR="00381B2A" w:rsidRPr="00BE35AA">
        <w:rPr>
          <w:shd w:val="clear" w:color="auto" w:fill="FFFFFF"/>
        </w:rPr>
        <w:t xml:space="preserve"> incurred </w:t>
      </w:r>
      <w:r w:rsidR="004440C8" w:rsidRPr="00BE35AA">
        <w:rPr>
          <w:shd w:val="clear" w:color="auto" w:fill="FFFFFF"/>
        </w:rPr>
        <w:t xml:space="preserve">provided that the </w:t>
      </w:r>
      <w:r w:rsidR="004569C3" w:rsidRPr="00BE35AA">
        <w:rPr>
          <w:shd w:val="clear" w:color="auto" w:fill="FFFFFF"/>
        </w:rPr>
        <w:t xml:space="preserve">costs incurred by the </w:t>
      </w:r>
      <w:r w:rsidR="004440C8" w:rsidRPr="00BE35AA">
        <w:rPr>
          <w:shd w:val="clear" w:color="auto" w:fill="FFFFFF"/>
        </w:rPr>
        <w:t xml:space="preserve">employees were not paid </w:t>
      </w:r>
      <w:r w:rsidR="004569C3" w:rsidRPr="00BE35AA">
        <w:rPr>
          <w:shd w:val="clear" w:color="auto" w:fill="FFFFFF"/>
        </w:rPr>
        <w:t xml:space="preserve">by the employer and </w:t>
      </w:r>
      <w:r w:rsidR="005610F3" w:rsidRPr="00BE35AA">
        <w:rPr>
          <w:shd w:val="clear" w:color="auto" w:fill="FFFFFF"/>
        </w:rPr>
        <w:t>there are</w:t>
      </w:r>
      <w:r w:rsidR="004569C3" w:rsidRPr="00BE35AA">
        <w:rPr>
          <w:shd w:val="clear" w:color="auto" w:fill="FFFFFF"/>
        </w:rPr>
        <w:t xml:space="preserve"> records to support these claims. </w:t>
      </w:r>
      <w:r w:rsidR="005610F3" w:rsidRPr="00BE35AA">
        <w:rPr>
          <w:shd w:val="clear" w:color="auto" w:fill="FFFFFF"/>
        </w:rPr>
        <w:t xml:space="preserve">Also, for employees who use their mobile phones for both work and personal purposes as in the case of Julie, </w:t>
      </w:r>
      <w:r w:rsidR="0073488B" w:rsidRPr="00BE35AA">
        <w:rPr>
          <w:shd w:val="clear" w:color="auto" w:fill="FFFFFF"/>
        </w:rPr>
        <w:t xml:space="preserve">deduction is allowed but only for the percentage used for work purposes. </w:t>
      </w:r>
      <w:r w:rsidR="00764A27" w:rsidRPr="00BE35AA">
        <w:rPr>
          <w:shd w:val="clear" w:color="auto" w:fill="FFFFFF"/>
        </w:rPr>
        <w:t xml:space="preserve">For Julie, out of the $500 </w:t>
      </w:r>
      <w:r w:rsidR="00CD0E4F" w:rsidRPr="00BE35AA">
        <w:rPr>
          <w:shd w:val="clear" w:color="auto" w:fill="FFFFFF"/>
        </w:rPr>
        <w:t>spend on mobile phone charges</w:t>
      </w:r>
      <w:r w:rsidR="00101D28" w:rsidRPr="00BE35AA">
        <w:rPr>
          <w:shd w:val="clear" w:color="auto" w:fill="FFFFFF"/>
        </w:rPr>
        <w:t xml:space="preserve">, the </w:t>
      </w:r>
      <w:r w:rsidR="00CD0E4F" w:rsidRPr="00BE35AA">
        <w:rPr>
          <w:shd w:val="clear" w:color="auto" w:fill="FFFFFF"/>
        </w:rPr>
        <w:t xml:space="preserve">only allowable </w:t>
      </w:r>
      <w:r w:rsidR="00101D28" w:rsidRPr="00BE35AA">
        <w:rPr>
          <w:shd w:val="clear" w:color="auto" w:fill="FFFFFF"/>
        </w:rPr>
        <w:t xml:space="preserve">deductable amount will be $300 which represents the amount used for work related </w:t>
      </w:r>
      <w:r w:rsidR="007B0D51" w:rsidRPr="00BE35AA">
        <w:rPr>
          <w:shd w:val="clear" w:color="auto" w:fill="FFFFFF"/>
        </w:rPr>
        <w:t xml:space="preserve">purposes. However, </w:t>
      </w:r>
      <w:r w:rsidR="00531EF0" w:rsidRPr="00BE35AA">
        <w:rPr>
          <w:shd w:val="clear" w:color="auto" w:fill="FFFFFF"/>
        </w:rPr>
        <w:t xml:space="preserve">Julie must have kept complete and accurate records to support </w:t>
      </w:r>
      <w:r w:rsidR="004B2505" w:rsidRPr="00BE35AA">
        <w:rPr>
          <w:shd w:val="clear" w:color="auto" w:fill="FFFFFF"/>
        </w:rPr>
        <w:t xml:space="preserve">her assumption in order to claim the deduction. </w:t>
      </w:r>
    </w:p>
    <w:p w:rsidR="00865124" w:rsidRPr="00BE35AA" w:rsidRDefault="004B2505" w:rsidP="00AE1DA7">
      <w:pPr>
        <w:spacing w:after="0" w:line="480" w:lineRule="auto"/>
        <w:rPr>
          <w:rFonts w:ascii="Times New Roman" w:hAnsi="Times New Roman" w:cs="Times New Roman"/>
          <w:sz w:val="24"/>
          <w:szCs w:val="24"/>
        </w:rPr>
      </w:pPr>
      <w:r w:rsidRPr="00BE35AA">
        <w:rPr>
          <w:rFonts w:ascii="Times New Roman" w:hAnsi="Times New Roman" w:cs="Times New Roman"/>
          <w:sz w:val="24"/>
          <w:szCs w:val="24"/>
          <w:shd w:val="clear" w:color="auto" w:fill="FFFFFF"/>
        </w:rPr>
        <w:t>c)</w:t>
      </w:r>
      <w:r w:rsidR="00865124" w:rsidRPr="00BE35AA">
        <w:rPr>
          <w:rFonts w:ascii="Times New Roman" w:hAnsi="Times New Roman" w:cs="Times New Roman"/>
          <w:sz w:val="24"/>
          <w:szCs w:val="24"/>
          <w:shd w:val="clear" w:color="auto" w:fill="FFFFFF"/>
        </w:rPr>
        <w:t>. sec</w:t>
      </w:r>
      <w:r w:rsidR="00DF3204" w:rsidRPr="00BE35AA">
        <w:rPr>
          <w:rFonts w:ascii="Times New Roman" w:hAnsi="Times New Roman" w:cs="Times New Roman"/>
          <w:sz w:val="24"/>
          <w:szCs w:val="24"/>
        </w:rPr>
        <w:t xml:space="preserve"> 8-1 of ITAA 1997</w:t>
      </w:r>
      <w:r w:rsidR="00865124" w:rsidRPr="00BE35AA">
        <w:rPr>
          <w:rFonts w:ascii="Times New Roman" w:hAnsi="Times New Roman" w:cs="Times New Roman"/>
          <w:sz w:val="24"/>
          <w:szCs w:val="24"/>
        </w:rPr>
        <w:t xml:space="preserve"> outlines that any costs incurred in producing or gaining assessable income or </w:t>
      </w:r>
      <w:r w:rsidR="00F00E74" w:rsidRPr="00BE35AA">
        <w:rPr>
          <w:rFonts w:ascii="Times New Roman" w:hAnsi="Times New Roman" w:cs="Times New Roman"/>
          <w:sz w:val="24"/>
          <w:szCs w:val="24"/>
        </w:rPr>
        <w:t xml:space="preserve">necessarily acquired in </w:t>
      </w:r>
      <w:r w:rsidR="002D006E" w:rsidRPr="00BE35AA">
        <w:rPr>
          <w:rFonts w:ascii="Times New Roman" w:hAnsi="Times New Roman" w:cs="Times New Roman"/>
          <w:sz w:val="24"/>
          <w:szCs w:val="24"/>
        </w:rPr>
        <w:t xml:space="preserve">undertaking business activities of producing or gaining assessable income can equally amount to deductions. Therefore, the $1,200 sally paid to the babysitter so that she can go to work </w:t>
      </w:r>
      <w:r w:rsidR="00AE4136" w:rsidRPr="00BE35AA">
        <w:rPr>
          <w:rFonts w:ascii="Times New Roman" w:hAnsi="Times New Roman" w:cs="Times New Roman"/>
          <w:sz w:val="24"/>
          <w:szCs w:val="24"/>
        </w:rPr>
        <w:t xml:space="preserve">is deductable. This is because the amount paid is directly associated with the process of </w:t>
      </w:r>
      <w:r w:rsidR="00FB33CD" w:rsidRPr="00BE35AA">
        <w:rPr>
          <w:rFonts w:ascii="Times New Roman" w:hAnsi="Times New Roman" w:cs="Times New Roman"/>
          <w:sz w:val="24"/>
          <w:szCs w:val="24"/>
        </w:rPr>
        <w:t xml:space="preserve">gaining and producing assessable income. </w:t>
      </w:r>
    </w:p>
    <w:p w:rsidR="00E6203B" w:rsidRPr="00BE35AA" w:rsidRDefault="00AE1DA7" w:rsidP="00E6203B">
      <w:pPr>
        <w:spacing w:after="0" w:line="480" w:lineRule="auto"/>
        <w:rPr>
          <w:rFonts w:ascii="Times New Roman" w:hAnsi="Times New Roman" w:cs="Times New Roman"/>
          <w:sz w:val="24"/>
          <w:szCs w:val="24"/>
        </w:rPr>
      </w:pPr>
      <w:r w:rsidRPr="00BE35AA">
        <w:rPr>
          <w:rFonts w:ascii="Times New Roman" w:hAnsi="Times New Roman" w:cs="Times New Roman"/>
          <w:sz w:val="24"/>
          <w:szCs w:val="24"/>
        </w:rPr>
        <w:t xml:space="preserve">d). </w:t>
      </w:r>
      <w:r w:rsidR="00BF485F" w:rsidRPr="00BE35AA">
        <w:rPr>
          <w:rFonts w:ascii="Times New Roman" w:hAnsi="Times New Roman" w:cs="Times New Roman"/>
          <w:bCs/>
          <w:sz w:val="24"/>
          <w:szCs w:val="24"/>
        </w:rPr>
        <w:t>Income Tax Assessment Act 1997 - Sect 25.45</w:t>
      </w:r>
      <w:r w:rsidR="00B950BC" w:rsidRPr="00BE35AA">
        <w:rPr>
          <w:rFonts w:ascii="Times New Roman" w:hAnsi="Times New Roman" w:cs="Times New Roman"/>
          <w:bCs/>
          <w:sz w:val="24"/>
          <w:szCs w:val="24"/>
        </w:rPr>
        <w:t xml:space="preserve"> indicates that employers </w:t>
      </w:r>
      <w:r w:rsidR="00B950BC" w:rsidRPr="00BE35AA">
        <w:rPr>
          <w:rFonts w:ascii="Times New Roman" w:hAnsi="Times New Roman" w:cs="Times New Roman"/>
          <w:sz w:val="24"/>
          <w:szCs w:val="24"/>
        </w:rPr>
        <w:t>can deduct </w:t>
      </w:r>
      <w:r w:rsidR="00443E89" w:rsidRPr="00BE35AA">
        <w:rPr>
          <w:rFonts w:ascii="Times New Roman" w:hAnsi="Times New Roman" w:cs="Times New Roman"/>
          <w:sz w:val="24"/>
          <w:szCs w:val="24"/>
        </w:rPr>
        <w:t xml:space="preserve">a loss </w:t>
      </w:r>
      <w:r w:rsidR="00B950BC" w:rsidRPr="00BE35AA">
        <w:rPr>
          <w:rFonts w:ascii="Times New Roman" w:hAnsi="Times New Roman" w:cs="Times New Roman"/>
          <w:sz w:val="24"/>
          <w:szCs w:val="24"/>
        </w:rPr>
        <w:t>in terms of money </w:t>
      </w:r>
      <w:r w:rsidR="00443E89" w:rsidRPr="00BE35AA">
        <w:rPr>
          <w:rFonts w:ascii="Times New Roman" w:hAnsi="Times New Roman" w:cs="Times New Roman"/>
          <w:sz w:val="24"/>
          <w:szCs w:val="24"/>
        </w:rPr>
        <w:t xml:space="preserve">if the loss was causes </w:t>
      </w:r>
      <w:r w:rsidR="00004376" w:rsidRPr="00BE35AA">
        <w:rPr>
          <w:rFonts w:ascii="Times New Roman" w:hAnsi="Times New Roman" w:cs="Times New Roman"/>
          <w:sz w:val="24"/>
          <w:szCs w:val="24"/>
        </w:rPr>
        <w:t xml:space="preserve">by misappropriation, embezzlement or defalcation or theft </w:t>
      </w:r>
      <w:r w:rsidR="00004376" w:rsidRPr="00BE35AA">
        <w:rPr>
          <w:rFonts w:ascii="Times New Roman" w:hAnsi="Times New Roman" w:cs="Times New Roman"/>
          <w:sz w:val="24"/>
          <w:szCs w:val="24"/>
        </w:rPr>
        <w:lastRenderedPageBreak/>
        <w:t>by their emplo</w:t>
      </w:r>
      <w:r w:rsidR="00007795" w:rsidRPr="00BE35AA">
        <w:rPr>
          <w:rFonts w:ascii="Times New Roman" w:hAnsi="Times New Roman" w:cs="Times New Roman"/>
          <w:sz w:val="24"/>
          <w:szCs w:val="24"/>
        </w:rPr>
        <w:t xml:space="preserve">yees or agents. </w:t>
      </w:r>
      <w:r w:rsidR="00E52EBF" w:rsidRPr="00BE35AA">
        <w:rPr>
          <w:rFonts w:ascii="Times New Roman" w:hAnsi="Times New Roman" w:cs="Times New Roman"/>
          <w:sz w:val="24"/>
          <w:szCs w:val="24"/>
        </w:rPr>
        <w:t xml:space="preserve">Referencing Jerry’s case, the goods were stolen by a long term employee and </w:t>
      </w:r>
      <w:r w:rsidR="00AE4517" w:rsidRPr="00BE35AA">
        <w:rPr>
          <w:rFonts w:ascii="Times New Roman" w:hAnsi="Times New Roman" w:cs="Times New Roman"/>
          <w:sz w:val="24"/>
          <w:szCs w:val="24"/>
        </w:rPr>
        <w:t xml:space="preserve">therefore, the $20,000 worth of goods qualifies as allowable deduction. </w:t>
      </w:r>
    </w:p>
    <w:p w:rsidR="00625EDC" w:rsidRPr="00BE35AA" w:rsidRDefault="00CB1ECE" w:rsidP="00E6203B">
      <w:pPr>
        <w:spacing w:after="0" w:line="480" w:lineRule="auto"/>
        <w:rPr>
          <w:rFonts w:ascii="Times New Roman" w:hAnsi="Times New Roman" w:cs="Times New Roman"/>
          <w:sz w:val="24"/>
          <w:szCs w:val="24"/>
        </w:rPr>
      </w:pPr>
      <w:r w:rsidRPr="00BE35AA">
        <w:rPr>
          <w:rFonts w:ascii="Times New Roman" w:hAnsi="Times New Roman" w:cs="Times New Roman"/>
          <w:sz w:val="24"/>
          <w:szCs w:val="24"/>
        </w:rPr>
        <w:t>e)</w:t>
      </w:r>
      <w:r w:rsidR="00954513" w:rsidRPr="00BE35AA">
        <w:rPr>
          <w:rFonts w:ascii="Times New Roman" w:hAnsi="Times New Roman" w:cs="Times New Roman"/>
          <w:sz w:val="24"/>
          <w:szCs w:val="24"/>
        </w:rPr>
        <w:t xml:space="preserve"> </w:t>
      </w:r>
      <w:r w:rsidR="00E6203B" w:rsidRPr="00BE35AA">
        <w:rPr>
          <w:rFonts w:ascii="Times New Roman" w:hAnsi="Times New Roman" w:cs="Times New Roman"/>
          <w:sz w:val="24"/>
          <w:szCs w:val="24"/>
        </w:rPr>
        <w:t>The</w:t>
      </w:r>
      <w:r w:rsidR="008A65DA" w:rsidRPr="00BE35AA">
        <w:rPr>
          <w:rFonts w:ascii="Times New Roman" w:hAnsi="Times New Roman" w:cs="Times New Roman"/>
          <w:sz w:val="24"/>
          <w:szCs w:val="24"/>
        </w:rPr>
        <w:t xml:space="preserve"> expenses incurred in conte</w:t>
      </w:r>
      <w:r w:rsidR="00C11E81" w:rsidRPr="00BE35AA">
        <w:rPr>
          <w:rFonts w:ascii="Times New Roman" w:hAnsi="Times New Roman" w:cs="Times New Roman"/>
          <w:sz w:val="24"/>
          <w:szCs w:val="24"/>
        </w:rPr>
        <w:t>sting local government elections are deductable but cannot exceed $1,000 for each election contested</w:t>
      </w:r>
      <w:r w:rsidR="002F7A7E" w:rsidRPr="00BE35AA">
        <w:rPr>
          <w:rFonts w:ascii="Times New Roman" w:hAnsi="Times New Roman" w:cs="Times New Roman"/>
          <w:sz w:val="24"/>
          <w:szCs w:val="24"/>
        </w:rPr>
        <w:t>. Based on this</w:t>
      </w:r>
      <w:r w:rsidR="00C04D96" w:rsidRPr="00BE35AA">
        <w:rPr>
          <w:rFonts w:ascii="Times New Roman" w:hAnsi="Times New Roman" w:cs="Times New Roman"/>
          <w:sz w:val="24"/>
          <w:szCs w:val="24"/>
        </w:rPr>
        <w:t>, $1,000 of</w:t>
      </w:r>
      <w:r w:rsidR="002F7A7E" w:rsidRPr="00BE35AA">
        <w:rPr>
          <w:rFonts w:ascii="Times New Roman" w:hAnsi="Times New Roman" w:cs="Times New Roman"/>
          <w:sz w:val="24"/>
          <w:szCs w:val="24"/>
        </w:rPr>
        <w:t xml:space="preserve"> the expenditure </w:t>
      </w:r>
      <w:r w:rsidR="00C04D96" w:rsidRPr="00BE35AA">
        <w:rPr>
          <w:rFonts w:ascii="Times New Roman" w:hAnsi="Times New Roman" w:cs="Times New Roman"/>
          <w:sz w:val="24"/>
          <w:szCs w:val="24"/>
        </w:rPr>
        <w:t xml:space="preserve">of $5,000 will be deductable. Also, the $2,000 used for </w:t>
      </w:r>
      <w:r w:rsidR="00E778F1" w:rsidRPr="00BE35AA">
        <w:rPr>
          <w:rFonts w:ascii="Times New Roman" w:hAnsi="Times New Roman" w:cs="Times New Roman"/>
          <w:sz w:val="24"/>
          <w:szCs w:val="24"/>
        </w:rPr>
        <w:t xml:space="preserve">election party qualifies to be political contributions </w:t>
      </w:r>
      <w:r w:rsidR="00776640" w:rsidRPr="00BE35AA">
        <w:rPr>
          <w:rFonts w:ascii="Times New Roman" w:hAnsi="Times New Roman" w:cs="Times New Roman"/>
          <w:sz w:val="24"/>
          <w:szCs w:val="24"/>
        </w:rPr>
        <w:t>if it was made in personal capacity</w:t>
      </w:r>
      <w:r w:rsidR="00625EDC" w:rsidRPr="00BE35AA">
        <w:rPr>
          <w:rFonts w:ascii="Times New Roman" w:hAnsi="Times New Roman" w:cs="Times New Roman"/>
          <w:sz w:val="24"/>
          <w:szCs w:val="24"/>
        </w:rPr>
        <w:t>.</w:t>
      </w:r>
    </w:p>
    <w:p w:rsidR="00083112" w:rsidRPr="00BE35AA" w:rsidRDefault="00D501C5" w:rsidP="00083112">
      <w:pPr>
        <w:spacing w:after="0" w:line="480" w:lineRule="auto"/>
        <w:rPr>
          <w:rFonts w:ascii="Times New Roman" w:hAnsi="Times New Roman" w:cs="Times New Roman"/>
          <w:b/>
          <w:sz w:val="24"/>
          <w:szCs w:val="24"/>
        </w:rPr>
      </w:pPr>
      <w:r w:rsidRPr="00BE35AA">
        <w:rPr>
          <w:rFonts w:ascii="Times New Roman" w:hAnsi="Times New Roman" w:cs="Times New Roman"/>
          <w:b/>
          <w:sz w:val="24"/>
          <w:szCs w:val="24"/>
        </w:rPr>
        <w:t>QUESTION 3</w:t>
      </w:r>
    </w:p>
    <w:p w:rsidR="00D501C5" w:rsidRPr="00BE35AA" w:rsidRDefault="00EA211E" w:rsidP="00083112">
      <w:pPr>
        <w:spacing w:after="0" w:line="480" w:lineRule="auto"/>
        <w:rPr>
          <w:rFonts w:ascii="Times New Roman" w:hAnsi="Times New Roman" w:cs="Times New Roman"/>
          <w:sz w:val="24"/>
          <w:szCs w:val="24"/>
          <w:shd w:val="clear" w:color="auto" w:fill="FFFFFF"/>
        </w:rPr>
      </w:pPr>
      <w:r w:rsidRPr="00BE35AA">
        <w:rPr>
          <w:rFonts w:ascii="Times New Roman" w:hAnsi="Times New Roman" w:cs="Times New Roman"/>
          <w:sz w:val="24"/>
          <w:szCs w:val="24"/>
          <w:shd w:val="clear" w:color="auto" w:fill="FFFFFF"/>
        </w:rPr>
        <w:t>A) By granting a lease to Brian, Andy triggered the CGT event F1</w:t>
      </w:r>
      <w:r w:rsidR="00D20E15">
        <w:rPr>
          <w:rStyle w:val="FootnoteReference"/>
          <w:rFonts w:ascii="Times New Roman" w:hAnsi="Times New Roman" w:cs="Times New Roman"/>
          <w:sz w:val="24"/>
          <w:szCs w:val="24"/>
          <w:shd w:val="clear" w:color="auto" w:fill="FFFFFF"/>
        </w:rPr>
        <w:footnoteReference w:id="8"/>
      </w:r>
      <w:r w:rsidRPr="00BE35AA">
        <w:rPr>
          <w:rFonts w:ascii="Times New Roman" w:hAnsi="Times New Roman" w:cs="Times New Roman"/>
          <w:sz w:val="24"/>
          <w:szCs w:val="24"/>
          <w:shd w:val="clear" w:color="auto" w:fill="FFFFFF"/>
        </w:rPr>
        <w:t xml:space="preserve"> which occurs when an individual grant a lease </w:t>
      </w:r>
      <w:r w:rsidR="00F61726" w:rsidRPr="00BE35AA">
        <w:rPr>
          <w:rFonts w:ascii="Times New Roman" w:hAnsi="Times New Roman" w:cs="Times New Roman"/>
          <w:sz w:val="24"/>
          <w:szCs w:val="24"/>
          <w:shd w:val="clear" w:color="auto" w:fill="FFFFFF"/>
        </w:rPr>
        <w:t xml:space="preserve">to another person. </w:t>
      </w:r>
      <w:r w:rsidR="00535C80" w:rsidRPr="00BE35AA">
        <w:rPr>
          <w:rFonts w:ascii="Times New Roman" w:hAnsi="Times New Roman" w:cs="Times New Roman"/>
          <w:sz w:val="24"/>
          <w:szCs w:val="24"/>
          <w:shd w:val="clear" w:color="auto" w:fill="FFFFFF"/>
        </w:rPr>
        <w:t xml:space="preserve">The amount of capital proceeds from CGT event F1 is the </w:t>
      </w:r>
      <w:r w:rsidR="00A4120F" w:rsidRPr="00BE35AA">
        <w:rPr>
          <w:rFonts w:ascii="Times New Roman" w:hAnsi="Times New Roman" w:cs="Times New Roman"/>
          <w:sz w:val="24"/>
          <w:szCs w:val="24"/>
          <w:shd w:val="clear" w:color="auto" w:fill="FFFFFF"/>
        </w:rPr>
        <w:t xml:space="preserve">difference between the </w:t>
      </w:r>
      <w:r w:rsidR="00A4120F" w:rsidRPr="00BE35AA">
        <w:rPr>
          <w:rFonts w:ascii="Times New Roman" w:hAnsi="Times New Roman" w:cs="Times New Roman"/>
          <w:sz w:val="24"/>
          <w:szCs w:val="24"/>
        </w:rPr>
        <w:t>premium of $5,000 Andy earned for granting the lease to Brian</w:t>
      </w:r>
      <w:r w:rsidR="006625B8" w:rsidRPr="00BE35AA">
        <w:rPr>
          <w:rFonts w:ascii="Times New Roman" w:hAnsi="Times New Roman" w:cs="Times New Roman"/>
          <w:sz w:val="24"/>
          <w:szCs w:val="24"/>
        </w:rPr>
        <w:t xml:space="preserve"> and the expenses Andy incurred in granting the lease. </w:t>
      </w:r>
      <w:r w:rsidR="00A4120F" w:rsidRPr="00BE35AA">
        <w:rPr>
          <w:rFonts w:ascii="Times New Roman" w:hAnsi="Times New Roman" w:cs="Times New Roman"/>
          <w:sz w:val="24"/>
          <w:szCs w:val="24"/>
        </w:rPr>
        <w:t xml:space="preserve"> </w:t>
      </w:r>
      <w:r w:rsidR="00907989" w:rsidRPr="00BE35AA">
        <w:rPr>
          <w:rFonts w:ascii="Times New Roman" w:hAnsi="Times New Roman" w:cs="Times New Roman"/>
          <w:sz w:val="24"/>
          <w:szCs w:val="24"/>
          <w:shd w:val="clear" w:color="auto" w:fill="FFFFFF"/>
        </w:rPr>
        <w:t xml:space="preserve">The CGT discount </w:t>
      </w:r>
      <w:r w:rsidR="001F24CD">
        <w:rPr>
          <w:rFonts w:ascii="Times New Roman" w:hAnsi="Times New Roman" w:cs="Times New Roman"/>
          <w:sz w:val="24"/>
          <w:szCs w:val="24"/>
          <w:shd w:val="clear" w:color="auto" w:fill="FFFFFF"/>
        </w:rPr>
        <w:t xml:space="preserve">of 50% is not applicable in </w:t>
      </w:r>
      <w:r w:rsidR="00907989" w:rsidRPr="00BE35AA">
        <w:rPr>
          <w:rFonts w:ascii="Times New Roman" w:hAnsi="Times New Roman" w:cs="Times New Roman"/>
          <w:sz w:val="24"/>
          <w:szCs w:val="24"/>
          <w:shd w:val="clear" w:color="auto" w:fill="FFFFFF"/>
        </w:rPr>
        <w:t>CGT event F1</w:t>
      </w:r>
      <w:r w:rsidR="00D73A76">
        <w:rPr>
          <w:rStyle w:val="FootnoteReference"/>
          <w:rFonts w:ascii="Times New Roman" w:hAnsi="Times New Roman" w:cs="Times New Roman"/>
          <w:sz w:val="24"/>
          <w:szCs w:val="24"/>
          <w:shd w:val="clear" w:color="auto" w:fill="FFFFFF"/>
        </w:rPr>
        <w:footnoteReference w:id="9"/>
      </w:r>
      <w:r w:rsidR="00907989" w:rsidRPr="00BE35AA">
        <w:rPr>
          <w:rFonts w:ascii="Times New Roman" w:hAnsi="Times New Roman" w:cs="Times New Roman"/>
          <w:sz w:val="24"/>
          <w:szCs w:val="24"/>
          <w:shd w:val="clear" w:color="auto" w:fill="FFFFFF"/>
        </w:rPr>
        <w:t xml:space="preserve">. </w:t>
      </w:r>
      <w:r w:rsidR="001F24CD">
        <w:rPr>
          <w:rFonts w:ascii="Times New Roman" w:hAnsi="Times New Roman" w:cs="Times New Roman"/>
          <w:sz w:val="24"/>
          <w:szCs w:val="24"/>
          <w:shd w:val="clear" w:color="auto" w:fill="FFFFFF"/>
        </w:rPr>
        <w:t xml:space="preserve"> </w:t>
      </w:r>
    </w:p>
    <w:p w:rsidR="00433E55" w:rsidRPr="00BE35AA" w:rsidRDefault="00C46EFD" w:rsidP="00433E55">
      <w:pPr>
        <w:tabs>
          <w:tab w:val="left" w:pos="3330"/>
        </w:tabs>
        <w:spacing w:after="240" w:line="480" w:lineRule="auto"/>
        <w:rPr>
          <w:rFonts w:ascii="Times New Roman" w:hAnsi="Times New Roman" w:cs="Times New Roman"/>
          <w:sz w:val="24"/>
          <w:szCs w:val="24"/>
          <w:shd w:val="clear" w:color="auto" w:fill="FFFFFF"/>
        </w:rPr>
      </w:pPr>
      <w:r w:rsidRPr="00BE35AA">
        <w:rPr>
          <w:rFonts w:ascii="Times New Roman" w:hAnsi="Times New Roman" w:cs="Times New Roman"/>
          <w:sz w:val="24"/>
          <w:szCs w:val="24"/>
          <w:shd w:val="clear" w:color="auto" w:fill="FFFFFF"/>
        </w:rPr>
        <w:t>b)</w:t>
      </w:r>
      <w:r w:rsidR="00433E55" w:rsidRPr="00BE35AA">
        <w:rPr>
          <w:rFonts w:ascii="Times New Roman" w:hAnsi="Times New Roman" w:cs="Times New Roman"/>
          <w:sz w:val="24"/>
          <w:szCs w:val="24"/>
          <w:shd w:val="clear" w:color="auto" w:fill="FFFFFF"/>
        </w:rPr>
        <w:t xml:space="preserve"> (B). If an individual acquires land an investment or for private reasons, then its termed as a capital asset and which is subjected to capital gains tax after selling the land. However, if the individual disposes the capital gains assets in a period less than twelve months, the entire capital gain is paid. But the individual can get a</w:t>
      </w:r>
      <w:bookmarkStart w:id="0" w:name="_GoBack"/>
      <w:bookmarkEnd w:id="0"/>
      <w:r w:rsidR="00433E55" w:rsidRPr="00BE35AA">
        <w:rPr>
          <w:rFonts w:ascii="Times New Roman" w:hAnsi="Times New Roman" w:cs="Times New Roman"/>
          <w:sz w:val="24"/>
          <w:szCs w:val="24"/>
          <w:shd w:val="clear" w:color="auto" w:fill="FFFFFF"/>
        </w:rPr>
        <w:t xml:space="preserve"> discount of 50 percent on the capital gain for the capital gains tax held for a period of over twelve months before selling. In this regard, all the proceedings will have a capital gain tax. The 50% discount is applicable as john has owned the land for</w:t>
      </w:r>
      <w:r w:rsidR="00085D8B" w:rsidRPr="00BE35AA">
        <w:rPr>
          <w:rFonts w:ascii="Times New Roman" w:hAnsi="Times New Roman" w:cs="Times New Roman"/>
          <w:sz w:val="24"/>
          <w:szCs w:val="24"/>
          <w:shd w:val="clear" w:color="auto" w:fill="FFFFFF"/>
        </w:rPr>
        <w:t xml:space="preserve"> 10 years</w:t>
      </w:r>
      <w:r w:rsidR="00433E55" w:rsidRPr="00BE35AA">
        <w:rPr>
          <w:rFonts w:ascii="Times New Roman" w:hAnsi="Times New Roman" w:cs="Times New Roman"/>
          <w:sz w:val="24"/>
          <w:szCs w:val="24"/>
          <w:shd w:val="clear" w:color="auto" w:fill="FFFFFF"/>
        </w:rPr>
        <w:t>.</w:t>
      </w:r>
    </w:p>
    <w:p w:rsidR="00433E55" w:rsidRPr="00BE35AA" w:rsidRDefault="00433E55" w:rsidP="00433E55">
      <w:pPr>
        <w:tabs>
          <w:tab w:val="left" w:pos="3330"/>
        </w:tabs>
        <w:spacing w:after="240" w:line="480" w:lineRule="auto"/>
        <w:ind w:firstLine="720"/>
        <w:rPr>
          <w:rFonts w:ascii="Times New Roman" w:hAnsi="Times New Roman" w:cs="Times New Roman"/>
          <w:sz w:val="24"/>
          <w:szCs w:val="24"/>
          <w:shd w:val="clear" w:color="auto" w:fill="FFFFFF"/>
        </w:rPr>
      </w:pPr>
      <w:r w:rsidRPr="00BE35AA">
        <w:rPr>
          <w:rFonts w:ascii="Times New Roman" w:hAnsi="Times New Roman" w:cs="Times New Roman"/>
          <w:sz w:val="24"/>
          <w:szCs w:val="24"/>
          <w:shd w:val="clear" w:color="auto" w:fill="FFFFFF"/>
        </w:rPr>
        <w:lastRenderedPageBreak/>
        <w:t>(C) If an individual rents out part or their entire home; the rent money received is termed as assessable income. This implies that the rental income must be declared in the individuals’ income tax return. Also, the deductions for the associated expenses might not be subjected to</w:t>
      </w:r>
      <w:r w:rsidR="00511FC8" w:rsidRPr="00BE35AA">
        <w:rPr>
          <w:rFonts w:ascii="Times New Roman" w:hAnsi="Times New Roman" w:cs="Times New Roman"/>
          <w:sz w:val="24"/>
          <w:szCs w:val="24"/>
          <w:shd w:val="clear" w:color="auto" w:fill="FFFFFF"/>
        </w:rPr>
        <w:t xml:space="preserve"> the overall exemption from CGT</w:t>
      </w:r>
      <w:r w:rsidRPr="00BE35AA">
        <w:rPr>
          <w:rFonts w:ascii="Times New Roman" w:hAnsi="Times New Roman" w:cs="Times New Roman"/>
          <w:sz w:val="24"/>
          <w:szCs w:val="24"/>
          <w:shd w:val="clear" w:color="auto" w:fill="FFFFFF"/>
        </w:rPr>
        <w:t>. This also means that the individual is required to pay CGT on part of any capital gain acquired after selling or renting a home</w:t>
      </w:r>
      <w:r w:rsidR="00D20E15">
        <w:rPr>
          <w:rStyle w:val="FootnoteReference"/>
          <w:rFonts w:ascii="Times New Roman" w:hAnsi="Times New Roman" w:cs="Times New Roman"/>
          <w:sz w:val="24"/>
          <w:szCs w:val="24"/>
          <w:shd w:val="clear" w:color="auto" w:fill="FFFFFF"/>
        </w:rPr>
        <w:footnoteReference w:id="10"/>
      </w:r>
      <w:r w:rsidRPr="00BE35AA">
        <w:rPr>
          <w:rFonts w:ascii="Times New Roman" w:hAnsi="Times New Roman" w:cs="Times New Roman"/>
          <w:sz w:val="24"/>
          <w:szCs w:val="24"/>
          <w:shd w:val="clear" w:color="auto" w:fill="FFFFFF"/>
        </w:rPr>
        <w:t>.</w:t>
      </w:r>
      <w:r w:rsidR="00511FC8" w:rsidRPr="00BE35AA">
        <w:rPr>
          <w:rFonts w:ascii="Times New Roman" w:hAnsi="Times New Roman" w:cs="Times New Roman"/>
          <w:sz w:val="24"/>
          <w:szCs w:val="24"/>
          <w:shd w:val="clear" w:color="auto" w:fill="FFFFFF"/>
        </w:rPr>
        <w:t xml:space="preserve"> Therefore Jamie and Olivia </w:t>
      </w:r>
      <w:r w:rsidR="00511FC8" w:rsidRPr="00BE35AA">
        <w:rPr>
          <w:rFonts w:ascii="Times New Roman" w:hAnsi="Times New Roman" w:cs="Times New Roman"/>
          <w:sz w:val="24"/>
          <w:szCs w:val="24"/>
        </w:rPr>
        <w:t xml:space="preserve">are </w:t>
      </w:r>
      <w:r w:rsidR="004B2F3F" w:rsidRPr="00BE35AA">
        <w:rPr>
          <w:rFonts w:ascii="Times New Roman" w:hAnsi="Times New Roman" w:cs="Times New Roman"/>
          <w:sz w:val="24"/>
          <w:szCs w:val="24"/>
        </w:rPr>
        <w:t>subjected to</w:t>
      </w:r>
      <w:r w:rsidR="00511FC8" w:rsidRPr="00BE35AA">
        <w:rPr>
          <w:rFonts w:ascii="Times New Roman" w:hAnsi="Times New Roman" w:cs="Times New Roman"/>
          <w:sz w:val="24"/>
          <w:szCs w:val="24"/>
        </w:rPr>
        <w:t xml:space="preserve"> pay CGT on the capital gain of $300,000 earned when they sold the house. Also, </w:t>
      </w:r>
      <w:r w:rsidR="00511FC8" w:rsidRPr="00BE35AA">
        <w:rPr>
          <w:rFonts w:ascii="Times New Roman" w:hAnsi="Times New Roman" w:cs="Times New Roman"/>
          <w:sz w:val="24"/>
          <w:szCs w:val="24"/>
          <w:shd w:val="clear" w:color="auto" w:fill="FFFFFF"/>
        </w:rPr>
        <w:t xml:space="preserve">Jamie and Olivia qualify for a 50% discount </w:t>
      </w:r>
      <w:r w:rsidR="00085D8B" w:rsidRPr="00BE35AA">
        <w:rPr>
          <w:rFonts w:ascii="Times New Roman" w:hAnsi="Times New Roman" w:cs="Times New Roman"/>
          <w:sz w:val="24"/>
          <w:szCs w:val="24"/>
          <w:shd w:val="clear" w:color="auto" w:fill="FFFFFF"/>
        </w:rPr>
        <w:t xml:space="preserve">as they have owned the house for over 12 months. </w:t>
      </w:r>
    </w:p>
    <w:p w:rsidR="00F40FBB" w:rsidRPr="00BE35AA" w:rsidRDefault="00085D8B" w:rsidP="00BE35AA">
      <w:pPr>
        <w:spacing w:after="0" w:line="480" w:lineRule="auto"/>
        <w:contextualSpacing/>
        <w:rPr>
          <w:rFonts w:ascii="Times New Roman" w:hAnsi="Times New Roman" w:cs="Times New Roman"/>
          <w:sz w:val="24"/>
          <w:szCs w:val="24"/>
        </w:rPr>
      </w:pPr>
      <w:r w:rsidRPr="00BE35AA">
        <w:rPr>
          <w:rFonts w:ascii="Times New Roman" w:hAnsi="Times New Roman" w:cs="Times New Roman"/>
          <w:sz w:val="24"/>
          <w:szCs w:val="24"/>
        </w:rPr>
        <w:t xml:space="preserve">d) </w:t>
      </w:r>
      <w:r w:rsidR="00F40FBB" w:rsidRPr="00BE35AA">
        <w:rPr>
          <w:rFonts w:ascii="Times New Roman" w:hAnsi="Times New Roman" w:cs="Times New Roman"/>
          <w:sz w:val="24"/>
          <w:szCs w:val="24"/>
        </w:rPr>
        <w:t>Capital proceedings for BHP shares</w:t>
      </w:r>
    </w:p>
    <w:p w:rsidR="00EA7956" w:rsidRPr="00BE35AA" w:rsidRDefault="00C139B6" w:rsidP="00BE35AA">
      <w:pPr>
        <w:spacing w:line="480" w:lineRule="auto"/>
        <w:contextualSpacing/>
        <w:rPr>
          <w:rFonts w:ascii="Times New Roman" w:eastAsia="Times New Roman" w:hAnsi="Times New Roman" w:cs="Times New Roman"/>
          <w:sz w:val="24"/>
          <w:szCs w:val="24"/>
        </w:rPr>
      </w:pPr>
      <w:r w:rsidRPr="00BE35AA">
        <w:rPr>
          <w:rFonts w:ascii="Times New Roman" w:hAnsi="Times New Roman" w:cs="Times New Roman"/>
          <w:sz w:val="24"/>
          <w:szCs w:val="24"/>
        </w:rPr>
        <w:t>(12,000*$1.56)- (12,000*$0.45) =</w:t>
      </w:r>
      <w:r w:rsidR="00EA7956" w:rsidRPr="00BE35AA">
        <w:rPr>
          <w:rFonts w:ascii="Times New Roman" w:hAnsi="Times New Roman" w:cs="Times New Roman"/>
          <w:sz w:val="24"/>
          <w:szCs w:val="24"/>
        </w:rPr>
        <w:t xml:space="preserve"> $</w:t>
      </w:r>
      <w:r w:rsidR="00EA7956" w:rsidRPr="00BE35AA">
        <w:rPr>
          <w:rFonts w:ascii="Times New Roman" w:eastAsia="Times New Roman" w:hAnsi="Times New Roman" w:cs="Times New Roman"/>
          <w:sz w:val="24"/>
          <w:szCs w:val="24"/>
        </w:rPr>
        <w:t>13,320</w:t>
      </w:r>
    </w:p>
    <w:p w:rsidR="00EA7956" w:rsidRPr="00BE35AA" w:rsidRDefault="00EA7956" w:rsidP="00BE35AA">
      <w:pPr>
        <w:spacing w:line="480" w:lineRule="auto"/>
        <w:contextualSpacing/>
        <w:rPr>
          <w:rFonts w:ascii="Times New Roman" w:hAnsi="Times New Roman" w:cs="Times New Roman"/>
          <w:sz w:val="24"/>
          <w:szCs w:val="24"/>
        </w:rPr>
      </w:pPr>
      <w:r w:rsidRPr="00BE35AA">
        <w:rPr>
          <w:rFonts w:ascii="Times New Roman" w:eastAsia="Times New Roman" w:hAnsi="Times New Roman" w:cs="Times New Roman"/>
          <w:sz w:val="24"/>
          <w:szCs w:val="24"/>
        </w:rPr>
        <w:t xml:space="preserve">Capital proceedings for </w:t>
      </w:r>
      <w:r w:rsidRPr="00BE35AA">
        <w:rPr>
          <w:rFonts w:ascii="Times New Roman" w:hAnsi="Times New Roman" w:cs="Times New Roman"/>
          <w:sz w:val="24"/>
          <w:szCs w:val="24"/>
        </w:rPr>
        <w:t>Westfarmers shares</w:t>
      </w:r>
    </w:p>
    <w:p w:rsidR="00FB5E56" w:rsidRPr="00BE35AA" w:rsidRDefault="00EA7956" w:rsidP="00BE35AA">
      <w:pPr>
        <w:spacing w:line="480" w:lineRule="auto"/>
        <w:contextualSpacing/>
        <w:rPr>
          <w:rFonts w:ascii="Times New Roman" w:eastAsia="Times New Roman" w:hAnsi="Times New Roman" w:cs="Times New Roman"/>
          <w:sz w:val="24"/>
          <w:szCs w:val="24"/>
        </w:rPr>
      </w:pPr>
      <w:r w:rsidRPr="00BE35AA">
        <w:rPr>
          <w:rFonts w:ascii="Times New Roman" w:eastAsia="Times New Roman" w:hAnsi="Times New Roman" w:cs="Times New Roman"/>
          <w:sz w:val="24"/>
          <w:szCs w:val="24"/>
        </w:rPr>
        <w:t>(</w:t>
      </w:r>
      <w:r w:rsidRPr="00BE35AA">
        <w:rPr>
          <w:rFonts w:ascii="Times New Roman" w:hAnsi="Times New Roman" w:cs="Times New Roman"/>
          <w:sz w:val="24"/>
          <w:szCs w:val="24"/>
        </w:rPr>
        <w:t>5,000*</w:t>
      </w:r>
      <w:r w:rsidR="009727CB" w:rsidRPr="00BE35AA">
        <w:rPr>
          <w:rFonts w:ascii="Times New Roman" w:hAnsi="Times New Roman" w:cs="Times New Roman"/>
          <w:sz w:val="24"/>
          <w:szCs w:val="24"/>
        </w:rPr>
        <w:t xml:space="preserve">$2.10)-( 5,000*$5.20) = </w:t>
      </w:r>
      <w:r w:rsidR="009727CB" w:rsidRPr="00BE35AA">
        <w:rPr>
          <w:rFonts w:ascii="Times New Roman" w:eastAsia="Times New Roman" w:hAnsi="Times New Roman" w:cs="Times New Roman"/>
          <w:sz w:val="24"/>
          <w:szCs w:val="24"/>
        </w:rPr>
        <w:t>-</w:t>
      </w:r>
      <w:r w:rsidR="00FD70DC" w:rsidRPr="00BE35AA">
        <w:rPr>
          <w:rFonts w:ascii="Times New Roman" w:eastAsia="Times New Roman" w:hAnsi="Times New Roman" w:cs="Times New Roman"/>
          <w:sz w:val="24"/>
          <w:szCs w:val="24"/>
        </w:rPr>
        <w:t>$</w:t>
      </w:r>
      <w:r w:rsidR="009727CB" w:rsidRPr="00BE35AA">
        <w:rPr>
          <w:rFonts w:ascii="Times New Roman" w:eastAsia="Times New Roman" w:hAnsi="Times New Roman" w:cs="Times New Roman"/>
          <w:sz w:val="24"/>
          <w:szCs w:val="24"/>
        </w:rPr>
        <w:t>15</w:t>
      </w:r>
      <w:r w:rsidR="00EB3D0E" w:rsidRPr="00BE35AA">
        <w:rPr>
          <w:rFonts w:ascii="Times New Roman" w:eastAsia="Times New Roman" w:hAnsi="Times New Roman" w:cs="Times New Roman"/>
          <w:sz w:val="24"/>
          <w:szCs w:val="24"/>
        </w:rPr>
        <w:t>,</w:t>
      </w:r>
      <w:r w:rsidR="009727CB" w:rsidRPr="00BE35AA">
        <w:rPr>
          <w:rFonts w:ascii="Times New Roman" w:eastAsia="Times New Roman" w:hAnsi="Times New Roman" w:cs="Times New Roman"/>
          <w:sz w:val="24"/>
          <w:szCs w:val="24"/>
        </w:rPr>
        <w:t>500</w:t>
      </w:r>
    </w:p>
    <w:p w:rsidR="00FB5E56" w:rsidRPr="00BE35AA" w:rsidRDefault="00CA3BF9" w:rsidP="00BE35AA">
      <w:pPr>
        <w:spacing w:line="480" w:lineRule="auto"/>
        <w:contextualSpacing/>
        <w:rPr>
          <w:rFonts w:ascii="Times New Roman" w:hAnsi="Times New Roman" w:cs="Times New Roman"/>
          <w:sz w:val="24"/>
          <w:szCs w:val="24"/>
        </w:rPr>
      </w:pPr>
      <w:r w:rsidRPr="00BE35AA">
        <w:rPr>
          <w:rFonts w:ascii="Times New Roman" w:eastAsia="Times New Roman" w:hAnsi="Times New Roman" w:cs="Times New Roman"/>
          <w:sz w:val="24"/>
          <w:szCs w:val="24"/>
        </w:rPr>
        <w:t>Since, the 50% discount does not apply in this case as Chris has owned the shares for 11 months, t</w:t>
      </w:r>
      <w:r w:rsidR="00FD70DC" w:rsidRPr="00BE35AA">
        <w:rPr>
          <w:rFonts w:ascii="Times New Roman" w:eastAsia="Times New Roman" w:hAnsi="Times New Roman" w:cs="Times New Roman"/>
          <w:sz w:val="24"/>
          <w:szCs w:val="24"/>
        </w:rPr>
        <w:t xml:space="preserve">he net capital gain to be included in Chris </w:t>
      </w:r>
      <w:r w:rsidR="00FD70DC" w:rsidRPr="00BE35AA">
        <w:rPr>
          <w:rFonts w:ascii="Times New Roman" w:hAnsi="Times New Roman" w:cs="Times New Roman"/>
          <w:sz w:val="24"/>
          <w:szCs w:val="24"/>
        </w:rPr>
        <w:t>2018/19 tax return</w:t>
      </w:r>
      <w:r w:rsidR="009B4DD6" w:rsidRPr="00BE35AA">
        <w:rPr>
          <w:rFonts w:ascii="Times New Roman" w:hAnsi="Times New Roman" w:cs="Times New Roman"/>
          <w:sz w:val="24"/>
          <w:szCs w:val="24"/>
        </w:rPr>
        <w:t xml:space="preserve"> would be a capital loss of </w:t>
      </w:r>
      <w:r w:rsidR="009B4DD6" w:rsidRPr="00BE35AA">
        <w:rPr>
          <w:rFonts w:ascii="Times New Roman" w:eastAsia="Times New Roman" w:hAnsi="Times New Roman" w:cs="Times New Roman"/>
          <w:sz w:val="24"/>
          <w:szCs w:val="24"/>
        </w:rPr>
        <w:t>$2,180</w:t>
      </w:r>
    </w:p>
    <w:p w:rsidR="00C139B6" w:rsidRPr="00BE35AA" w:rsidRDefault="00FD70DC" w:rsidP="00BE35AA">
      <w:pPr>
        <w:spacing w:line="480" w:lineRule="auto"/>
        <w:contextualSpacing/>
        <w:rPr>
          <w:rFonts w:ascii="Times New Roman" w:eastAsia="Times New Roman" w:hAnsi="Times New Roman" w:cs="Times New Roman"/>
          <w:sz w:val="24"/>
          <w:szCs w:val="24"/>
        </w:rPr>
      </w:pPr>
      <w:r w:rsidRPr="00BE35AA">
        <w:rPr>
          <w:rFonts w:ascii="Times New Roman" w:hAnsi="Times New Roman" w:cs="Times New Roman"/>
          <w:sz w:val="24"/>
          <w:szCs w:val="24"/>
        </w:rPr>
        <w:t xml:space="preserve">= </w:t>
      </w:r>
      <w:r w:rsidR="00985F04" w:rsidRPr="00BE35AA">
        <w:rPr>
          <w:rFonts w:ascii="Times New Roman" w:hAnsi="Times New Roman" w:cs="Times New Roman"/>
          <w:sz w:val="24"/>
          <w:szCs w:val="24"/>
        </w:rPr>
        <w:t>$</w:t>
      </w:r>
      <w:r w:rsidR="00985F04" w:rsidRPr="00BE35AA">
        <w:rPr>
          <w:rFonts w:ascii="Times New Roman" w:eastAsia="Times New Roman" w:hAnsi="Times New Roman" w:cs="Times New Roman"/>
          <w:sz w:val="24"/>
          <w:szCs w:val="24"/>
        </w:rPr>
        <w:t>13,320</w:t>
      </w:r>
      <w:r w:rsidRPr="00BE35AA">
        <w:rPr>
          <w:rFonts w:ascii="Times New Roman" w:eastAsia="Times New Roman" w:hAnsi="Times New Roman" w:cs="Times New Roman"/>
          <w:sz w:val="24"/>
          <w:szCs w:val="24"/>
        </w:rPr>
        <w:t>+ (</w:t>
      </w:r>
      <w:r w:rsidR="00985F04" w:rsidRPr="00BE35AA">
        <w:rPr>
          <w:rFonts w:ascii="Times New Roman" w:eastAsia="Times New Roman" w:hAnsi="Times New Roman" w:cs="Times New Roman"/>
          <w:sz w:val="24"/>
          <w:szCs w:val="24"/>
        </w:rPr>
        <w:t>-$15,500</w:t>
      </w:r>
      <w:r w:rsidRPr="00BE35AA">
        <w:rPr>
          <w:rFonts w:ascii="Times New Roman" w:eastAsia="Times New Roman" w:hAnsi="Times New Roman" w:cs="Times New Roman"/>
          <w:sz w:val="24"/>
          <w:szCs w:val="24"/>
        </w:rPr>
        <w:t xml:space="preserve">) = </w:t>
      </w:r>
      <w:r w:rsidR="00985F04" w:rsidRPr="00BE35AA">
        <w:rPr>
          <w:rFonts w:ascii="Times New Roman" w:eastAsia="Times New Roman" w:hAnsi="Times New Roman" w:cs="Times New Roman"/>
          <w:sz w:val="24"/>
          <w:szCs w:val="24"/>
        </w:rPr>
        <w:t>-$2,180</w:t>
      </w:r>
    </w:p>
    <w:p w:rsidR="00625EDC" w:rsidRPr="00BE35AA" w:rsidRDefault="00D501C5" w:rsidP="00E6203B">
      <w:pPr>
        <w:spacing w:after="0" w:line="480" w:lineRule="auto"/>
        <w:rPr>
          <w:rFonts w:ascii="Times New Roman" w:hAnsi="Times New Roman" w:cs="Times New Roman"/>
          <w:b/>
          <w:sz w:val="24"/>
          <w:szCs w:val="24"/>
        </w:rPr>
      </w:pPr>
      <w:r w:rsidRPr="00BE35AA">
        <w:rPr>
          <w:rFonts w:ascii="Times New Roman" w:hAnsi="Times New Roman" w:cs="Times New Roman"/>
          <w:b/>
          <w:sz w:val="24"/>
          <w:szCs w:val="24"/>
        </w:rPr>
        <w:t>QUESTION 4</w:t>
      </w:r>
    </w:p>
    <w:p w:rsidR="00953658" w:rsidRDefault="00953658" w:rsidP="00953658">
      <w:pPr>
        <w:tabs>
          <w:tab w:val="left" w:pos="3330"/>
        </w:tabs>
        <w:spacing w:after="240" w:line="480" w:lineRule="auto"/>
        <w:rPr>
          <w:rFonts w:ascii="Times New Roman" w:hAnsi="Times New Roman" w:cs="Times New Roman"/>
          <w:color w:val="000000" w:themeColor="text1"/>
          <w:sz w:val="24"/>
          <w:szCs w:val="24"/>
          <w:shd w:val="clear" w:color="auto" w:fill="FFFFFF"/>
        </w:rPr>
      </w:pPr>
      <w:r w:rsidRPr="004D6FEA">
        <w:rPr>
          <w:rFonts w:ascii="Times New Roman" w:hAnsi="Times New Roman" w:cs="Times New Roman"/>
          <w:color w:val="000000" w:themeColor="text1"/>
          <w:sz w:val="24"/>
          <w:szCs w:val="24"/>
          <w:shd w:val="clear" w:color="auto" w:fill="FFFFFF"/>
        </w:rPr>
        <w:t xml:space="preserve"> (A)</w:t>
      </w:r>
      <w:r>
        <w:rPr>
          <w:rFonts w:ascii="Times New Roman" w:hAnsi="Times New Roman" w:cs="Times New Roman"/>
          <w:sz w:val="24"/>
          <w:szCs w:val="24"/>
        </w:rPr>
        <w:t>ATO declared that awards are non-assessable income. Therefore, if a company is awarded a prize of $2,000 for the outstanding television advert of the year, then the amount will not be included assessable income.</w:t>
      </w:r>
    </w:p>
    <w:p w:rsidR="00953658" w:rsidRDefault="00953658" w:rsidP="00953658">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(B). ATO declared that rewards are non-assessable. However, the rewards which are received as part of business related activities or which are related to an individual income earning activities </w:t>
      </w:r>
      <w:r>
        <w:rPr>
          <w:rFonts w:ascii="Times New Roman" w:hAnsi="Times New Roman" w:cs="Times New Roman"/>
          <w:sz w:val="24"/>
          <w:szCs w:val="24"/>
        </w:rPr>
        <w:lastRenderedPageBreak/>
        <w:t>are assessable</w:t>
      </w:r>
      <w:r w:rsidRPr="00513CE7">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 In this regard, the amount which the employee remained with is assessable as it was acquired in business related activities which includes an employer and an employee.</w:t>
      </w:r>
    </w:p>
    <w:p w:rsidR="00953658" w:rsidRDefault="00953658" w:rsidP="00953658">
      <w:pPr>
        <w:spacing w:after="240" w:line="480" w:lineRule="auto"/>
        <w:rPr>
          <w:rFonts w:ascii="Times New Roman" w:hAnsi="Times New Roman" w:cs="Times New Roman"/>
          <w:sz w:val="24"/>
          <w:szCs w:val="24"/>
        </w:rPr>
      </w:pPr>
      <w:r>
        <w:rPr>
          <w:rFonts w:ascii="Times New Roman" w:hAnsi="Times New Roman" w:cs="Times New Roman"/>
          <w:sz w:val="24"/>
          <w:szCs w:val="24"/>
        </w:rPr>
        <w:t>(C). ATO declared that small gifts or rewards are non-assessable. However, gifts may amount to assessable income if they are large amounts or received as part of business related purposes Based on this scenario, an iPhone gift worth $1000 falls in the category of gifts of large and it was received from a client which amounts to a business related activity. The gift is also related to the income earnings activities of the receiver as an employers or contractor.</w:t>
      </w:r>
    </w:p>
    <w:p w:rsidR="00953658" w:rsidRDefault="00953658" w:rsidP="00953658">
      <w:pPr>
        <w:spacing w:after="240" w:line="480" w:lineRule="auto"/>
        <w:rPr>
          <w:rFonts w:ascii="Times New Roman" w:hAnsi="Times New Roman" w:cs="Times New Roman"/>
          <w:sz w:val="24"/>
          <w:szCs w:val="24"/>
        </w:rPr>
      </w:pPr>
      <w:r>
        <w:rPr>
          <w:rFonts w:ascii="Times New Roman" w:hAnsi="Times New Roman" w:cs="Times New Roman"/>
          <w:sz w:val="24"/>
          <w:szCs w:val="24"/>
        </w:rPr>
        <w:t>(D). In Australia, amounts awarded as damages for personal injuries suffered by a person in a car accident are not included in assessable income</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This implies that an individual is not required to disclose the damages or the compensation payment in the assessable income as damages of this kind are not taxable. However, if an individual uses the damages award to earn income, for example to start a business, then the income earned is assessable.</w:t>
      </w:r>
    </w:p>
    <w:p w:rsidR="00D501C5" w:rsidRPr="00953658" w:rsidRDefault="00953658" w:rsidP="00953658">
      <w:pPr>
        <w:spacing w:after="240" w:line="480" w:lineRule="auto"/>
        <w:rPr>
          <w:rFonts w:ascii="Times New Roman" w:hAnsi="Times New Roman" w:cs="Times New Roman"/>
          <w:sz w:val="24"/>
          <w:szCs w:val="24"/>
        </w:rPr>
      </w:pPr>
      <w:r>
        <w:rPr>
          <w:rFonts w:ascii="Times New Roman" w:hAnsi="Times New Roman" w:cs="Times New Roman"/>
          <w:sz w:val="24"/>
          <w:szCs w:val="24"/>
        </w:rPr>
        <w:t>(E)  When an individual purchases a share and trades it for more later, then he or she makes a capital gain which is assessable. Additionally, the income received from the investment of the shares is generally assessed. In this regard, if a</w:t>
      </w:r>
      <w:r w:rsidRPr="001F0553">
        <w:rPr>
          <w:rFonts w:ascii="Times New Roman" w:hAnsi="Times New Roman" w:cs="Times New Roman"/>
          <w:sz w:val="24"/>
          <w:szCs w:val="24"/>
        </w:rPr>
        <w:t xml:space="preserve"> taxpayer buys a share during </w:t>
      </w:r>
      <w:r>
        <w:rPr>
          <w:rFonts w:ascii="Times New Roman" w:hAnsi="Times New Roman" w:cs="Times New Roman"/>
          <w:sz w:val="24"/>
          <w:szCs w:val="24"/>
        </w:rPr>
        <w:t>the year for $5. On the 30 June and the share currently trends at $7.50 then the income will be Assessable.</w:t>
      </w:r>
    </w:p>
    <w:p w:rsidR="00A40500" w:rsidRPr="00625EDC" w:rsidRDefault="00625EDC" w:rsidP="0063591B">
      <w:pPr>
        <w:pStyle w:val="NormalWeb"/>
        <w:shd w:val="clear" w:color="auto" w:fill="FFFFFF"/>
        <w:spacing w:before="0" w:beforeAutospacing="0" w:after="158" w:afterAutospacing="0" w:line="480" w:lineRule="auto"/>
        <w:contextualSpacing/>
        <w:rPr>
          <w:b/>
          <w:shd w:val="clear" w:color="auto" w:fill="FFFFFF"/>
        </w:rPr>
      </w:pPr>
      <w:r w:rsidRPr="00625EDC">
        <w:rPr>
          <w:b/>
        </w:rPr>
        <w:t>QUESTION 5</w:t>
      </w:r>
    </w:p>
    <w:p w:rsidR="003B482D" w:rsidRPr="003B482D" w:rsidRDefault="003B482D" w:rsidP="003B482D">
      <w:pPr>
        <w:spacing w:after="0" w:line="480" w:lineRule="auto"/>
        <w:ind w:firstLine="567"/>
        <w:contextualSpacing/>
        <w:jc w:val="both"/>
        <w:rPr>
          <w:rFonts w:ascii="Times New Roman" w:hAnsi="Times New Roman" w:cs="Times New Roman"/>
          <w:sz w:val="24"/>
          <w:szCs w:val="24"/>
        </w:rPr>
      </w:pPr>
      <w:r w:rsidRPr="003B482D">
        <w:rPr>
          <w:rFonts w:ascii="Times New Roman" w:hAnsi="Times New Roman" w:cs="Times New Roman"/>
          <w:sz w:val="24"/>
          <w:szCs w:val="24"/>
        </w:rPr>
        <w:t>In considering Nisu situation, it is important to note that Australian income year starts from 1 July to 30 June (ATO 2017b)</w:t>
      </w:r>
      <w:r w:rsidRPr="003B482D">
        <w:rPr>
          <w:rFonts w:ascii="Times New Roman" w:hAnsi="Times New Roman" w:cs="Times New Roman"/>
          <w:sz w:val="24"/>
          <w:szCs w:val="24"/>
          <w:vertAlign w:val="superscript"/>
        </w:rPr>
        <w:footnoteReference w:id="11"/>
      </w:r>
      <w:r w:rsidRPr="003B482D">
        <w:rPr>
          <w:rFonts w:ascii="Times New Roman" w:hAnsi="Times New Roman" w:cs="Times New Roman"/>
          <w:sz w:val="24"/>
          <w:szCs w:val="24"/>
        </w:rPr>
        <w:t xml:space="preserve">. There are several factors outlined in the case study which are directly associated with Nisu’s residency test. First, Nisu is a foreign student in Australia from </w:t>
      </w:r>
      <w:r w:rsidRPr="003B482D">
        <w:rPr>
          <w:rFonts w:ascii="Times New Roman" w:hAnsi="Times New Roman" w:cs="Times New Roman"/>
          <w:sz w:val="24"/>
          <w:szCs w:val="24"/>
        </w:rPr>
        <w:lastRenderedPageBreak/>
        <w:t xml:space="preserve">Nepal. Second, he arrived in Australia on 30th December 2018 and left Australia on 30 June 2019 without the intention of returning back to Australia. Third, Nisu had no intention of permanently residing in Australia as he intended to live in Australia for three years to study. Fourth, he does not own a permanent house in Australia as he shares a rental house with four other students. Fifth, Nisu had managed to secure a part-time job in a bookshop during his time in Australia.  All these factors are essential in determining the residency of an individual for tax purposes. </w:t>
      </w:r>
    </w:p>
    <w:p w:rsidR="00DB6460" w:rsidRDefault="00584822" w:rsidP="00DB6460">
      <w:pPr>
        <w:spacing w:after="0" w:line="480" w:lineRule="auto"/>
        <w:ind w:firstLine="567"/>
        <w:contextualSpacing/>
        <w:jc w:val="both"/>
        <w:rPr>
          <w:rFonts w:ascii="Times New Roman" w:hAnsi="Times New Roman" w:cs="Times New Roman"/>
          <w:sz w:val="24"/>
          <w:szCs w:val="24"/>
        </w:rPr>
      </w:pPr>
      <w:r w:rsidRPr="00040A19">
        <w:rPr>
          <w:rFonts w:ascii="Times New Roman" w:hAnsi="Times New Roman" w:cs="Times New Roman"/>
          <w:sz w:val="24"/>
          <w:szCs w:val="24"/>
        </w:rPr>
        <w:t>Income Tax Assessment Act</w:t>
      </w:r>
      <w:r w:rsidRPr="0063591B">
        <w:rPr>
          <w:rFonts w:ascii="Times New Roman" w:hAnsi="Times New Roman" w:cs="Times New Roman"/>
          <w:sz w:val="24"/>
          <w:szCs w:val="24"/>
        </w:rPr>
        <w:t xml:space="preserve"> (1997)</w:t>
      </w:r>
      <w:r w:rsidRPr="0063591B">
        <w:rPr>
          <w:rStyle w:val="FootnoteReference"/>
          <w:rFonts w:ascii="Times New Roman" w:hAnsi="Times New Roman" w:cs="Times New Roman"/>
          <w:sz w:val="24"/>
          <w:szCs w:val="24"/>
        </w:rPr>
        <w:footnoteReference w:id="12"/>
      </w:r>
      <w:r w:rsidRPr="0063591B">
        <w:rPr>
          <w:rFonts w:ascii="Times New Roman" w:hAnsi="Times New Roman" w:cs="Times New Roman"/>
          <w:sz w:val="24"/>
          <w:szCs w:val="24"/>
        </w:rPr>
        <w:t xml:space="preserve"> </w:t>
      </w:r>
      <w:r w:rsidR="00960F85">
        <w:rPr>
          <w:rFonts w:ascii="Times New Roman" w:hAnsi="Times New Roman" w:cs="Times New Roman"/>
          <w:sz w:val="24"/>
          <w:szCs w:val="24"/>
        </w:rPr>
        <w:t xml:space="preserve">details the importance of determining </w:t>
      </w:r>
      <w:r w:rsidR="00B24ECC">
        <w:rPr>
          <w:rFonts w:ascii="Times New Roman" w:hAnsi="Times New Roman" w:cs="Times New Roman"/>
          <w:sz w:val="24"/>
          <w:szCs w:val="24"/>
        </w:rPr>
        <w:t>the residency</w:t>
      </w:r>
      <w:r w:rsidR="008C7B08">
        <w:rPr>
          <w:rFonts w:ascii="Times New Roman" w:hAnsi="Times New Roman" w:cs="Times New Roman"/>
          <w:sz w:val="24"/>
          <w:szCs w:val="24"/>
        </w:rPr>
        <w:t xml:space="preserve"> of an individual</w:t>
      </w:r>
      <w:r w:rsidR="00B24ECC">
        <w:rPr>
          <w:rFonts w:ascii="Times New Roman" w:hAnsi="Times New Roman" w:cs="Times New Roman"/>
          <w:sz w:val="24"/>
          <w:szCs w:val="24"/>
        </w:rPr>
        <w:t xml:space="preserve"> in order to assess his or</w:t>
      </w:r>
      <w:r w:rsidR="008C7B08">
        <w:rPr>
          <w:rFonts w:ascii="Times New Roman" w:hAnsi="Times New Roman" w:cs="Times New Roman"/>
          <w:sz w:val="24"/>
          <w:szCs w:val="24"/>
        </w:rPr>
        <w:t xml:space="preserve"> her</w:t>
      </w:r>
      <w:r w:rsidR="00B24ECC">
        <w:rPr>
          <w:rFonts w:ascii="Times New Roman" w:hAnsi="Times New Roman" w:cs="Times New Roman"/>
          <w:sz w:val="24"/>
          <w:szCs w:val="24"/>
        </w:rPr>
        <w:t xml:space="preserve"> tax obligation. </w:t>
      </w:r>
      <w:r w:rsidR="00AD185D">
        <w:rPr>
          <w:rFonts w:ascii="Times New Roman" w:hAnsi="Times New Roman" w:cs="Times New Roman"/>
          <w:sz w:val="24"/>
          <w:szCs w:val="24"/>
        </w:rPr>
        <w:t xml:space="preserve">Specifically, these issues are outlined </w:t>
      </w:r>
      <w:r w:rsidR="00042B00">
        <w:rPr>
          <w:rFonts w:ascii="Times New Roman" w:hAnsi="Times New Roman" w:cs="Times New Roman"/>
          <w:sz w:val="24"/>
          <w:szCs w:val="24"/>
        </w:rPr>
        <w:t xml:space="preserve">in Division 6 section </w:t>
      </w:r>
      <w:r w:rsidR="00042B00" w:rsidRPr="0063591B">
        <w:rPr>
          <w:rFonts w:ascii="Times New Roman" w:hAnsi="Times New Roman" w:cs="Times New Roman"/>
          <w:sz w:val="24"/>
          <w:szCs w:val="24"/>
        </w:rPr>
        <w:t>6.10 (“Other assessable income”)</w:t>
      </w:r>
      <w:r w:rsidR="00042B00" w:rsidRPr="0063591B">
        <w:rPr>
          <w:rStyle w:val="FootnoteReference"/>
          <w:rFonts w:ascii="Times New Roman" w:hAnsi="Times New Roman" w:cs="Times New Roman"/>
          <w:sz w:val="24"/>
          <w:szCs w:val="24"/>
        </w:rPr>
        <w:footnoteReference w:id="13"/>
      </w:r>
      <w:r w:rsidR="00042B00">
        <w:rPr>
          <w:rFonts w:ascii="Times New Roman" w:hAnsi="Times New Roman" w:cs="Times New Roman"/>
          <w:sz w:val="24"/>
          <w:szCs w:val="24"/>
        </w:rPr>
        <w:t xml:space="preserve"> and </w:t>
      </w:r>
      <w:r w:rsidR="00042B00" w:rsidRPr="0063591B">
        <w:rPr>
          <w:rFonts w:ascii="Times New Roman" w:hAnsi="Times New Roman" w:cs="Times New Roman"/>
          <w:sz w:val="24"/>
          <w:szCs w:val="24"/>
        </w:rPr>
        <w:t>sections 6.5 (“Income according to ordinary concepts”)</w:t>
      </w:r>
      <w:r w:rsidR="00042B00" w:rsidRPr="0063591B">
        <w:rPr>
          <w:rStyle w:val="FootnoteReference"/>
          <w:rFonts w:ascii="Times New Roman" w:hAnsi="Times New Roman" w:cs="Times New Roman"/>
          <w:sz w:val="24"/>
          <w:szCs w:val="24"/>
        </w:rPr>
        <w:footnoteReference w:id="14"/>
      </w:r>
      <w:r w:rsidR="00042B00" w:rsidRPr="0063591B">
        <w:rPr>
          <w:rFonts w:ascii="Times New Roman" w:hAnsi="Times New Roman" w:cs="Times New Roman"/>
          <w:sz w:val="24"/>
          <w:szCs w:val="24"/>
        </w:rPr>
        <w:t xml:space="preserve"> </w:t>
      </w:r>
      <w:r w:rsidR="00042B00">
        <w:rPr>
          <w:rFonts w:ascii="Times New Roman" w:hAnsi="Times New Roman" w:cs="Times New Roman"/>
          <w:sz w:val="24"/>
          <w:szCs w:val="24"/>
        </w:rPr>
        <w:t xml:space="preserve">of </w:t>
      </w:r>
      <w:r w:rsidR="00042B00" w:rsidRPr="00040A19">
        <w:rPr>
          <w:rFonts w:ascii="Times New Roman" w:hAnsi="Times New Roman" w:cs="Times New Roman"/>
          <w:sz w:val="24"/>
          <w:szCs w:val="24"/>
        </w:rPr>
        <w:t>Income Tax Assessment Act</w:t>
      </w:r>
      <w:r w:rsidR="00042B00" w:rsidRPr="0063591B">
        <w:rPr>
          <w:rFonts w:ascii="Times New Roman" w:hAnsi="Times New Roman" w:cs="Times New Roman"/>
          <w:sz w:val="24"/>
          <w:szCs w:val="24"/>
        </w:rPr>
        <w:t xml:space="preserve"> (1997)</w:t>
      </w:r>
      <w:r w:rsidR="00042B00">
        <w:rPr>
          <w:rFonts w:ascii="Times New Roman" w:hAnsi="Times New Roman" w:cs="Times New Roman"/>
          <w:sz w:val="24"/>
          <w:szCs w:val="24"/>
        </w:rPr>
        <w:t xml:space="preserve">. For </w:t>
      </w:r>
      <w:r w:rsidR="00720F38">
        <w:rPr>
          <w:rFonts w:ascii="Times New Roman" w:hAnsi="Times New Roman" w:cs="Times New Roman"/>
          <w:sz w:val="24"/>
          <w:szCs w:val="24"/>
        </w:rPr>
        <w:t>Australian</w:t>
      </w:r>
      <w:r w:rsidR="00042B00">
        <w:rPr>
          <w:rFonts w:ascii="Times New Roman" w:hAnsi="Times New Roman" w:cs="Times New Roman"/>
          <w:sz w:val="24"/>
          <w:szCs w:val="24"/>
        </w:rPr>
        <w:t xml:space="preserve"> residents, </w:t>
      </w:r>
      <w:r w:rsidR="00720F38">
        <w:rPr>
          <w:rFonts w:ascii="Times New Roman" w:hAnsi="Times New Roman" w:cs="Times New Roman"/>
          <w:sz w:val="24"/>
          <w:szCs w:val="24"/>
        </w:rPr>
        <w:t xml:space="preserve">taxable comprises of both direct and indirect income earned from both abroad and Australia. </w:t>
      </w:r>
      <w:r w:rsidR="00D92759">
        <w:rPr>
          <w:rFonts w:ascii="Times New Roman" w:hAnsi="Times New Roman" w:cs="Times New Roman"/>
          <w:sz w:val="24"/>
          <w:szCs w:val="24"/>
        </w:rPr>
        <w:t xml:space="preserve">For cases of foreign residents as in the case of Nisu, taxable income is composed of both direct and indirect income earned in Australia only. </w:t>
      </w:r>
      <w:r w:rsidR="00DB6460">
        <w:rPr>
          <w:rFonts w:ascii="Times New Roman" w:hAnsi="Times New Roman" w:cs="Times New Roman"/>
          <w:sz w:val="24"/>
          <w:szCs w:val="24"/>
        </w:rPr>
        <w:t>Also, it is important to define the differences in tax rates</w:t>
      </w:r>
      <w:r w:rsidR="00E177C3">
        <w:rPr>
          <w:rFonts w:ascii="Times New Roman" w:hAnsi="Times New Roman" w:cs="Times New Roman"/>
          <w:sz w:val="24"/>
          <w:szCs w:val="24"/>
        </w:rPr>
        <w:t xml:space="preserve"> for residence and non-residence taxpayers</w:t>
      </w:r>
      <w:r w:rsidR="00DB6460">
        <w:rPr>
          <w:rFonts w:ascii="Times New Roman" w:hAnsi="Times New Roman" w:cs="Times New Roman"/>
          <w:sz w:val="24"/>
          <w:szCs w:val="24"/>
        </w:rPr>
        <w:t xml:space="preserve"> as outlined by </w:t>
      </w:r>
      <w:r w:rsidRPr="0063591B">
        <w:rPr>
          <w:rFonts w:ascii="Times New Roman" w:hAnsi="Times New Roman" w:cs="Times New Roman"/>
          <w:i/>
          <w:sz w:val="24"/>
          <w:szCs w:val="24"/>
        </w:rPr>
        <w:t>Income Tax Rates Act</w:t>
      </w:r>
      <w:r w:rsidRPr="0063591B">
        <w:rPr>
          <w:rFonts w:ascii="Times New Roman" w:hAnsi="Times New Roman" w:cs="Times New Roman"/>
          <w:sz w:val="24"/>
          <w:szCs w:val="24"/>
        </w:rPr>
        <w:t xml:space="preserve"> (1986)</w:t>
      </w:r>
      <w:r w:rsidRPr="0063591B">
        <w:rPr>
          <w:rStyle w:val="FootnoteReference"/>
          <w:rFonts w:ascii="Times New Roman" w:hAnsi="Times New Roman" w:cs="Times New Roman"/>
          <w:sz w:val="24"/>
          <w:szCs w:val="24"/>
        </w:rPr>
        <w:footnoteReference w:id="15"/>
      </w:r>
      <w:r w:rsidRPr="0063591B">
        <w:rPr>
          <w:rFonts w:ascii="Times New Roman" w:hAnsi="Times New Roman" w:cs="Times New Roman"/>
          <w:sz w:val="24"/>
          <w:szCs w:val="24"/>
        </w:rPr>
        <w:t xml:space="preserve"> </w:t>
      </w:r>
    </w:p>
    <w:p w:rsidR="00E177C3" w:rsidRDefault="00E177C3" w:rsidP="0063591B">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ATO</w:t>
      </w:r>
      <w:r w:rsidR="007116B9">
        <w:rPr>
          <w:rFonts w:ascii="Times New Roman" w:hAnsi="Times New Roman" w:cs="Times New Roman"/>
          <w:sz w:val="24"/>
          <w:szCs w:val="24"/>
        </w:rPr>
        <w:t xml:space="preserve"> </w:t>
      </w:r>
      <w:r w:rsidR="007116B9" w:rsidRPr="0063591B">
        <w:rPr>
          <w:rFonts w:ascii="Times New Roman" w:hAnsi="Times New Roman" w:cs="Times New Roman"/>
          <w:sz w:val="24"/>
          <w:szCs w:val="24"/>
        </w:rPr>
        <w:t>(2017)</w:t>
      </w:r>
      <w:r w:rsidR="007116B9" w:rsidRPr="0063591B">
        <w:rPr>
          <w:rStyle w:val="FootnoteReference"/>
          <w:rFonts w:ascii="Times New Roman" w:hAnsi="Times New Roman" w:cs="Times New Roman"/>
          <w:sz w:val="24"/>
          <w:szCs w:val="24"/>
        </w:rPr>
        <w:footnoteReference w:id="16"/>
      </w:r>
      <w:r w:rsidR="007116B9" w:rsidRPr="0063591B">
        <w:rPr>
          <w:rFonts w:ascii="Times New Roman" w:hAnsi="Times New Roman" w:cs="Times New Roman"/>
          <w:sz w:val="24"/>
          <w:szCs w:val="24"/>
        </w:rPr>
        <w:t xml:space="preserve"> </w:t>
      </w:r>
      <w:r>
        <w:rPr>
          <w:rFonts w:ascii="Times New Roman" w:hAnsi="Times New Roman" w:cs="Times New Roman"/>
          <w:sz w:val="24"/>
          <w:szCs w:val="24"/>
        </w:rPr>
        <w:t xml:space="preserve"> outlines </w:t>
      </w:r>
      <w:r w:rsidR="000D5E90">
        <w:rPr>
          <w:rFonts w:ascii="Times New Roman" w:hAnsi="Times New Roman" w:cs="Times New Roman"/>
          <w:sz w:val="24"/>
          <w:szCs w:val="24"/>
        </w:rPr>
        <w:t xml:space="preserve">four tests; </w:t>
      </w:r>
      <w:r w:rsidR="000D5E90" w:rsidRPr="000D5E90">
        <w:rPr>
          <w:rFonts w:ascii="Times New Roman" w:hAnsi="Times New Roman" w:cs="Times New Roman"/>
          <w:sz w:val="24"/>
          <w:szCs w:val="24"/>
          <w:lang w:val="en-AU"/>
        </w:rPr>
        <w:t xml:space="preserve">three statutory tests </w:t>
      </w:r>
      <w:r w:rsidR="000D5E90">
        <w:rPr>
          <w:rFonts w:ascii="Times New Roman" w:hAnsi="Times New Roman" w:cs="Times New Roman"/>
          <w:sz w:val="24"/>
          <w:szCs w:val="24"/>
          <w:lang w:val="en-AU"/>
        </w:rPr>
        <w:t xml:space="preserve">and one common law test, which are </w:t>
      </w:r>
      <w:r w:rsidR="007116B9">
        <w:rPr>
          <w:rFonts w:ascii="Times New Roman" w:hAnsi="Times New Roman" w:cs="Times New Roman"/>
          <w:sz w:val="24"/>
          <w:szCs w:val="24"/>
          <w:lang w:val="en-AU"/>
        </w:rPr>
        <w:t xml:space="preserve">applied in determining an </w:t>
      </w:r>
      <w:r w:rsidR="007116B9" w:rsidRPr="0063591B">
        <w:rPr>
          <w:rFonts w:ascii="Times New Roman" w:hAnsi="Times New Roman" w:cs="Times New Roman"/>
          <w:sz w:val="24"/>
          <w:szCs w:val="24"/>
        </w:rPr>
        <w:t>Australian versus non-Australian residency</w:t>
      </w:r>
      <w:r w:rsidR="007116B9">
        <w:rPr>
          <w:rFonts w:ascii="Times New Roman" w:hAnsi="Times New Roman" w:cs="Times New Roman"/>
          <w:sz w:val="24"/>
          <w:szCs w:val="24"/>
        </w:rPr>
        <w:t xml:space="preserve"> of individuals. In cases where an individual </w:t>
      </w:r>
      <w:r w:rsidR="006C686D">
        <w:rPr>
          <w:rFonts w:ascii="Times New Roman" w:hAnsi="Times New Roman" w:cs="Times New Roman"/>
          <w:sz w:val="24"/>
          <w:szCs w:val="24"/>
        </w:rPr>
        <w:t xml:space="preserve">passes one of the tests, the individual is considered </w:t>
      </w:r>
      <w:r w:rsidR="00C11F9F">
        <w:rPr>
          <w:rFonts w:ascii="Times New Roman" w:hAnsi="Times New Roman" w:cs="Times New Roman"/>
          <w:sz w:val="24"/>
          <w:szCs w:val="24"/>
        </w:rPr>
        <w:t xml:space="preserve">as an Australian residence for tax purposes. </w:t>
      </w:r>
      <w:r w:rsidR="00607DEA">
        <w:rPr>
          <w:rFonts w:ascii="Times New Roman" w:hAnsi="Times New Roman" w:cs="Times New Roman"/>
          <w:sz w:val="24"/>
          <w:szCs w:val="24"/>
        </w:rPr>
        <w:t xml:space="preserve">The first test </w:t>
      </w:r>
      <w:r w:rsidR="00D51F73">
        <w:rPr>
          <w:rFonts w:ascii="Times New Roman" w:hAnsi="Times New Roman" w:cs="Times New Roman"/>
          <w:sz w:val="24"/>
          <w:szCs w:val="24"/>
        </w:rPr>
        <w:t xml:space="preserve">is a common law test </w:t>
      </w:r>
      <w:r w:rsidR="00C5478A">
        <w:rPr>
          <w:rFonts w:ascii="Times New Roman" w:hAnsi="Times New Roman" w:cs="Times New Roman"/>
          <w:sz w:val="24"/>
          <w:szCs w:val="24"/>
        </w:rPr>
        <w:t xml:space="preserve">of residence </w:t>
      </w:r>
      <w:r w:rsidR="001268E1">
        <w:rPr>
          <w:rFonts w:ascii="Times New Roman" w:hAnsi="Times New Roman" w:cs="Times New Roman"/>
          <w:sz w:val="24"/>
          <w:szCs w:val="24"/>
        </w:rPr>
        <w:t>known as</w:t>
      </w:r>
      <w:r w:rsidR="00D51F73">
        <w:rPr>
          <w:rFonts w:ascii="Times New Roman" w:hAnsi="Times New Roman" w:cs="Times New Roman"/>
          <w:sz w:val="24"/>
          <w:szCs w:val="24"/>
        </w:rPr>
        <w:t xml:space="preserve"> the resides</w:t>
      </w:r>
      <w:r w:rsidR="00C5478A">
        <w:rPr>
          <w:rFonts w:ascii="Times New Roman" w:hAnsi="Times New Roman" w:cs="Times New Roman"/>
          <w:sz w:val="24"/>
          <w:szCs w:val="24"/>
        </w:rPr>
        <w:t xml:space="preserve"> test. This test defines a person as a resident if he or she resides</w:t>
      </w:r>
      <w:r w:rsidR="00F65B01">
        <w:rPr>
          <w:rFonts w:ascii="Times New Roman" w:hAnsi="Times New Roman" w:cs="Times New Roman"/>
          <w:sz w:val="24"/>
          <w:szCs w:val="24"/>
        </w:rPr>
        <w:t xml:space="preserve"> permanently</w:t>
      </w:r>
      <w:r w:rsidR="00C5478A">
        <w:rPr>
          <w:rFonts w:ascii="Times New Roman" w:hAnsi="Times New Roman" w:cs="Times New Roman"/>
          <w:sz w:val="24"/>
          <w:szCs w:val="24"/>
        </w:rPr>
        <w:t xml:space="preserve"> </w:t>
      </w:r>
      <w:r w:rsidR="00CB5D7D">
        <w:rPr>
          <w:rFonts w:ascii="Times New Roman" w:hAnsi="Times New Roman" w:cs="Times New Roman"/>
          <w:sz w:val="24"/>
          <w:szCs w:val="24"/>
        </w:rPr>
        <w:t>or</w:t>
      </w:r>
      <w:r w:rsidR="00C5478A">
        <w:rPr>
          <w:rFonts w:ascii="Times New Roman" w:hAnsi="Times New Roman" w:cs="Times New Roman"/>
          <w:sz w:val="24"/>
          <w:szCs w:val="24"/>
        </w:rPr>
        <w:t xml:space="preserve"> for over </w:t>
      </w:r>
      <w:r w:rsidR="00CB5D7D">
        <w:rPr>
          <w:rFonts w:ascii="Times New Roman" w:hAnsi="Times New Roman" w:cs="Times New Roman"/>
          <w:sz w:val="24"/>
          <w:szCs w:val="24"/>
        </w:rPr>
        <w:lastRenderedPageBreak/>
        <w:t>considerable</w:t>
      </w:r>
      <w:r w:rsidR="00C5478A">
        <w:rPr>
          <w:rFonts w:ascii="Times New Roman" w:hAnsi="Times New Roman" w:cs="Times New Roman"/>
          <w:sz w:val="24"/>
          <w:szCs w:val="24"/>
        </w:rPr>
        <w:t xml:space="preserve"> period</w:t>
      </w:r>
      <w:r w:rsidR="00CB5D7D">
        <w:rPr>
          <w:rFonts w:ascii="Times New Roman" w:hAnsi="Times New Roman" w:cs="Times New Roman"/>
          <w:sz w:val="24"/>
          <w:szCs w:val="24"/>
        </w:rPr>
        <w:t xml:space="preserve"> in Australia</w:t>
      </w:r>
      <w:r w:rsidR="00C5478A">
        <w:rPr>
          <w:rFonts w:ascii="Times New Roman" w:hAnsi="Times New Roman" w:cs="Times New Roman"/>
          <w:sz w:val="24"/>
          <w:szCs w:val="24"/>
        </w:rPr>
        <w:t xml:space="preserve">. </w:t>
      </w:r>
      <w:r w:rsidR="0076080D">
        <w:rPr>
          <w:rFonts w:ascii="Times New Roman" w:hAnsi="Times New Roman" w:cs="Times New Roman"/>
          <w:sz w:val="24"/>
          <w:szCs w:val="24"/>
        </w:rPr>
        <w:t>The dynamic</w:t>
      </w:r>
      <w:r w:rsidR="00A454C5">
        <w:rPr>
          <w:rFonts w:ascii="Times New Roman" w:hAnsi="Times New Roman" w:cs="Times New Roman"/>
          <w:sz w:val="24"/>
          <w:szCs w:val="24"/>
        </w:rPr>
        <w:t xml:space="preserve"> which </w:t>
      </w:r>
      <w:r w:rsidR="0076080D">
        <w:rPr>
          <w:rFonts w:ascii="Times New Roman" w:hAnsi="Times New Roman" w:cs="Times New Roman"/>
          <w:sz w:val="24"/>
          <w:szCs w:val="24"/>
        </w:rPr>
        <w:t>outlines</w:t>
      </w:r>
      <w:r w:rsidR="00E83F75">
        <w:rPr>
          <w:rFonts w:ascii="Times New Roman" w:hAnsi="Times New Roman" w:cs="Times New Roman"/>
          <w:sz w:val="24"/>
          <w:szCs w:val="24"/>
        </w:rPr>
        <w:t xml:space="preserve"> the </w:t>
      </w:r>
      <w:r w:rsidR="0076080D">
        <w:rPr>
          <w:rFonts w:ascii="Times New Roman" w:hAnsi="Times New Roman" w:cs="Times New Roman"/>
          <w:sz w:val="24"/>
          <w:szCs w:val="24"/>
        </w:rPr>
        <w:t>concept</w:t>
      </w:r>
      <w:r w:rsidR="00E83F75">
        <w:rPr>
          <w:rFonts w:ascii="Times New Roman" w:hAnsi="Times New Roman" w:cs="Times New Roman"/>
          <w:sz w:val="24"/>
          <w:szCs w:val="24"/>
        </w:rPr>
        <w:t xml:space="preserve"> of residing are outlined in cases such as </w:t>
      </w:r>
      <w:r w:rsidR="00E83F75" w:rsidRPr="0063591B">
        <w:rPr>
          <w:rFonts w:ascii="Times New Roman" w:hAnsi="Times New Roman" w:cs="Times New Roman"/>
          <w:i/>
          <w:sz w:val="24"/>
          <w:szCs w:val="24"/>
        </w:rPr>
        <w:t>IRC v Lysaght</w:t>
      </w:r>
      <w:r w:rsidR="00E83F75" w:rsidRPr="0063591B">
        <w:rPr>
          <w:rStyle w:val="FootnoteReference"/>
          <w:rFonts w:ascii="Times New Roman" w:hAnsi="Times New Roman" w:cs="Times New Roman"/>
          <w:sz w:val="24"/>
          <w:szCs w:val="24"/>
        </w:rPr>
        <w:footnoteReference w:id="17"/>
      </w:r>
      <w:r w:rsidR="00E83F75">
        <w:rPr>
          <w:rFonts w:ascii="Times New Roman" w:hAnsi="Times New Roman" w:cs="Times New Roman"/>
          <w:i/>
          <w:sz w:val="24"/>
          <w:szCs w:val="24"/>
        </w:rPr>
        <w:t xml:space="preserve">and </w:t>
      </w:r>
      <w:r w:rsidR="00E83F75" w:rsidRPr="0063591B">
        <w:rPr>
          <w:rFonts w:ascii="Times New Roman" w:hAnsi="Times New Roman" w:cs="Times New Roman"/>
          <w:i/>
          <w:sz w:val="24"/>
          <w:szCs w:val="24"/>
        </w:rPr>
        <w:t>Levene v IRC</w:t>
      </w:r>
      <w:r w:rsidR="00E83F75" w:rsidRPr="0063591B">
        <w:rPr>
          <w:rStyle w:val="FootnoteReference"/>
          <w:rFonts w:ascii="Times New Roman" w:hAnsi="Times New Roman" w:cs="Times New Roman"/>
          <w:sz w:val="24"/>
          <w:szCs w:val="24"/>
        </w:rPr>
        <w:footnoteReference w:id="18"/>
      </w:r>
      <w:r w:rsidR="00792C99">
        <w:rPr>
          <w:rFonts w:ascii="Times New Roman" w:hAnsi="Times New Roman" w:cs="Times New Roman"/>
          <w:i/>
          <w:sz w:val="24"/>
          <w:szCs w:val="24"/>
        </w:rPr>
        <w:t xml:space="preserve"> </w:t>
      </w:r>
      <w:r w:rsidR="00792C99" w:rsidRPr="00792C99">
        <w:rPr>
          <w:rFonts w:ascii="Times New Roman" w:hAnsi="Times New Roman" w:cs="Times New Roman"/>
          <w:sz w:val="24"/>
          <w:szCs w:val="24"/>
        </w:rPr>
        <w:t>and as well in</w:t>
      </w:r>
      <w:r w:rsidR="00792C99">
        <w:rPr>
          <w:rFonts w:ascii="Times New Roman" w:hAnsi="Times New Roman" w:cs="Times New Roman"/>
          <w:i/>
          <w:sz w:val="24"/>
          <w:szCs w:val="24"/>
        </w:rPr>
        <w:t xml:space="preserve"> </w:t>
      </w:r>
      <w:r w:rsidR="00792C99" w:rsidRPr="0063591B">
        <w:rPr>
          <w:rFonts w:ascii="Times New Roman" w:hAnsi="Times New Roman" w:cs="Times New Roman"/>
          <w:sz w:val="24"/>
          <w:szCs w:val="24"/>
        </w:rPr>
        <w:t>TR 98/17 (1998)</w:t>
      </w:r>
      <w:r w:rsidR="00792C99" w:rsidRPr="0063591B">
        <w:rPr>
          <w:rStyle w:val="FootnoteReference"/>
          <w:rFonts w:ascii="Times New Roman" w:hAnsi="Times New Roman" w:cs="Times New Roman"/>
          <w:sz w:val="24"/>
          <w:szCs w:val="24"/>
        </w:rPr>
        <w:footnoteReference w:id="19"/>
      </w:r>
      <w:r w:rsidR="00792C99">
        <w:rPr>
          <w:rFonts w:ascii="Times New Roman" w:hAnsi="Times New Roman" w:cs="Times New Roman"/>
          <w:sz w:val="24"/>
          <w:szCs w:val="24"/>
        </w:rPr>
        <w:t xml:space="preserve">. </w:t>
      </w:r>
      <w:r w:rsidR="003E210A">
        <w:rPr>
          <w:rFonts w:ascii="Times New Roman" w:hAnsi="Times New Roman" w:cs="Times New Roman"/>
          <w:sz w:val="24"/>
          <w:szCs w:val="24"/>
        </w:rPr>
        <w:t xml:space="preserve">If a person does not pass this general and primary test for defining Australian residency for tax purposes, other three statutory tests are applied. </w:t>
      </w:r>
    </w:p>
    <w:p w:rsidR="00B64633" w:rsidRPr="003E5B4D" w:rsidRDefault="00812EB9" w:rsidP="0063591B">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The</w:t>
      </w:r>
      <w:r w:rsidR="00B64633">
        <w:rPr>
          <w:rFonts w:ascii="Times New Roman" w:hAnsi="Times New Roman" w:cs="Times New Roman"/>
          <w:sz w:val="24"/>
          <w:szCs w:val="24"/>
        </w:rPr>
        <w:t xml:space="preserve"> </w:t>
      </w:r>
      <w:r w:rsidR="00A55C65">
        <w:rPr>
          <w:rFonts w:ascii="Times New Roman" w:hAnsi="Times New Roman" w:cs="Times New Roman"/>
          <w:sz w:val="24"/>
          <w:szCs w:val="24"/>
        </w:rPr>
        <w:t>1</w:t>
      </w:r>
      <w:r w:rsidR="00A55C65" w:rsidRPr="00A55C65">
        <w:rPr>
          <w:rFonts w:ascii="Times New Roman" w:hAnsi="Times New Roman" w:cs="Times New Roman"/>
          <w:sz w:val="24"/>
          <w:szCs w:val="24"/>
          <w:vertAlign w:val="superscript"/>
        </w:rPr>
        <w:t>st</w:t>
      </w:r>
      <w:r w:rsidR="00B64633">
        <w:rPr>
          <w:rFonts w:ascii="Times New Roman" w:hAnsi="Times New Roman" w:cs="Times New Roman"/>
          <w:sz w:val="24"/>
          <w:szCs w:val="24"/>
        </w:rPr>
        <w:t xml:space="preserve"> statutory test is the domicile test. </w:t>
      </w:r>
      <w:r w:rsidR="003D7BCC">
        <w:rPr>
          <w:rFonts w:ascii="Times New Roman" w:hAnsi="Times New Roman" w:cs="Times New Roman"/>
          <w:sz w:val="24"/>
          <w:szCs w:val="24"/>
        </w:rPr>
        <w:t xml:space="preserve">This test requires individual to indicate their permanent home is in Australia in order to be considered a resident. </w:t>
      </w:r>
      <w:r w:rsidR="00D106CC">
        <w:rPr>
          <w:rFonts w:ascii="Times New Roman" w:hAnsi="Times New Roman" w:cs="Times New Roman"/>
          <w:sz w:val="24"/>
          <w:szCs w:val="24"/>
        </w:rPr>
        <w:t>If a person has a permanent home outside Australia, therefore the person is considered to be a non-residence for tax purpos</w:t>
      </w:r>
      <w:r w:rsidR="00A55C65">
        <w:rPr>
          <w:rFonts w:ascii="Times New Roman" w:hAnsi="Times New Roman" w:cs="Times New Roman"/>
          <w:sz w:val="24"/>
          <w:szCs w:val="24"/>
        </w:rPr>
        <w:t>es even when</w:t>
      </w:r>
      <w:r w:rsidR="007E3B8C">
        <w:rPr>
          <w:rFonts w:ascii="Times New Roman" w:hAnsi="Times New Roman" w:cs="Times New Roman"/>
          <w:sz w:val="24"/>
          <w:szCs w:val="24"/>
        </w:rPr>
        <w:t xml:space="preserve"> he or she ha</w:t>
      </w:r>
      <w:r w:rsidR="009A245F">
        <w:rPr>
          <w:rFonts w:ascii="Times New Roman" w:hAnsi="Times New Roman" w:cs="Times New Roman"/>
          <w:sz w:val="24"/>
          <w:szCs w:val="24"/>
        </w:rPr>
        <w:t>s</w:t>
      </w:r>
      <w:r w:rsidR="007E3B8C">
        <w:rPr>
          <w:rFonts w:ascii="Times New Roman" w:hAnsi="Times New Roman" w:cs="Times New Roman"/>
          <w:sz w:val="24"/>
          <w:szCs w:val="24"/>
        </w:rPr>
        <w:t xml:space="preserve"> the </w:t>
      </w:r>
      <w:r w:rsidR="00A55C65">
        <w:rPr>
          <w:rFonts w:ascii="Times New Roman" w:hAnsi="Times New Roman" w:cs="Times New Roman"/>
          <w:sz w:val="24"/>
          <w:szCs w:val="24"/>
        </w:rPr>
        <w:t>intention</w:t>
      </w:r>
      <w:r w:rsidR="009A245F">
        <w:rPr>
          <w:rFonts w:ascii="Times New Roman" w:hAnsi="Times New Roman" w:cs="Times New Roman"/>
          <w:sz w:val="24"/>
          <w:szCs w:val="24"/>
        </w:rPr>
        <w:t xml:space="preserve"> to return to Australia. An expression of the domicile tests is reference in </w:t>
      </w:r>
      <w:r w:rsidR="009A245F" w:rsidRPr="0063591B">
        <w:rPr>
          <w:rFonts w:ascii="Times New Roman" w:hAnsi="Times New Roman" w:cs="Times New Roman"/>
          <w:i/>
          <w:sz w:val="24"/>
          <w:szCs w:val="24"/>
        </w:rPr>
        <w:t>IT 2650</w:t>
      </w:r>
      <w:r w:rsidR="009A245F" w:rsidRPr="0063591B">
        <w:rPr>
          <w:rStyle w:val="FootnoteReference"/>
          <w:rFonts w:ascii="Times New Roman" w:hAnsi="Times New Roman" w:cs="Times New Roman"/>
          <w:sz w:val="24"/>
          <w:szCs w:val="24"/>
        </w:rPr>
        <w:footnoteReference w:id="20"/>
      </w:r>
      <w:r w:rsidR="009A245F">
        <w:rPr>
          <w:rFonts w:ascii="Times New Roman" w:hAnsi="Times New Roman" w:cs="Times New Roman"/>
          <w:i/>
          <w:sz w:val="24"/>
          <w:szCs w:val="24"/>
        </w:rPr>
        <w:t xml:space="preserve"> and </w:t>
      </w:r>
      <w:r w:rsidR="009A245F" w:rsidRPr="0063591B">
        <w:rPr>
          <w:rFonts w:ascii="Times New Roman" w:hAnsi="Times New Roman" w:cs="Times New Roman"/>
          <w:i/>
          <w:sz w:val="24"/>
          <w:szCs w:val="24"/>
        </w:rPr>
        <w:t>Applegate’s case</w:t>
      </w:r>
      <w:r w:rsidR="009A245F" w:rsidRPr="0063591B">
        <w:rPr>
          <w:rStyle w:val="FootnoteReference"/>
          <w:rFonts w:ascii="Times New Roman" w:hAnsi="Times New Roman" w:cs="Times New Roman"/>
          <w:sz w:val="24"/>
          <w:szCs w:val="24"/>
        </w:rPr>
        <w:footnoteReference w:id="21"/>
      </w:r>
      <w:r w:rsidR="009A245F">
        <w:rPr>
          <w:rFonts w:ascii="Times New Roman" w:hAnsi="Times New Roman" w:cs="Times New Roman"/>
          <w:i/>
          <w:sz w:val="24"/>
          <w:szCs w:val="24"/>
        </w:rPr>
        <w:t xml:space="preserve">. </w:t>
      </w:r>
    </w:p>
    <w:p w:rsidR="001442D9" w:rsidRDefault="003E5B4D" w:rsidP="003B482D">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The 2</w:t>
      </w:r>
      <w:r w:rsidRPr="003E5B4D">
        <w:rPr>
          <w:rFonts w:ascii="Times New Roman" w:hAnsi="Times New Roman" w:cs="Times New Roman"/>
          <w:sz w:val="24"/>
          <w:szCs w:val="24"/>
          <w:vertAlign w:val="superscript"/>
        </w:rPr>
        <w:t>nd</w:t>
      </w:r>
      <w:r>
        <w:rPr>
          <w:rFonts w:ascii="Times New Roman" w:hAnsi="Times New Roman" w:cs="Times New Roman"/>
          <w:sz w:val="24"/>
          <w:szCs w:val="24"/>
        </w:rPr>
        <w:t xml:space="preserve"> test is the </w:t>
      </w:r>
      <w:r w:rsidR="003B6A36">
        <w:rPr>
          <w:rFonts w:ascii="Times New Roman" w:hAnsi="Times New Roman" w:cs="Times New Roman"/>
          <w:sz w:val="24"/>
          <w:szCs w:val="24"/>
        </w:rPr>
        <w:t xml:space="preserve">183 </w:t>
      </w:r>
      <w:r w:rsidRPr="0063591B">
        <w:rPr>
          <w:rFonts w:ascii="Times New Roman" w:hAnsi="Times New Roman" w:cs="Times New Roman"/>
          <w:sz w:val="24"/>
          <w:szCs w:val="24"/>
        </w:rPr>
        <w:t>day test</w:t>
      </w:r>
      <w:r>
        <w:rPr>
          <w:rFonts w:ascii="Times New Roman" w:hAnsi="Times New Roman" w:cs="Times New Roman"/>
          <w:sz w:val="24"/>
          <w:szCs w:val="24"/>
        </w:rPr>
        <w:t xml:space="preserve">. </w:t>
      </w:r>
      <w:r w:rsidR="003D7390">
        <w:rPr>
          <w:rFonts w:ascii="Times New Roman" w:hAnsi="Times New Roman" w:cs="Times New Roman"/>
          <w:sz w:val="24"/>
          <w:szCs w:val="24"/>
        </w:rPr>
        <w:t xml:space="preserve">This </w:t>
      </w:r>
      <w:r w:rsidR="003D7390" w:rsidRPr="0063591B">
        <w:rPr>
          <w:rFonts w:ascii="Times New Roman" w:hAnsi="Times New Roman" w:cs="Times New Roman"/>
          <w:sz w:val="24"/>
          <w:szCs w:val="24"/>
        </w:rPr>
        <w:t>statutory test of residency</w:t>
      </w:r>
      <w:r w:rsidR="003D7390">
        <w:rPr>
          <w:rFonts w:ascii="Times New Roman" w:hAnsi="Times New Roman" w:cs="Times New Roman"/>
          <w:sz w:val="24"/>
          <w:szCs w:val="24"/>
        </w:rPr>
        <w:t xml:space="preserve"> determines residency according to </w:t>
      </w:r>
      <w:r w:rsidR="007D3E66">
        <w:rPr>
          <w:rFonts w:ascii="Times New Roman" w:hAnsi="Times New Roman" w:cs="Times New Roman"/>
          <w:sz w:val="24"/>
          <w:szCs w:val="24"/>
        </w:rPr>
        <w:t xml:space="preserve">the number of days a person </w:t>
      </w:r>
      <w:r w:rsidR="00E25E90">
        <w:rPr>
          <w:rFonts w:ascii="Times New Roman" w:hAnsi="Times New Roman" w:cs="Times New Roman"/>
          <w:sz w:val="24"/>
          <w:szCs w:val="24"/>
        </w:rPr>
        <w:t xml:space="preserve">is </w:t>
      </w:r>
      <w:r w:rsidR="003B6A36">
        <w:rPr>
          <w:rFonts w:ascii="Times New Roman" w:hAnsi="Times New Roman" w:cs="Times New Roman"/>
          <w:sz w:val="24"/>
          <w:szCs w:val="24"/>
        </w:rPr>
        <w:t xml:space="preserve">present </w:t>
      </w:r>
      <w:r w:rsidR="00E25E90">
        <w:rPr>
          <w:rFonts w:ascii="Times New Roman" w:hAnsi="Times New Roman" w:cs="Times New Roman"/>
          <w:sz w:val="24"/>
          <w:szCs w:val="24"/>
        </w:rPr>
        <w:t xml:space="preserve">physically in </w:t>
      </w:r>
      <w:r w:rsidR="003B6A36">
        <w:rPr>
          <w:rFonts w:ascii="Times New Roman" w:hAnsi="Times New Roman" w:cs="Times New Roman"/>
          <w:sz w:val="24"/>
          <w:szCs w:val="24"/>
        </w:rPr>
        <w:t>Australia</w:t>
      </w:r>
      <w:r w:rsidR="00E25E90">
        <w:rPr>
          <w:rFonts w:ascii="Times New Roman" w:hAnsi="Times New Roman" w:cs="Times New Roman"/>
          <w:sz w:val="24"/>
          <w:szCs w:val="24"/>
        </w:rPr>
        <w:t xml:space="preserve"> for a certain income year </w:t>
      </w:r>
      <w:r w:rsidR="00E25E90" w:rsidRPr="00E25E90">
        <w:rPr>
          <w:rFonts w:ascii="Times New Roman" w:hAnsi="Times New Roman" w:cs="Times New Roman"/>
          <w:sz w:val="24"/>
          <w:szCs w:val="24"/>
        </w:rPr>
        <w:t>whether continuously or with breaks</w:t>
      </w:r>
      <w:r w:rsidR="00E25E90">
        <w:rPr>
          <w:rFonts w:ascii="Times New Roman" w:hAnsi="Times New Roman" w:cs="Times New Roman"/>
          <w:sz w:val="24"/>
          <w:szCs w:val="24"/>
        </w:rPr>
        <w:t xml:space="preserve">. </w:t>
      </w:r>
      <w:r w:rsidR="005B2C16">
        <w:rPr>
          <w:rFonts w:ascii="Times New Roman" w:hAnsi="Times New Roman" w:cs="Times New Roman"/>
          <w:i/>
          <w:sz w:val="24"/>
          <w:szCs w:val="24"/>
        </w:rPr>
        <w:t>P</w:t>
      </w:r>
      <w:r w:rsidR="00584822" w:rsidRPr="0063591B">
        <w:rPr>
          <w:rFonts w:ascii="Times New Roman" w:hAnsi="Times New Roman" w:cs="Times New Roman"/>
          <w:i/>
          <w:sz w:val="24"/>
          <w:szCs w:val="24"/>
        </w:rPr>
        <w:t>aragraph 37 and 38 of TR 98/17</w:t>
      </w:r>
      <w:r w:rsidR="00584822" w:rsidRPr="0063591B">
        <w:rPr>
          <w:rFonts w:ascii="Times New Roman" w:hAnsi="Times New Roman" w:cs="Times New Roman"/>
          <w:sz w:val="24"/>
          <w:szCs w:val="24"/>
        </w:rPr>
        <w:t xml:space="preserve"> states, “in most cases, if individuals are not residing in Australia under ordinary concepts, their usual place of abode is outside Australia.” However, “there may be situations where an individual does not reside in Australia during a particular year but is present in Australia for more than one-half of the income year (perhaps intermittently) and intends to take up residence in Australia.</w:t>
      </w:r>
      <w:r w:rsidR="00A23684">
        <w:rPr>
          <w:rStyle w:val="FootnoteReference"/>
          <w:rFonts w:ascii="Times New Roman" w:hAnsi="Times New Roman" w:cs="Times New Roman"/>
          <w:sz w:val="24"/>
          <w:szCs w:val="24"/>
        </w:rPr>
        <w:footnoteReference w:id="22"/>
      </w:r>
      <w:r w:rsidR="00995526">
        <w:rPr>
          <w:rFonts w:ascii="Times New Roman" w:hAnsi="Times New Roman" w:cs="Times New Roman"/>
          <w:sz w:val="24"/>
          <w:szCs w:val="24"/>
        </w:rPr>
        <w:t xml:space="preserve">” The third test is </w:t>
      </w:r>
      <w:r w:rsidR="00584822" w:rsidRPr="0063591B">
        <w:rPr>
          <w:rFonts w:ascii="Times New Roman" w:hAnsi="Times New Roman" w:cs="Times New Roman"/>
          <w:sz w:val="24"/>
          <w:szCs w:val="24"/>
        </w:rPr>
        <w:t xml:space="preserve">the superannuation test </w:t>
      </w:r>
      <w:r w:rsidR="007625FC">
        <w:rPr>
          <w:rFonts w:ascii="Times New Roman" w:hAnsi="Times New Roman" w:cs="Times New Roman"/>
          <w:sz w:val="24"/>
          <w:szCs w:val="24"/>
        </w:rPr>
        <w:t xml:space="preserve">which covers Commonwealth government employees </w:t>
      </w:r>
      <w:r w:rsidR="007625FC">
        <w:rPr>
          <w:rFonts w:ascii="Times New Roman" w:hAnsi="Times New Roman" w:cs="Times New Roman"/>
          <w:sz w:val="24"/>
          <w:szCs w:val="24"/>
        </w:rPr>
        <w:lastRenderedPageBreak/>
        <w:t>wor</w:t>
      </w:r>
      <w:r w:rsidR="001442D9">
        <w:rPr>
          <w:rFonts w:ascii="Times New Roman" w:hAnsi="Times New Roman" w:cs="Times New Roman"/>
          <w:sz w:val="24"/>
          <w:szCs w:val="24"/>
        </w:rPr>
        <w:t xml:space="preserve">king at Australian posts abroad. Under this test, these employees are </w:t>
      </w:r>
      <w:r w:rsidR="001C6D8F">
        <w:rPr>
          <w:rFonts w:ascii="Times New Roman" w:hAnsi="Times New Roman" w:cs="Times New Roman"/>
          <w:sz w:val="24"/>
          <w:szCs w:val="24"/>
        </w:rPr>
        <w:t>deemed</w:t>
      </w:r>
      <w:r w:rsidR="00A4658C">
        <w:rPr>
          <w:rFonts w:ascii="Times New Roman" w:hAnsi="Times New Roman" w:cs="Times New Roman"/>
          <w:sz w:val="24"/>
          <w:szCs w:val="24"/>
        </w:rPr>
        <w:t xml:space="preserve"> as Australian resident</w:t>
      </w:r>
      <w:r w:rsidR="001442D9">
        <w:rPr>
          <w:rFonts w:ascii="Times New Roman" w:hAnsi="Times New Roman" w:cs="Times New Roman"/>
          <w:sz w:val="24"/>
          <w:szCs w:val="24"/>
        </w:rPr>
        <w:t xml:space="preserve">. </w:t>
      </w:r>
    </w:p>
    <w:p w:rsidR="008D156A" w:rsidRDefault="00D55D73" w:rsidP="00D55D73">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Using the above tests, it can be determined whether Nisu is a resident of Australia for tax purposes </w:t>
      </w:r>
      <w:r w:rsidR="0094219A" w:rsidRPr="0094219A">
        <w:rPr>
          <w:rFonts w:ascii="Times New Roman" w:hAnsi="Times New Roman" w:cs="Times New Roman"/>
          <w:sz w:val="24"/>
          <w:szCs w:val="24"/>
        </w:rPr>
        <w:t>for the 2018/19 income year.</w:t>
      </w:r>
      <w:r w:rsidR="0094219A">
        <w:rPr>
          <w:rFonts w:ascii="Times New Roman" w:hAnsi="Times New Roman" w:cs="Times New Roman"/>
          <w:sz w:val="24"/>
          <w:szCs w:val="24"/>
        </w:rPr>
        <w:t xml:space="preserve"> Based on the ordinary test, </w:t>
      </w:r>
      <w:r w:rsidR="00CB5D7D">
        <w:rPr>
          <w:rFonts w:ascii="Times New Roman" w:hAnsi="Times New Roman" w:cs="Times New Roman"/>
          <w:sz w:val="24"/>
          <w:szCs w:val="24"/>
        </w:rPr>
        <w:t xml:space="preserve">Nisu does not reside in Australia as he does not reside their </w:t>
      </w:r>
      <w:r w:rsidR="00D579C8">
        <w:rPr>
          <w:rFonts w:ascii="Times New Roman" w:hAnsi="Times New Roman" w:cs="Times New Roman"/>
          <w:sz w:val="24"/>
          <w:szCs w:val="24"/>
        </w:rPr>
        <w:t>permanently</w:t>
      </w:r>
      <w:r w:rsidR="004D769A">
        <w:rPr>
          <w:rFonts w:ascii="Times New Roman" w:hAnsi="Times New Roman" w:cs="Times New Roman"/>
          <w:sz w:val="24"/>
          <w:szCs w:val="24"/>
        </w:rPr>
        <w:t xml:space="preserve"> as his permanent home is in Nepal</w:t>
      </w:r>
      <w:r w:rsidR="000366B6">
        <w:rPr>
          <w:rFonts w:ascii="Times New Roman" w:hAnsi="Times New Roman" w:cs="Times New Roman"/>
          <w:sz w:val="24"/>
          <w:szCs w:val="24"/>
        </w:rPr>
        <w:t xml:space="preserve"> and he intended to live </w:t>
      </w:r>
      <w:r w:rsidR="007D6433">
        <w:rPr>
          <w:rFonts w:ascii="Times New Roman" w:hAnsi="Times New Roman" w:cs="Times New Roman"/>
          <w:sz w:val="24"/>
          <w:szCs w:val="24"/>
        </w:rPr>
        <w:t xml:space="preserve">in </w:t>
      </w:r>
      <w:r w:rsidR="000366B6">
        <w:rPr>
          <w:rFonts w:ascii="Times New Roman" w:hAnsi="Times New Roman" w:cs="Times New Roman"/>
          <w:sz w:val="24"/>
          <w:szCs w:val="24"/>
        </w:rPr>
        <w:t xml:space="preserve">Australia </w:t>
      </w:r>
      <w:r w:rsidR="007D6433">
        <w:rPr>
          <w:rFonts w:ascii="Times New Roman" w:hAnsi="Times New Roman" w:cs="Times New Roman"/>
          <w:sz w:val="24"/>
          <w:szCs w:val="24"/>
        </w:rPr>
        <w:t>to study a course which would take</w:t>
      </w:r>
      <w:r w:rsidR="000366B6">
        <w:rPr>
          <w:rFonts w:ascii="Times New Roman" w:hAnsi="Times New Roman" w:cs="Times New Roman"/>
          <w:sz w:val="24"/>
          <w:szCs w:val="24"/>
        </w:rPr>
        <w:t xml:space="preserve"> 3 years</w:t>
      </w:r>
      <w:r w:rsidR="00822CC4">
        <w:rPr>
          <w:rFonts w:ascii="Times New Roman" w:hAnsi="Times New Roman" w:cs="Times New Roman"/>
          <w:sz w:val="24"/>
          <w:szCs w:val="24"/>
        </w:rPr>
        <w:t xml:space="preserve">. Additionally, </w:t>
      </w:r>
      <w:r w:rsidR="00D579C8">
        <w:rPr>
          <w:rFonts w:ascii="Times New Roman" w:hAnsi="Times New Roman" w:cs="Times New Roman"/>
          <w:sz w:val="24"/>
          <w:szCs w:val="24"/>
        </w:rPr>
        <w:t>he has neither lived in the country for a considerable</w:t>
      </w:r>
      <w:r w:rsidR="00822CC4">
        <w:rPr>
          <w:rFonts w:ascii="Times New Roman" w:hAnsi="Times New Roman" w:cs="Times New Roman"/>
          <w:sz w:val="24"/>
          <w:szCs w:val="24"/>
        </w:rPr>
        <w:t xml:space="preserve"> period of time </w:t>
      </w:r>
      <w:r w:rsidR="009719D9">
        <w:rPr>
          <w:rFonts w:ascii="Times New Roman" w:hAnsi="Times New Roman" w:cs="Times New Roman"/>
          <w:sz w:val="24"/>
          <w:szCs w:val="24"/>
        </w:rPr>
        <w:t xml:space="preserve">as he has stayed for six months </w:t>
      </w:r>
      <w:r w:rsidR="00822CC4">
        <w:rPr>
          <w:rFonts w:ascii="Times New Roman" w:hAnsi="Times New Roman" w:cs="Times New Roman"/>
          <w:sz w:val="24"/>
          <w:szCs w:val="24"/>
        </w:rPr>
        <w:t>and</w:t>
      </w:r>
      <w:r w:rsidR="0014641A">
        <w:rPr>
          <w:rFonts w:ascii="Times New Roman" w:hAnsi="Times New Roman" w:cs="Times New Roman"/>
          <w:sz w:val="24"/>
          <w:szCs w:val="24"/>
        </w:rPr>
        <w:t xml:space="preserve"> his intentions are not settle in Australia permanently. </w:t>
      </w:r>
      <w:r w:rsidR="00822CC4">
        <w:rPr>
          <w:rFonts w:ascii="Times New Roman" w:hAnsi="Times New Roman" w:cs="Times New Roman"/>
          <w:sz w:val="24"/>
          <w:szCs w:val="24"/>
        </w:rPr>
        <w:t>Therefore, based on this test Nisu is a non-resident</w:t>
      </w:r>
      <w:r w:rsidR="009719D9">
        <w:rPr>
          <w:rFonts w:ascii="Times New Roman" w:hAnsi="Times New Roman" w:cs="Times New Roman"/>
          <w:sz w:val="24"/>
          <w:szCs w:val="24"/>
        </w:rPr>
        <w:t xml:space="preserve"> which is further reinforced by rulings of cases such as </w:t>
      </w:r>
      <w:r w:rsidR="009719D9" w:rsidRPr="0063591B">
        <w:rPr>
          <w:rFonts w:ascii="Times New Roman" w:hAnsi="Times New Roman" w:cs="Times New Roman"/>
          <w:i/>
          <w:sz w:val="24"/>
          <w:szCs w:val="24"/>
        </w:rPr>
        <w:t>Miller v FCT</w:t>
      </w:r>
      <w:r w:rsidR="009719D9" w:rsidRPr="0063591B">
        <w:rPr>
          <w:rFonts w:ascii="Times New Roman" w:hAnsi="Times New Roman" w:cs="Times New Roman"/>
          <w:sz w:val="24"/>
          <w:szCs w:val="24"/>
        </w:rPr>
        <w:t xml:space="preserve"> (1946)</w:t>
      </w:r>
      <w:r w:rsidR="009719D9" w:rsidRPr="0063591B">
        <w:rPr>
          <w:rStyle w:val="FootnoteReference"/>
          <w:rFonts w:ascii="Times New Roman" w:hAnsi="Times New Roman" w:cs="Times New Roman"/>
          <w:sz w:val="24"/>
          <w:szCs w:val="24"/>
        </w:rPr>
        <w:footnoteReference w:id="23"/>
      </w:r>
      <w:r w:rsidR="002B7A22">
        <w:rPr>
          <w:rFonts w:ascii="Times New Roman" w:hAnsi="Times New Roman" w:cs="Times New Roman"/>
          <w:sz w:val="24"/>
          <w:szCs w:val="24"/>
        </w:rPr>
        <w:t xml:space="preserve"> and </w:t>
      </w:r>
      <w:r w:rsidR="002B7A22" w:rsidRPr="0063591B">
        <w:rPr>
          <w:rFonts w:ascii="Times New Roman" w:hAnsi="Times New Roman" w:cs="Times New Roman"/>
          <w:i/>
          <w:sz w:val="24"/>
          <w:szCs w:val="24"/>
        </w:rPr>
        <w:t>Levene v IRC</w:t>
      </w:r>
      <w:r w:rsidR="002B7A22" w:rsidRPr="0063591B">
        <w:rPr>
          <w:rFonts w:ascii="Times New Roman" w:hAnsi="Times New Roman" w:cs="Times New Roman"/>
          <w:sz w:val="24"/>
          <w:szCs w:val="24"/>
        </w:rPr>
        <w:t xml:space="preserve"> (1928)</w:t>
      </w:r>
      <w:r w:rsidR="002B7A22" w:rsidRPr="0063591B">
        <w:rPr>
          <w:rStyle w:val="FootnoteReference"/>
          <w:rFonts w:ascii="Times New Roman" w:hAnsi="Times New Roman" w:cs="Times New Roman"/>
          <w:sz w:val="24"/>
          <w:szCs w:val="24"/>
        </w:rPr>
        <w:footnoteReference w:id="24"/>
      </w:r>
      <w:r w:rsidR="00822CC4">
        <w:rPr>
          <w:rFonts w:ascii="Times New Roman" w:hAnsi="Times New Roman" w:cs="Times New Roman"/>
          <w:sz w:val="24"/>
          <w:szCs w:val="24"/>
        </w:rPr>
        <w:t xml:space="preserve">. </w:t>
      </w:r>
    </w:p>
    <w:p w:rsidR="00896648" w:rsidRPr="00A4658C" w:rsidRDefault="0025711E" w:rsidP="00A4658C">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Moving to the other statutory tests, </w:t>
      </w:r>
      <w:r w:rsidR="008A2B38">
        <w:rPr>
          <w:rFonts w:ascii="Times New Roman" w:hAnsi="Times New Roman" w:cs="Times New Roman"/>
          <w:sz w:val="24"/>
          <w:szCs w:val="24"/>
        </w:rPr>
        <w:t xml:space="preserve">the domicile test indicates that Nisu is a non-residence as he does not own a permanent residential home in the country. </w:t>
      </w:r>
      <w:r w:rsidR="009C788C">
        <w:rPr>
          <w:rFonts w:ascii="Times New Roman" w:hAnsi="Times New Roman" w:cs="Times New Roman"/>
          <w:sz w:val="24"/>
          <w:szCs w:val="24"/>
        </w:rPr>
        <w:t xml:space="preserve">The case study has indicated clearly that Nisu has </w:t>
      </w:r>
      <w:r w:rsidR="00034D5C">
        <w:rPr>
          <w:rFonts w:ascii="Times New Roman" w:hAnsi="Times New Roman" w:cs="Times New Roman"/>
          <w:sz w:val="24"/>
          <w:szCs w:val="24"/>
        </w:rPr>
        <w:t>no permanent home in Australia as he shares a</w:t>
      </w:r>
      <w:r w:rsidR="007D6433">
        <w:rPr>
          <w:rFonts w:ascii="Times New Roman" w:hAnsi="Times New Roman" w:cs="Times New Roman"/>
          <w:sz w:val="24"/>
          <w:szCs w:val="24"/>
        </w:rPr>
        <w:t xml:space="preserve"> rental house with his friends </w:t>
      </w:r>
      <w:r w:rsidR="00EE2EAB">
        <w:rPr>
          <w:rFonts w:ascii="Times New Roman" w:hAnsi="Times New Roman" w:cs="Times New Roman"/>
          <w:sz w:val="24"/>
          <w:szCs w:val="24"/>
        </w:rPr>
        <w:t>and his</w:t>
      </w:r>
      <w:r w:rsidR="007D6433">
        <w:rPr>
          <w:rFonts w:ascii="Times New Roman" w:hAnsi="Times New Roman" w:cs="Times New Roman"/>
          <w:sz w:val="24"/>
          <w:szCs w:val="24"/>
        </w:rPr>
        <w:t xml:space="preserve"> permanent home is in Nepal where his family lives</w:t>
      </w:r>
      <w:r w:rsidR="00EE2EAB">
        <w:rPr>
          <w:rFonts w:ascii="Times New Roman" w:hAnsi="Times New Roman" w:cs="Times New Roman"/>
          <w:sz w:val="24"/>
          <w:szCs w:val="24"/>
        </w:rPr>
        <w:t xml:space="preserve">. This test outlines that an individual with their permanent home outside Australia are considered as non-residence for tax purposes. </w:t>
      </w:r>
      <w:r w:rsidR="003737BF">
        <w:rPr>
          <w:rFonts w:ascii="Times New Roman" w:hAnsi="Times New Roman" w:cs="Times New Roman"/>
          <w:sz w:val="24"/>
          <w:szCs w:val="24"/>
        </w:rPr>
        <w:t xml:space="preserve">Considering the </w:t>
      </w:r>
      <w:r w:rsidR="003737BF" w:rsidRPr="0063591B">
        <w:rPr>
          <w:rFonts w:ascii="Times New Roman" w:hAnsi="Times New Roman" w:cs="Times New Roman"/>
          <w:sz w:val="24"/>
          <w:szCs w:val="24"/>
        </w:rPr>
        <w:t>183-day</w:t>
      </w:r>
      <w:r w:rsidR="003737BF">
        <w:rPr>
          <w:rFonts w:ascii="Times New Roman" w:hAnsi="Times New Roman" w:cs="Times New Roman"/>
          <w:sz w:val="24"/>
          <w:szCs w:val="24"/>
        </w:rPr>
        <w:t xml:space="preserve"> test</w:t>
      </w:r>
      <w:r w:rsidR="002153FA">
        <w:rPr>
          <w:rFonts w:ascii="Times New Roman" w:hAnsi="Times New Roman" w:cs="Times New Roman"/>
          <w:sz w:val="24"/>
          <w:szCs w:val="24"/>
        </w:rPr>
        <w:t xml:space="preserve">, Nisu stayed </w:t>
      </w:r>
      <w:r w:rsidR="004C3CDC">
        <w:rPr>
          <w:rFonts w:ascii="Times New Roman" w:hAnsi="Times New Roman" w:cs="Times New Roman"/>
          <w:sz w:val="24"/>
          <w:szCs w:val="24"/>
        </w:rPr>
        <w:t xml:space="preserve">in Australia for 182 days </w:t>
      </w:r>
      <w:r w:rsidR="004E68A4">
        <w:rPr>
          <w:rFonts w:ascii="Times New Roman" w:hAnsi="Times New Roman" w:cs="Times New Roman"/>
          <w:sz w:val="24"/>
          <w:szCs w:val="24"/>
        </w:rPr>
        <w:t>(from 30</w:t>
      </w:r>
      <w:r w:rsidR="004E68A4" w:rsidRPr="003B482D">
        <w:rPr>
          <w:rFonts w:ascii="Times New Roman" w:hAnsi="Times New Roman" w:cs="Times New Roman"/>
          <w:sz w:val="24"/>
          <w:szCs w:val="24"/>
        </w:rPr>
        <w:t xml:space="preserve"> December 2018 </w:t>
      </w:r>
      <w:r w:rsidR="004E68A4">
        <w:rPr>
          <w:rFonts w:ascii="Times New Roman" w:hAnsi="Times New Roman" w:cs="Times New Roman"/>
          <w:sz w:val="24"/>
          <w:szCs w:val="24"/>
        </w:rPr>
        <w:t xml:space="preserve">to </w:t>
      </w:r>
      <w:r w:rsidR="004E68A4" w:rsidRPr="003B482D">
        <w:rPr>
          <w:rFonts w:ascii="Times New Roman" w:hAnsi="Times New Roman" w:cs="Times New Roman"/>
          <w:sz w:val="24"/>
          <w:szCs w:val="24"/>
        </w:rPr>
        <w:t>30 June 2019</w:t>
      </w:r>
      <w:r w:rsidR="004E68A4">
        <w:rPr>
          <w:rFonts w:ascii="Times New Roman" w:hAnsi="Times New Roman" w:cs="Times New Roman"/>
          <w:sz w:val="24"/>
          <w:szCs w:val="24"/>
        </w:rPr>
        <w:t xml:space="preserve">) </w:t>
      </w:r>
      <w:r w:rsidR="004C3CDC">
        <w:rPr>
          <w:rFonts w:ascii="Times New Roman" w:hAnsi="Times New Roman" w:cs="Times New Roman"/>
          <w:sz w:val="24"/>
          <w:szCs w:val="24"/>
        </w:rPr>
        <w:t xml:space="preserve">and therefore, he is a non-resident for the </w:t>
      </w:r>
      <w:r w:rsidR="004C3CDC" w:rsidRPr="0094219A">
        <w:rPr>
          <w:rFonts w:ascii="Times New Roman" w:hAnsi="Times New Roman" w:cs="Times New Roman"/>
          <w:sz w:val="24"/>
          <w:szCs w:val="24"/>
        </w:rPr>
        <w:t>2018/19 income year</w:t>
      </w:r>
      <w:r w:rsidR="00207CAE">
        <w:rPr>
          <w:rFonts w:ascii="Times New Roman" w:hAnsi="Times New Roman" w:cs="Times New Roman"/>
          <w:sz w:val="24"/>
          <w:szCs w:val="24"/>
        </w:rPr>
        <w:t xml:space="preserve">. This is because Nisu spent </w:t>
      </w:r>
      <w:r w:rsidR="004E68A4">
        <w:rPr>
          <w:rFonts w:ascii="Times New Roman" w:hAnsi="Times New Roman" w:cs="Times New Roman"/>
          <w:sz w:val="24"/>
          <w:szCs w:val="24"/>
        </w:rPr>
        <w:t>fewer</w:t>
      </w:r>
      <w:r w:rsidR="00207CAE">
        <w:rPr>
          <w:rFonts w:ascii="Times New Roman" w:hAnsi="Times New Roman" w:cs="Times New Roman"/>
          <w:sz w:val="24"/>
          <w:szCs w:val="24"/>
        </w:rPr>
        <w:t xml:space="preserve"> days in the country </w:t>
      </w:r>
      <w:r w:rsidR="00446109">
        <w:rPr>
          <w:rFonts w:ascii="Times New Roman" w:hAnsi="Times New Roman" w:cs="Times New Roman"/>
          <w:sz w:val="24"/>
          <w:szCs w:val="24"/>
        </w:rPr>
        <w:t xml:space="preserve">than the required 183 days to be qualified as a resident for taxation considerations. </w:t>
      </w:r>
      <w:r w:rsidR="002D143F">
        <w:rPr>
          <w:rFonts w:ascii="Times New Roman" w:hAnsi="Times New Roman" w:cs="Times New Roman"/>
          <w:sz w:val="24"/>
          <w:szCs w:val="24"/>
        </w:rPr>
        <w:t xml:space="preserve">Since the superannuation test is not applicable to Nisu case scenario, it can be concluded that </w:t>
      </w:r>
      <w:r w:rsidR="003D2584">
        <w:rPr>
          <w:rFonts w:ascii="Times New Roman" w:hAnsi="Times New Roman" w:cs="Times New Roman"/>
          <w:sz w:val="24"/>
          <w:szCs w:val="24"/>
        </w:rPr>
        <w:t xml:space="preserve">Nisu is a non-resident for the </w:t>
      </w:r>
      <w:r w:rsidR="003D2584" w:rsidRPr="003D2584">
        <w:rPr>
          <w:rFonts w:ascii="Times New Roman" w:hAnsi="Times New Roman" w:cs="Times New Roman"/>
          <w:sz w:val="24"/>
          <w:szCs w:val="24"/>
        </w:rPr>
        <w:t>2018/19 income year</w:t>
      </w:r>
      <w:r w:rsidR="00A4658C">
        <w:rPr>
          <w:rFonts w:ascii="Times New Roman" w:hAnsi="Times New Roman" w:cs="Times New Roman"/>
          <w:sz w:val="24"/>
          <w:szCs w:val="24"/>
        </w:rPr>
        <w:t>.</w:t>
      </w:r>
    </w:p>
    <w:p w:rsidR="00896648" w:rsidRDefault="00896648" w:rsidP="003D2584">
      <w:pPr>
        <w:pStyle w:val="Heading3"/>
        <w:shd w:val="clear" w:color="auto" w:fill="FFFFFF"/>
        <w:spacing w:before="450" w:beforeAutospacing="0" w:after="330" w:afterAutospacing="0" w:line="480" w:lineRule="auto"/>
        <w:contextualSpacing/>
        <w:rPr>
          <w:sz w:val="24"/>
          <w:szCs w:val="24"/>
        </w:rPr>
      </w:pPr>
    </w:p>
    <w:p w:rsidR="00BE35AA" w:rsidRPr="00240702" w:rsidRDefault="00BE35AA" w:rsidP="003D2584">
      <w:pPr>
        <w:pStyle w:val="Heading3"/>
        <w:shd w:val="clear" w:color="auto" w:fill="FFFFFF"/>
        <w:spacing w:before="450" w:beforeAutospacing="0" w:after="330" w:afterAutospacing="0" w:line="480" w:lineRule="auto"/>
        <w:contextualSpacing/>
        <w:rPr>
          <w:sz w:val="24"/>
          <w:szCs w:val="24"/>
        </w:rPr>
      </w:pPr>
      <w:r w:rsidRPr="00240702">
        <w:rPr>
          <w:sz w:val="24"/>
          <w:szCs w:val="24"/>
        </w:rPr>
        <w:lastRenderedPageBreak/>
        <w:t xml:space="preserve">Bibliography </w:t>
      </w:r>
    </w:p>
    <w:p w:rsidR="00FB0995" w:rsidRPr="00240702" w:rsidRDefault="00FB0995" w:rsidP="003D2584">
      <w:pPr>
        <w:pStyle w:val="Heading3"/>
        <w:shd w:val="clear" w:color="auto" w:fill="FFFFFF"/>
        <w:spacing w:before="450" w:beforeAutospacing="0" w:after="330" w:afterAutospacing="0" w:line="480" w:lineRule="auto"/>
        <w:contextualSpacing/>
        <w:rPr>
          <w:b w:val="0"/>
          <w:sz w:val="24"/>
          <w:szCs w:val="24"/>
        </w:rPr>
      </w:pPr>
      <w:r w:rsidRPr="00240702">
        <w:rPr>
          <w:b w:val="0"/>
          <w:sz w:val="24"/>
          <w:szCs w:val="24"/>
        </w:rPr>
        <w:t>Article/Books</w:t>
      </w:r>
    </w:p>
    <w:p w:rsidR="00FB0995" w:rsidRPr="00240702" w:rsidRDefault="00BA7A2F" w:rsidP="003D2584">
      <w:pPr>
        <w:pStyle w:val="Heading3"/>
        <w:shd w:val="clear" w:color="auto" w:fill="FFFFFF"/>
        <w:spacing w:before="450" w:beforeAutospacing="0" w:after="330" w:afterAutospacing="0" w:line="480" w:lineRule="auto"/>
        <w:contextualSpacing/>
        <w:rPr>
          <w:b w:val="0"/>
          <w:sz w:val="24"/>
          <w:szCs w:val="24"/>
        </w:rPr>
      </w:pPr>
      <w:r w:rsidRPr="00240702">
        <w:rPr>
          <w:b w:val="0"/>
          <w:sz w:val="24"/>
          <w:szCs w:val="24"/>
          <w:lang w:val="en-AU"/>
        </w:rPr>
        <w:t>Sadeiq, K., Coleman, C., Hanegbi, R., Jogarajan, S., Krever, R., Obst, W., &amp; Ting, A. (2013). </w:t>
      </w:r>
      <w:r w:rsidRPr="00240702">
        <w:rPr>
          <w:b w:val="0"/>
          <w:iCs/>
          <w:sz w:val="24"/>
          <w:szCs w:val="24"/>
          <w:lang w:val="en-AU"/>
        </w:rPr>
        <w:t>Principles of taxation law 2014</w:t>
      </w:r>
      <w:r w:rsidRPr="00240702">
        <w:rPr>
          <w:b w:val="0"/>
          <w:sz w:val="24"/>
          <w:szCs w:val="24"/>
          <w:lang w:val="en-AU"/>
        </w:rPr>
        <w:t>. Australia: Thomson Reuters</w:t>
      </w:r>
    </w:p>
    <w:p w:rsidR="00670AB5" w:rsidRPr="00240702" w:rsidRDefault="00670AB5" w:rsidP="00670AB5">
      <w:pPr>
        <w:rPr>
          <w:rFonts w:ascii="Times New Roman" w:hAnsi="Times New Roman" w:cs="Times New Roman"/>
          <w:b/>
          <w:sz w:val="24"/>
          <w:szCs w:val="24"/>
        </w:rPr>
      </w:pPr>
      <w:r w:rsidRPr="00240702">
        <w:rPr>
          <w:rFonts w:ascii="Times New Roman" w:hAnsi="Times New Roman" w:cs="Times New Roman"/>
          <w:b/>
          <w:sz w:val="24"/>
          <w:szCs w:val="24"/>
        </w:rPr>
        <w:t>Legislations</w:t>
      </w:r>
    </w:p>
    <w:p w:rsidR="00670AB5" w:rsidRPr="00240702" w:rsidRDefault="00670AB5" w:rsidP="00670AB5">
      <w:pPr>
        <w:rPr>
          <w:rFonts w:ascii="Times New Roman" w:hAnsi="Times New Roman" w:cs="Times New Roman"/>
          <w:sz w:val="24"/>
          <w:szCs w:val="24"/>
        </w:rPr>
      </w:pPr>
      <w:r w:rsidRPr="00240702">
        <w:rPr>
          <w:rFonts w:ascii="Times New Roman" w:hAnsi="Times New Roman" w:cs="Times New Roman"/>
          <w:sz w:val="24"/>
          <w:szCs w:val="24"/>
        </w:rPr>
        <w:t>Income Tax Assessment Act 1936</w:t>
      </w:r>
    </w:p>
    <w:p w:rsidR="00670AB5" w:rsidRPr="00240702" w:rsidRDefault="00670AB5" w:rsidP="00670AB5">
      <w:pPr>
        <w:rPr>
          <w:rFonts w:ascii="Times New Roman" w:hAnsi="Times New Roman" w:cs="Times New Roman"/>
          <w:sz w:val="24"/>
          <w:szCs w:val="24"/>
        </w:rPr>
      </w:pPr>
      <w:r w:rsidRPr="00240702">
        <w:rPr>
          <w:rFonts w:ascii="Times New Roman" w:hAnsi="Times New Roman" w:cs="Times New Roman"/>
          <w:sz w:val="24"/>
          <w:szCs w:val="24"/>
        </w:rPr>
        <w:t>Income Tax Assessment Act 1977</w:t>
      </w:r>
    </w:p>
    <w:p w:rsidR="00895F6E" w:rsidRPr="00240702" w:rsidRDefault="00895F6E" w:rsidP="00895F6E">
      <w:pPr>
        <w:tabs>
          <w:tab w:val="left" w:pos="3330"/>
        </w:tabs>
        <w:spacing w:after="240" w:line="480" w:lineRule="auto"/>
        <w:contextualSpacing/>
        <w:jc w:val="both"/>
        <w:rPr>
          <w:rFonts w:ascii="Times New Roman" w:hAnsi="Times New Roman" w:cs="Times New Roman"/>
          <w:sz w:val="24"/>
          <w:szCs w:val="24"/>
        </w:rPr>
      </w:pPr>
      <w:r w:rsidRPr="00240702">
        <w:rPr>
          <w:rFonts w:ascii="Times New Roman" w:hAnsi="Times New Roman" w:cs="Times New Roman"/>
          <w:sz w:val="24"/>
          <w:szCs w:val="24"/>
          <w:lang w:val="uk-UA"/>
        </w:rPr>
        <w:t>Income Tax Rates Act 1986</w:t>
      </w:r>
    </w:p>
    <w:p w:rsidR="00895F6E" w:rsidRPr="00240702" w:rsidRDefault="00895F6E" w:rsidP="00895F6E">
      <w:pPr>
        <w:tabs>
          <w:tab w:val="left" w:pos="3330"/>
        </w:tabs>
        <w:spacing w:after="240" w:line="480" w:lineRule="auto"/>
        <w:contextualSpacing/>
        <w:jc w:val="both"/>
        <w:rPr>
          <w:rFonts w:ascii="Times New Roman" w:hAnsi="Times New Roman" w:cs="Times New Roman"/>
          <w:sz w:val="24"/>
          <w:szCs w:val="24"/>
        </w:rPr>
      </w:pPr>
      <w:r w:rsidRPr="00240702">
        <w:rPr>
          <w:rFonts w:ascii="Times New Roman" w:hAnsi="Times New Roman" w:cs="Times New Roman"/>
          <w:sz w:val="24"/>
          <w:szCs w:val="24"/>
        </w:rPr>
        <w:t>Public Service Act 1922</w:t>
      </w:r>
    </w:p>
    <w:p w:rsidR="00895F6E" w:rsidRPr="00240702" w:rsidRDefault="00895F6E" w:rsidP="00895F6E">
      <w:pPr>
        <w:tabs>
          <w:tab w:val="left" w:pos="3330"/>
        </w:tabs>
        <w:spacing w:after="240" w:line="480" w:lineRule="auto"/>
        <w:contextualSpacing/>
        <w:jc w:val="both"/>
        <w:rPr>
          <w:rFonts w:ascii="Times New Roman" w:hAnsi="Times New Roman" w:cs="Times New Roman"/>
          <w:sz w:val="24"/>
          <w:szCs w:val="24"/>
        </w:rPr>
      </w:pPr>
      <w:r w:rsidRPr="00240702">
        <w:rPr>
          <w:rFonts w:ascii="Times New Roman" w:hAnsi="Times New Roman" w:cs="Times New Roman"/>
          <w:sz w:val="24"/>
          <w:szCs w:val="24"/>
        </w:rPr>
        <w:t>TR 98/17</w:t>
      </w:r>
    </w:p>
    <w:p w:rsidR="00895F6E" w:rsidRPr="009C74CD" w:rsidRDefault="00895F6E" w:rsidP="00895F6E">
      <w:pPr>
        <w:tabs>
          <w:tab w:val="left" w:pos="3330"/>
        </w:tabs>
        <w:spacing w:after="240" w:line="480" w:lineRule="auto"/>
        <w:contextualSpacing/>
        <w:jc w:val="both"/>
        <w:rPr>
          <w:rFonts w:ascii="Times New Roman" w:hAnsi="Times New Roman" w:cs="Times New Roman"/>
          <w:sz w:val="24"/>
          <w:szCs w:val="24"/>
        </w:rPr>
      </w:pPr>
      <w:r w:rsidRPr="009C74CD">
        <w:rPr>
          <w:rFonts w:ascii="Times New Roman" w:hAnsi="Times New Roman" w:cs="Times New Roman"/>
          <w:sz w:val="24"/>
          <w:szCs w:val="24"/>
        </w:rPr>
        <w:t>TR 2018/4</w:t>
      </w:r>
    </w:p>
    <w:p w:rsidR="00670AB5" w:rsidRPr="00240702" w:rsidRDefault="00670AB5" w:rsidP="00670AB5">
      <w:pPr>
        <w:rPr>
          <w:rFonts w:ascii="Times New Roman" w:hAnsi="Times New Roman" w:cs="Times New Roman"/>
          <w:b/>
          <w:sz w:val="24"/>
          <w:szCs w:val="24"/>
        </w:rPr>
      </w:pPr>
      <w:r w:rsidRPr="00240702">
        <w:rPr>
          <w:rFonts w:ascii="Times New Roman" w:hAnsi="Times New Roman" w:cs="Times New Roman"/>
          <w:b/>
          <w:sz w:val="24"/>
          <w:szCs w:val="24"/>
        </w:rPr>
        <w:t>Cases</w:t>
      </w:r>
    </w:p>
    <w:p w:rsidR="004835EC" w:rsidRPr="00240702" w:rsidRDefault="004835EC" w:rsidP="009C74CD">
      <w:pPr>
        <w:pStyle w:val="FootnoteText"/>
        <w:spacing w:line="480" w:lineRule="auto"/>
        <w:contextualSpacing/>
        <w:rPr>
          <w:rFonts w:cs="Times New Roman"/>
          <w:sz w:val="24"/>
          <w:szCs w:val="24"/>
          <w:lang w:eastAsia="ko-KR"/>
        </w:rPr>
      </w:pPr>
      <w:r w:rsidRPr="00240702">
        <w:rPr>
          <w:rFonts w:cs="Times New Roman"/>
          <w:sz w:val="24"/>
          <w:szCs w:val="24"/>
          <w:lang w:eastAsia="ko-KR"/>
        </w:rPr>
        <w:t>IRC v Lysaght [1928] AC 234.</w:t>
      </w:r>
    </w:p>
    <w:p w:rsidR="004835EC" w:rsidRPr="00240702" w:rsidRDefault="004835EC" w:rsidP="009C74CD">
      <w:pPr>
        <w:pStyle w:val="FootnoteText"/>
        <w:spacing w:line="480" w:lineRule="auto"/>
        <w:contextualSpacing/>
        <w:rPr>
          <w:rFonts w:cs="Times New Roman"/>
          <w:sz w:val="24"/>
          <w:szCs w:val="24"/>
          <w:lang w:eastAsia="ko-KR"/>
        </w:rPr>
      </w:pPr>
      <w:r w:rsidRPr="00240702">
        <w:rPr>
          <w:rFonts w:cs="Times New Roman"/>
          <w:sz w:val="24"/>
          <w:szCs w:val="24"/>
          <w:lang w:eastAsia="ko-KR"/>
        </w:rPr>
        <w:t>Levene v IRC [1928] AC 217.</w:t>
      </w:r>
    </w:p>
    <w:p w:rsidR="004835EC" w:rsidRPr="00240702" w:rsidRDefault="004835EC" w:rsidP="009C74CD">
      <w:pPr>
        <w:pStyle w:val="FootnoteText"/>
        <w:spacing w:line="480" w:lineRule="auto"/>
        <w:contextualSpacing/>
        <w:rPr>
          <w:rFonts w:cs="Times New Roman"/>
          <w:sz w:val="24"/>
          <w:szCs w:val="24"/>
          <w:lang w:eastAsia="ko-KR"/>
        </w:rPr>
      </w:pPr>
      <w:r w:rsidRPr="00240702">
        <w:rPr>
          <w:rFonts w:cs="Times New Roman"/>
          <w:sz w:val="24"/>
          <w:szCs w:val="24"/>
          <w:lang w:eastAsia="ko-KR"/>
        </w:rPr>
        <w:t>FCT v Applegate (1979) 79 ATC 4307; 9 ATR 899.</w:t>
      </w:r>
    </w:p>
    <w:p w:rsidR="004835EC" w:rsidRPr="00240702" w:rsidRDefault="004835EC" w:rsidP="009C74CD">
      <w:pPr>
        <w:pStyle w:val="FootnoteText"/>
        <w:spacing w:line="480" w:lineRule="auto"/>
        <w:contextualSpacing/>
        <w:rPr>
          <w:rFonts w:cs="Times New Roman"/>
          <w:sz w:val="24"/>
          <w:szCs w:val="24"/>
        </w:rPr>
      </w:pPr>
      <w:r w:rsidRPr="00240702">
        <w:rPr>
          <w:rFonts w:cs="Times New Roman"/>
          <w:sz w:val="24"/>
          <w:szCs w:val="24"/>
        </w:rPr>
        <w:t>Miller v FCT (1946) 73 CLR 93.</w:t>
      </w:r>
    </w:p>
    <w:p w:rsidR="00783F25" w:rsidRPr="00240702" w:rsidRDefault="00670AB5" w:rsidP="009C74CD">
      <w:pPr>
        <w:spacing w:line="480" w:lineRule="auto"/>
        <w:contextualSpacing/>
        <w:rPr>
          <w:rFonts w:ascii="Times New Roman" w:hAnsi="Times New Roman" w:cs="Times New Roman"/>
          <w:sz w:val="24"/>
          <w:szCs w:val="24"/>
        </w:rPr>
      </w:pPr>
      <w:r w:rsidRPr="00240702">
        <w:rPr>
          <w:rFonts w:ascii="Times New Roman" w:hAnsi="Times New Roman" w:cs="Times New Roman"/>
          <w:sz w:val="24"/>
          <w:szCs w:val="24"/>
        </w:rPr>
        <w:t>FC of T v Day(2008) ATC 20-064</w:t>
      </w:r>
    </w:p>
    <w:p w:rsidR="00670AB5" w:rsidRPr="00240702" w:rsidRDefault="00670AB5" w:rsidP="00670AB5">
      <w:pPr>
        <w:rPr>
          <w:rFonts w:ascii="Times New Roman" w:hAnsi="Times New Roman" w:cs="Times New Roman"/>
          <w:b/>
          <w:sz w:val="24"/>
          <w:szCs w:val="24"/>
        </w:rPr>
      </w:pPr>
      <w:r w:rsidRPr="00240702">
        <w:rPr>
          <w:rFonts w:ascii="Times New Roman" w:hAnsi="Times New Roman" w:cs="Times New Roman"/>
          <w:b/>
          <w:sz w:val="24"/>
          <w:szCs w:val="24"/>
        </w:rPr>
        <w:t>Others</w:t>
      </w:r>
    </w:p>
    <w:p w:rsidR="00670AB5" w:rsidRPr="00240702" w:rsidRDefault="00670AB5" w:rsidP="00240702">
      <w:pPr>
        <w:spacing w:line="480" w:lineRule="auto"/>
        <w:rPr>
          <w:rFonts w:ascii="Times New Roman" w:hAnsi="Times New Roman" w:cs="Times New Roman"/>
          <w:sz w:val="24"/>
          <w:szCs w:val="24"/>
        </w:rPr>
      </w:pPr>
      <w:r w:rsidRPr="00240702">
        <w:rPr>
          <w:rFonts w:ascii="Times New Roman" w:hAnsi="Times New Roman" w:cs="Times New Roman"/>
          <w:sz w:val="24"/>
          <w:szCs w:val="24"/>
        </w:rPr>
        <w:t>Australian Taxation Office, </w:t>
      </w:r>
      <w:r w:rsidRPr="00240702">
        <w:rPr>
          <w:rFonts w:ascii="Times New Roman" w:hAnsi="Times New Roman" w:cs="Times New Roman"/>
          <w:iCs/>
          <w:sz w:val="24"/>
          <w:szCs w:val="24"/>
        </w:rPr>
        <w:t>ATO Advice Products (Rulings)</w:t>
      </w:r>
      <w:r w:rsidRPr="00240702">
        <w:rPr>
          <w:rFonts w:ascii="Times New Roman" w:hAnsi="Times New Roman" w:cs="Times New Roman"/>
          <w:sz w:val="24"/>
          <w:szCs w:val="24"/>
        </w:rPr>
        <w:t xml:space="preserve"> (2018) Ato.gov.au </w:t>
      </w:r>
      <w:hyperlink r:id="rId8" w:history="1">
        <w:r w:rsidRPr="00240702">
          <w:rPr>
            <w:rStyle w:val="Hyperlink"/>
            <w:rFonts w:ascii="Times New Roman" w:hAnsi="Times New Roman" w:cs="Times New Roman"/>
            <w:color w:val="auto"/>
            <w:sz w:val="24"/>
            <w:szCs w:val="24"/>
          </w:rPr>
          <w:t>https://www.ato.gov.au/general/ato-advice-and-guidance/ato-advice-products-(rulings)/</w:t>
        </w:r>
      </w:hyperlink>
    </w:p>
    <w:p w:rsidR="00FB0995" w:rsidRPr="00240702" w:rsidRDefault="00FB0995" w:rsidP="00240702">
      <w:pPr>
        <w:pStyle w:val="FootnoteText"/>
        <w:spacing w:line="480" w:lineRule="auto"/>
        <w:rPr>
          <w:rFonts w:cs="Times New Roman"/>
          <w:sz w:val="24"/>
          <w:szCs w:val="24"/>
        </w:rPr>
      </w:pPr>
      <w:r w:rsidRPr="00240702">
        <w:rPr>
          <w:rFonts w:cs="Times New Roman"/>
          <w:sz w:val="24"/>
          <w:szCs w:val="24"/>
        </w:rPr>
        <w:t>Australian Taxation Office, Residency tests, &lt;</w:t>
      </w:r>
      <w:hyperlink r:id="rId9" w:history="1">
        <w:r w:rsidRPr="00240702">
          <w:rPr>
            <w:rStyle w:val="Hyperlink"/>
            <w:rFonts w:cs="Times New Roman"/>
            <w:color w:val="auto"/>
            <w:sz w:val="24"/>
            <w:szCs w:val="24"/>
          </w:rPr>
          <w:t>https://www.ato.gov.au/Individuals/International-tax-for-individuals/Work-out-your-tax-residency/Residency-tests</w:t>
        </w:r>
      </w:hyperlink>
      <w:r w:rsidRPr="00240702">
        <w:rPr>
          <w:rFonts w:cs="Times New Roman"/>
          <w:sz w:val="24"/>
          <w:szCs w:val="24"/>
        </w:rPr>
        <w:t xml:space="preserve">&gt;. </w:t>
      </w:r>
    </w:p>
    <w:p w:rsidR="00FB0995" w:rsidRPr="00240702" w:rsidRDefault="00FB0995" w:rsidP="00240702">
      <w:pPr>
        <w:pStyle w:val="FootnoteText"/>
        <w:spacing w:line="480" w:lineRule="auto"/>
        <w:rPr>
          <w:rFonts w:cs="Times New Roman"/>
          <w:sz w:val="24"/>
          <w:szCs w:val="24"/>
        </w:rPr>
      </w:pPr>
      <w:r w:rsidRPr="00240702">
        <w:rPr>
          <w:rFonts w:cs="Times New Roman"/>
          <w:sz w:val="24"/>
          <w:szCs w:val="24"/>
        </w:rPr>
        <w:lastRenderedPageBreak/>
        <w:t>Australian Taxation Office, Taxation Ruling TR 98/17,&lt;</w:t>
      </w:r>
      <w:hyperlink r:id="rId10" w:history="1">
        <w:r w:rsidRPr="00240702">
          <w:rPr>
            <w:rStyle w:val="Hyperlink"/>
            <w:rFonts w:cs="Times New Roman"/>
            <w:color w:val="auto"/>
            <w:sz w:val="24"/>
            <w:szCs w:val="24"/>
          </w:rPr>
          <w:t>https://www.ato.gov.au/law/view/document?Docid=TXR/TR9817/NAT/ATO/00001</w:t>
        </w:r>
      </w:hyperlink>
    </w:p>
    <w:p w:rsidR="00FB0995" w:rsidRPr="00240702" w:rsidRDefault="00FB0995" w:rsidP="00240702">
      <w:pPr>
        <w:pStyle w:val="FootnoteText"/>
        <w:spacing w:line="480" w:lineRule="auto"/>
        <w:rPr>
          <w:rFonts w:cs="Times New Roman"/>
          <w:sz w:val="24"/>
          <w:szCs w:val="24"/>
        </w:rPr>
      </w:pPr>
      <w:r w:rsidRPr="00240702">
        <w:rPr>
          <w:rFonts w:cs="Times New Roman"/>
          <w:sz w:val="24"/>
          <w:szCs w:val="24"/>
        </w:rPr>
        <w:t>Australian Taxation Office,</w:t>
      </w:r>
      <w:r w:rsidRPr="00240702">
        <w:rPr>
          <w:rFonts w:cs="Times New Roman"/>
          <w:iCs/>
          <w:sz w:val="24"/>
          <w:szCs w:val="24"/>
        </w:rPr>
        <w:t>Lodging your tax return, &lt;</w:t>
      </w:r>
      <w:r w:rsidRPr="00240702">
        <w:rPr>
          <w:rFonts w:cs="Times New Roman"/>
          <w:sz w:val="24"/>
          <w:szCs w:val="24"/>
        </w:rPr>
        <w:t>https://www.ato.gov.au/Individuals/Lodging-your-tax-return&gt;.</w:t>
      </w:r>
    </w:p>
    <w:p w:rsidR="00FB0995" w:rsidRPr="00240702" w:rsidRDefault="00FB0995" w:rsidP="00240702">
      <w:pPr>
        <w:pStyle w:val="FootnoteText"/>
        <w:spacing w:line="480" w:lineRule="auto"/>
        <w:rPr>
          <w:rFonts w:cs="Times New Roman"/>
          <w:sz w:val="24"/>
          <w:szCs w:val="24"/>
          <w:lang w:eastAsia="ko-KR"/>
        </w:rPr>
      </w:pPr>
      <w:r w:rsidRPr="00240702">
        <w:rPr>
          <w:rFonts w:cs="Times New Roman"/>
          <w:sz w:val="24"/>
          <w:szCs w:val="24"/>
          <w:lang w:eastAsia="ko-KR"/>
        </w:rPr>
        <w:t>Australian Taxation Office, Taxation Ruling IT 2650, &lt;</w:t>
      </w:r>
      <w:hyperlink r:id="rId11" w:history="1">
        <w:r w:rsidRPr="00240702">
          <w:rPr>
            <w:rStyle w:val="Hyperlink"/>
            <w:rFonts w:cs="Times New Roman"/>
            <w:color w:val="auto"/>
            <w:sz w:val="24"/>
            <w:szCs w:val="24"/>
            <w:lang w:eastAsia="ko-KR"/>
          </w:rPr>
          <w:t>http://law.ato.gov.au/atolaw/view.htm?Docid=ITR/IT2650/NAT/ATO/00001</w:t>
        </w:r>
      </w:hyperlink>
      <w:r w:rsidRPr="00240702">
        <w:rPr>
          <w:rFonts w:cs="Times New Roman"/>
          <w:sz w:val="24"/>
          <w:szCs w:val="24"/>
          <w:lang w:eastAsia="ko-KR"/>
        </w:rPr>
        <w:t xml:space="preserve">&gt;. </w:t>
      </w:r>
    </w:p>
    <w:p w:rsidR="00FB0995" w:rsidRPr="00240702" w:rsidRDefault="00162FA3" w:rsidP="00240702">
      <w:pPr>
        <w:pStyle w:val="FootnoteText"/>
        <w:spacing w:line="480" w:lineRule="auto"/>
        <w:rPr>
          <w:rFonts w:cs="Times New Roman"/>
          <w:sz w:val="24"/>
          <w:szCs w:val="24"/>
        </w:rPr>
      </w:pPr>
      <w:r w:rsidRPr="00240702">
        <w:rPr>
          <w:rFonts w:cs="Times New Roman"/>
          <w:sz w:val="24"/>
          <w:szCs w:val="24"/>
          <w:shd w:val="clear" w:color="auto" w:fill="FFFFFF"/>
        </w:rPr>
        <w:t>ATO. (2019). The discount method of calculating your capital gain. Retrieved from https://www.ato.gov.au/General/Capital-gains-tax/Working-out-your-capital-gain-or-loss/Working-out-your-capital-gain/The-discount-method-of-calculating-your-capital-gain/</w:t>
      </w:r>
    </w:p>
    <w:p w:rsidR="00FB0995" w:rsidRPr="00240702" w:rsidRDefault="00240702" w:rsidP="00240702">
      <w:pPr>
        <w:spacing w:line="480" w:lineRule="auto"/>
        <w:rPr>
          <w:rFonts w:ascii="Times New Roman" w:hAnsi="Times New Roman" w:cs="Times New Roman"/>
          <w:sz w:val="24"/>
          <w:szCs w:val="24"/>
        </w:rPr>
      </w:pPr>
      <w:r w:rsidRPr="00240702">
        <w:rPr>
          <w:rFonts w:ascii="Times New Roman" w:hAnsi="Times New Roman" w:cs="Times New Roman"/>
          <w:sz w:val="24"/>
          <w:szCs w:val="24"/>
          <w:shd w:val="clear" w:color="auto" w:fill="FFFFFF"/>
        </w:rPr>
        <w:t>ATO. (2019). Capital gains. Retrieved from https://www.ato.gov.au/General/Capital-gains-tax/</w:t>
      </w:r>
    </w:p>
    <w:p w:rsidR="00BE35AA" w:rsidRPr="0063591B" w:rsidRDefault="00BE35AA" w:rsidP="003D2584">
      <w:pPr>
        <w:pStyle w:val="Heading3"/>
        <w:shd w:val="clear" w:color="auto" w:fill="FFFFFF"/>
        <w:spacing w:before="450" w:beforeAutospacing="0" w:after="330" w:afterAutospacing="0" w:line="480" w:lineRule="auto"/>
        <w:contextualSpacing/>
        <w:rPr>
          <w:sz w:val="24"/>
          <w:szCs w:val="24"/>
        </w:rPr>
      </w:pPr>
    </w:p>
    <w:sectPr w:rsidR="00BE35AA" w:rsidRPr="0063591B" w:rsidSect="0060609A">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332" w:rsidRDefault="00930332" w:rsidP="00E421FB">
      <w:pPr>
        <w:spacing w:after="0" w:line="240" w:lineRule="auto"/>
      </w:pPr>
      <w:r>
        <w:separator/>
      </w:r>
    </w:p>
  </w:endnote>
  <w:endnote w:type="continuationSeparator" w:id="1">
    <w:p w:rsidR="00930332" w:rsidRDefault="00930332" w:rsidP="00E42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332" w:rsidRDefault="00930332" w:rsidP="00E421FB">
      <w:pPr>
        <w:spacing w:after="0" w:line="240" w:lineRule="auto"/>
      </w:pPr>
      <w:r>
        <w:separator/>
      </w:r>
    </w:p>
  </w:footnote>
  <w:footnote w:type="continuationSeparator" w:id="1">
    <w:p w:rsidR="00930332" w:rsidRDefault="00930332" w:rsidP="00E421FB">
      <w:pPr>
        <w:spacing w:after="0" w:line="240" w:lineRule="auto"/>
      </w:pPr>
      <w:r>
        <w:continuationSeparator/>
      </w:r>
    </w:p>
  </w:footnote>
  <w:footnote w:id="2">
    <w:p w:rsidR="00455CB9" w:rsidRDefault="00455CB9">
      <w:pPr>
        <w:pStyle w:val="FootnoteText"/>
      </w:pPr>
      <w:r>
        <w:rPr>
          <w:rStyle w:val="FootnoteReference"/>
        </w:rPr>
        <w:footnoteRef/>
      </w:r>
      <w:r>
        <w:t xml:space="preserve"> </w:t>
      </w:r>
      <w:r w:rsidRPr="00455CB9">
        <w:rPr>
          <w:rFonts w:cs="Times New Roman"/>
          <w:sz w:val="24"/>
          <w:szCs w:val="24"/>
        </w:rPr>
        <w:t>TR 2018/4</w:t>
      </w:r>
    </w:p>
  </w:footnote>
  <w:footnote w:id="3">
    <w:p w:rsidR="00A5325A" w:rsidRPr="00455CB9" w:rsidRDefault="00A5325A" w:rsidP="00A5325A">
      <w:r w:rsidRPr="00455CB9">
        <w:rPr>
          <w:rStyle w:val="FootnoteReference"/>
        </w:rPr>
        <w:footnoteRef/>
      </w:r>
      <w:r w:rsidRPr="00455CB9">
        <w:t xml:space="preserve"> </w:t>
      </w:r>
      <w:r w:rsidRPr="00240702">
        <w:rPr>
          <w:rFonts w:ascii="Times New Roman" w:hAnsi="Times New Roman" w:cs="Times New Roman"/>
        </w:rPr>
        <w:t>Income Tax Assessment Act 1977</w:t>
      </w:r>
      <w:r>
        <w:t xml:space="preserve"> </w:t>
      </w:r>
    </w:p>
  </w:footnote>
  <w:footnote w:id="4">
    <w:p w:rsidR="00AF240C" w:rsidRPr="00AF240C" w:rsidRDefault="00AF240C">
      <w:pPr>
        <w:pStyle w:val="FootnoteText"/>
      </w:pPr>
      <w:r>
        <w:rPr>
          <w:rStyle w:val="FootnoteReference"/>
        </w:rPr>
        <w:footnoteRef/>
      </w:r>
      <w:r>
        <w:t xml:space="preserve"> </w:t>
      </w:r>
      <w:r w:rsidRPr="00240702">
        <w:rPr>
          <w:rFonts w:cs="Times New Roman"/>
        </w:rPr>
        <w:t>Income Tax Assessment Act 1977</w:t>
      </w:r>
      <w:r>
        <w:rPr>
          <w:rFonts w:cs="Times New Roman"/>
        </w:rPr>
        <w:t xml:space="preserve">; </w:t>
      </w:r>
      <w:r w:rsidRPr="00AF240C">
        <w:rPr>
          <w:rFonts w:cs="Times New Roman"/>
        </w:rPr>
        <w:t>s</w:t>
      </w:r>
      <w:r w:rsidRPr="00AF240C">
        <w:rPr>
          <w:rFonts w:cs="Times New Roman"/>
          <w:sz w:val="24"/>
          <w:szCs w:val="24"/>
          <w:shd w:val="clear" w:color="auto" w:fill="FFFFFF"/>
        </w:rPr>
        <w:t>104-15</w:t>
      </w:r>
    </w:p>
  </w:footnote>
  <w:footnote w:id="5">
    <w:p w:rsidR="00227046" w:rsidRDefault="00227046">
      <w:pPr>
        <w:pStyle w:val="FootnoteText"/>
      </w:pPr>
      <w:r w:rsidRPr="00AF240C">
        <w:rPr>
          <w:rStyle w:val="FootnoteReference"/>
        </w:rPr>
        <w:footnoteRef/>
      </w:r>
      <w:r w:rsidRPr="00AF240C">
        <w:t xml:space="preserve"> </w:t>
      </w:r>
      <w:r w:rsidR="007A2C62" w:rsidRPr="00AF240C">
        <w:rPr>
          <w:rFonts w:cs="Times New Roman"/>
        </w:rPr>
        <w:t>Income Tax Assessment Act 1977</w:t>
      </w:r>
      <w:r w:rsidR="007A2C62" w:rsidRPr="00AF240C">
        <w:t xml:space="preserve">; </w:t>
      </w:r>
      <w:r w:rsidRPr="00AF240C">
        <w:rPr>
          <w:rFonts w:cs="Times New Roman"/>
          <w:sz w:val="24"/>
          <w:szCs w:val="24"/>
        </w:rPr>
        <w:t>s4-10(3</w:t>
      </w:r>
      <w:r w:rsidRPr="00BE35AA">
        <w:rPr>
          <w:rFonts w:cs="Times New Roman"/>
          <w:b/>
          <w:sz w:val="24"/>
          <w:szCs w:val="24"/>
        </w:rPr>
        <w:t>)</w:t>
      </w:r>
    </w:p>
  </w:footnote>
  <w:footnote w:id="6">
    <w:p w:rsidR="00A00233" w:rsidRDefault="00A00233" w:rsidP="00A00233">
      <w:pPr>
        <w:pStyle w:val="FootnoteText"/>
      </w:pPr>
      <w:r>
        <w:rPr>
          <w:rStyle w:val="FootnoteReference"/>
        </w:rPr>
        <w:footnoteRef/>
      </w:r>
      <w:r w:rsidRPr="00BE35AA">
        <w:rPr>
          <w:rFonts w:cs="Times New Roman"/>
          <w:sz w:val="24"/>
          <w:szCs w:val="24"/>
        </w:rPr>
        <w:t>FC of T v Day 2008 ATC 20-064</w:t>
      </w:r>
    </w:p>
  </w:footnote>
  <w:footnote w:id="7">
    <w:p w:rsidR="00A00233" w:rsidRDefault="00A00233" w:rsidP="00A00233">
      <w:pPr>
        <w:pStyle w:val="FootnoteText"/>
      </w:pPr>
      <w:r>
        <w:rPr>
          <w:rStyle w:val="FootnoteReference"/>
        </w:rPr>
        <w:footnoteRef/>
      </w:r>
      <w:r w:rsidRPr="00BE35AA">
        <w:rPr>
          <w:rFonts w:cs="Times New Roman"/>
          <w:sz w:val="24"/>
          <w:szCs w:val="24"/>
        </w:rPr>
        <w:t>Public Service Act 1922</w:t>
      </w:r>
    </w:p>
  </w:footnote>
  <w:footnote w:id="8">
    <w:p w:rsidR="00D20E15" w:rsidRPr="00D20E15" w:rsidRDefault="00D20E15" w:rsidP="00D20E15">
      <w:pPr>
        <w:spacing w:line="480" w:lineRule="auto"/>
        <w:rPr>
          <w:rFonts w:ascii="Times New Roman" w:hAnsi="Times New Roman" w:cs="Times New Roman"/>
          <w:sz w:val="24"/>
          <w:szCs w:val="24"/>
        </w:rPr>
      </w:pPr>
      <w:r>
        <w:rPr>
          <w:rStyle w:val="FootnoteReference"/>
        </w:rPr>
        <w:footnoteRef/>
      </w:r>
      <w:r>
        <w:t xml:space="preserve"> </w:t>
      </w:r>
      <w:r w:rsidRPr="00240702">
        <w:rPr>
          <w:rFonts w:ascii="Times New Roman" w:hAnsi="Times New Roman" w:cs="Times New Roman"/>
          <w:sz w:val="24"/>
          <w:szCs w:val="24"/>
          <w:shd w:val="clear" w:color="auto" w:fill="FFFFFF"/>
        </w:rPr>
        <w:t>ATO. (2019). Capital gains. Retrieved from https://www.ato.gov.au/General/Capital-gains-tax/</w:t>
      </w:r>
    </w:p>
  </w:footnote>
  <w:footnote w:id="9">
    <w:p w:rsidR="00D73A76" w:rsidRDefault="00D73A76">
      <w:pPr>
        <w:pStyle w:val="FootnoteText"/>
      </w:pPr>
      <w:r>
        <w:rPr>
          <w:rStyle w:val="FootnoteReference"/>
        </w:rPr>
        <w:footnoteRef/>
      </w:r>
      <w:r>
        <w:t xml:space="preserve"> </w:t>
      </w:r>
      <w:r>
        <w:rPr>
          <w:color w:val="000000"/>
          <w:shd w:val="clear" w:color="auto" w:fill="FFFFFF"/>
        </w:rPr>
        <w:t>ATO. (2019). The discount method of calculating your capital gain. Retrieved from https://www.ato.gov.au/General/Capital-gains-tax/Working-out-your-capital-gain-or-loss/Working-out-your-capital-gain/The-discount-method-of-calculating-your-capital-gain/</w:t>
      </w:r>
    </w:p>
  </w:footnote>
  <w:footnote w:id="10">
    <w:p w:rsidR="00D20E15" w:rsidRPr="00D20E15" w:rsidRDefault="00D20E15" w:rsidP="00D20E15">
      <w:pPr>
        <w:spacing w:line="480" w:lineRule="auto"/>
        <w:rPr>
          <w:rFonts w:ascii="Times New Roman" w:hAnsi="Times New Roman" w:cs="Times New Roman"/>
          <w:sz w:val="24"/>
          <w:szCs w:val="24"/>
        </w:rPr>
      </w:pPr>
      <w:r>
        <w:rPr>
          <w:rStyle w:val="FootnoteReference"/>
        </w:rPr>
        <w:footnoteRef/>
      </w:r>
      <w:r>
        <w:t xml:space="preserve"> </w:t>
      </w:r>
      <w:r w:rsidRPr="00240702">
        <w:rPr>
          <w:rFonts w:ascii="Times New Roman" w:hAnsi="Times New Roman" w:cs="Times New Roman"/>
          <w:sz w:val="24"/>
          <w:szCs w:val="24"/>
          <w:shd w:val="clear" w:color="auto" w:fill="FFFFFF"/>
        </w:rPr>
        <w:t>ATO. (2019). Capital gains. Retrieved from https://www.ato.gov.au/General/Capital-gains-tax/</w:t>
      </w:r>
    </w:p>
  </w:footnote>
  <w:footnote w:id="11">
    <w:p w:rsidR="003B482D" w:rsidRPr="00F12AE4" w:rsidRDefault="003B482D" w:rsidP="003B482D">
      <w:pPr>
        <w:pStyle w:val="FootnoteText"/>
      </w:pPr>
      <w:r>
        <w:rPr>
          <w:rStyle w:val="FootnoteReference"/>
        </w:rPr>
        <w:footnoteRef/>
      </w:r>
      <w:r>
        <w:t>Australian Taxation Office,</w:t>
      </w:r>
      <w:r w:rsidRPr="00F12AE4">
        <w:rPr>
          <w:i/>
          <w:iCs/>
        </w:rPr>
        <w:t>Lodging your tax return</w:t>
      </w:r>
      <w:r>
        <w:rPr>
          <w:i/>
          <w:iCs/>
        </w:rPr>
        <w:t xml:space="preserve">, </w:t>
      </w:r>
      <w:r w:rsidRPr="00D40487">
        <w:rPr>
          <w:iCs/>
        </w:rPr>
        <w:t>&lt;</w:t>
      </w:r>
      <w:r w:rsidRPr="00F12AE4">
        <w:t>https://www.ato.gov.au/Individuals/Lodging-your-tax-return</w:t>
      </w:r>
      <w:r>
        <w:t>&gt;</w:t>
      </w:r>
      <w:r w:rsidRPr="00F12AE4">
        <w:t>.</w:t>
      </w:r>
    </w:p>
  </w:footnote>
  <w:footnote w:id="12">
    <w:p w:rsidR="00FF34B2" w:rsidRPr="00F12AE4" w:rsidRDefault="00FF34B2" w:rsidP="00584822">
      <w:pPr>
        <w:pStyle w:val="FootnoteText"/>
      </w:pPr>
      <w:r>
        <w:rPr>
          <w:rStyle w:val="FootnoteReference"/>
        </w:rPr>
        <w:footnoteRef/>
      </w:r>
      <w:r w:rsidRPr="00DE6129">
        <w:rPr>
          <w:i/>
        </w:rPr>
        <w:t>Income Tax Assessment Act 1997</w:t>
      </w:r>
      <w:r>
        <w:t xml:space="preserve"> (Cth).</w:t>
      </w:r>
    </w:p>
  </w:footnote>
  <w:footnote w:id="13">
    <w:p w:rsidR="00FF34B2" w:rsidRPr="0098443B" w:rsidRDefault="00FF34B2" w:rsidP="00042B00">
      <w:pPr>
        <w:pStyle w:val="FootnoteText"/>
        <w:rPr>
          <w:lang w:eastAsia="ko-KR"/>
        </w:rPr>
      </w:pPr>
      <w:r>
        <w:rPr>
          <w:rStyle w:val="FootnoteReference"/>
        </w:rPr>
        <w:footnoteRef/>
      </w:r>
      <w:r w:rsidRPr="00DE6129">
        <w:rPr>
          <w:rFonts w:hint="eastAsia"/>
          <w:i/>
          <w:lang w:eastAsia="ko-KR"/>
        </w:rPr>
        <w:t>Income Tax Assessment Act 1997</w:t>
      </w:r>
      <w:r>
        <w:rPr>
          <w:rFonts w:hint="eastAsia"/>
          <w:lang w:eastAsia="ko-KR"/>
        </w:rPr>
        <w:t xml:space="preserve"> (Cth) s 6-10</w:t>
      </w:r>
      <w:r>
        <w:rPr>
          <w:lang w:eastAsia="ko-KR"/>
        </w:rPr>
        <w:t>.</w:t>
      </w:r>
    </w:p>
  </w:footnote>
  <w:footnote w:id="14">
    <w:p w:rsidR="00FF34B2" w:rsidRPr="00C212BF" w:rsidRDefault="00FF34B2" w:rsidP="00042B00">
      <w:pPr>
        <w:pStyle w:val="FootnoteText"/>
        <w:rPr>
          <w:lang w:eastAsia="ko-KR"/>
        </w:rPr>
      </w:pPr>
      <w:r>
        <w:rPr>
          <w:rStyle w:val="FootnoteReference"/>
        </w:rPr>
        <w:footnoteRef/>
      </w:r>
      <w:r w:rsidRPr="00DE6129">
        <w:rPr>
          <w:i/>
        </w:rPr>
        <w:t>Income Tax Assessment Act 1997</w:t>
      </w:r>
      <w:r>
        <w:t xml:space="preserve"> (Cth) s 6-5.</w:t>
      </w:r>
    </w:p>
  </w:footnote>
  <w:footnote w:id="15">
    <w:p w:rsidR="00FF34B2" w:rsidRPr="00F12AE4" w:rsidRDefault="00FF34B2" w:rsidP="00584822">
      <w:pPr>
        <w:pStyle w:val="FootnoteText"/>
        <w:rPr>
          <w:lang w:val="uk-UA"/>
        </w:rPr>
      </w:pPr>
      <w:r>
        <w:rPr>
          <w:rStyle w:val="FootnoteReference"/>
        </w:rPr>
        <w:footnoteRef/>
      </w:r>
      <w:r w:rsidRPr="00DE6129">
        <w:rPr>
          <w:i/>
          <w:lang w:val="uk-UA"/>
        </w:rPr>
        <w:t>Income Tax Rates Act 1986</w:t>
      </w:r>
      <w:r>
        <w:rPr>
          <w:lang w:val="uk-UA"/>
        </w:rPr>
        <w:t xml:space="preserve"> (Cth).</w:t>
      </w:r>
    </w:p>
  </w:footnote>
  <w:footnote w:id="16">
    <w:p w:rsidR="00FF34B2" w:rsidRPr="00F12AE4" w:rsidRDefault="00FF34B2" w:rsidP="007116B9">
      <w:pPr>
        <w:pStyle w:val="FootnoteText"/>
      </w:pPr>
      <w:r>
        <w:rPr>
          <w:rStyle w:val="FootnoteReference"/>
        </w:rPr>
        <w:footnoteRef/>
      </w:r>
      <w:r>
        <w:t xml:space="preserve"> Australian Taxation Office, </w:t>
      </w:r>
      <w:r w:rsidRPr="00DE6129">
        <w:rPr>
          <w:i/>
        </w:rPr>
        <w:t>Residency tests</w:t>
      </w:r>
      <w:r>
        <w:t>, &lt;</w:t>
      </w:r>
      <w:hyperlink r:id="rId1" w:history="1">
        <w:r w:rsidRPr="00325D34">
          <w:rPr>
            <w:rStyle w:val="Hyperlink"/>
          </w:rPr>
          <w:t>https://www.ato.gov.au/Individuals/International-tax-for-individuals/Work-out-your-tax-residency/Residency-tests</w:t>
        </w:r>
      </w:hyperlink>
      <w:r>
        <w:t xml:space="preserve">&gt;. </w:t>
      </w:r>
    </w:p>
  </w:footnote>
  <w:footnote w:id="17">
    <w:p w:rsidR="00FF34B2" w:rsidRPr="00A4658C" w:rsidRDefault="00FF34B2" w:rsidP="00E83F75">
      <w:pPr>
        <w:pStyle w:val="FootnoteText"/>
        <w:rPr>
          <w:lang w:eastAsia="ko-KR"/>
        </w:rPr>
      </w:pPr>
      <w:r w:rsidRPr="00A4658C">
        <w:rPr>
          <w:rStyle w:val="FootnoteReference"/>
        </w:rPr>
        <w:footnoteRef/>
      </w:r>
      <w:r w:rsidRPr="00A4658C">
        <w:rPr>
          <w:i/>
          <w:lang w:eastAsia="ko-KR"/>
        </w:rPr>
        <w:t>IRC v Lysaght</w:t>
      </w:r>
      <w:r w:rsidRPr="00A4658C">
        <w:rPr>
          <w:lang w:eastAsia="ko-KR"/>
        </w:rPr>
        <w:t xml:space="preserve"> [1928] AC 234.</w:t>
      </w:r>
    </w:p>
  </w:footnote>
  <w:footnote w:id="18">
    <w:p w:rsidR="00FF34B2" w:rsidRPr="00A4658C" w:rsidRDefault="00FF34B2" w:rsidP="00E83F75">
      <w:pPr>
        <w:pStyle w:val="FootnoteText"/>
        <w:rPr>
          <w:lang w:eastAsia="ko-KR"/>
        </w:rPr>
      </w:pPr>
      <w:r w:rsidRPr="00A4658C">
        <w:rPr>
          <w:rStyle w:val="FootnoteReference"/>
        </w:rPr>
        <w:footnoteRef/>
      </w:r>
      <w:r w:rsidRPr="00A4658C">
        <w:rPr>
          <w:rFonts w:hint="eastAsia"/>
          <w:i/>
          <w:lang w:eastAsia="ko-KR"/>
        </w:rPr>
        <w:t>L</w:t>
      </w:r>
      <w:r w:rsidRPr="00A4658C">
        <w:rPr>
          <w:i/>
          <w:lang w:eastAsia="ko-KR"/>
        </w:rPr>
        <w:t>evene v IRC</w:t>
      </w:r>
      <w:r w:rsidRPr="00A4658C">
        <w:rPr>
          <w:lang w:eastAsia="ko-KR"/>
        </w:rPr>
        <w:t xml:space="preserve"> [1928] AC 217.</w:t>
      </w:r>
    </w:p>
  </w:footnote>
  <w:footnote w:id="19">
    <w:p w:rsidR="00FF34B2" w:rsidRPr="00A4658C" w:rsidRDefault="00FF34B2" w:rsidP="00792C99">
      <w:pPr>
        <w:pStyle w:val="FootnoteText"/>
        <w:rPr>
          <w:lang w:val="uk-UA"/>
        </w:rPr>
      </w:pPr>
      <w:r w:rsidRPr="00A4658C">
        <w:rPr>
          <w:rStyle w:val="FootnoteReference"/>
        </w:rPr>
        <w:footnoteRef/>
      </w:r>
      <w:r w:rsidRPr="00A4658C">
        <w:t xml:space="preserve"> Australian Taxation Office, </w:t>
      </w:r>
      <w:r w:rsidRPr="00A4658C">
        <w:rPr>
          <w:i/>
        </w:rPr>
        <w:t>Taxation Ruling TR 98/17</w:t>
      </w:r>
      <w:r w:rsidRPr="00A4658C">
        <w:t>,&lt;</w:t>
      </w:r>
      <w:hyperlink r:id="rId2" w:history="1">
        <w:r w:rsidRPr="00A4658C">
          <w:rPr>
            <w:rStyle w:val="Hyperlink"/>
          </w:rPr>
          <w:t>https://www.ato.gov.au/law/view/document?Docid=TXR/TR9817/NAT/ATO/00001</w:t>
        </w:r>
      </w:hyperlink>
      <w:r w:rsidRPr="00A4658C">
        <w:t>&gt;.</w:t>
      </w:r>
    </w:p>
  </w:footnote>
  <w:footnote w:id="20">
    <w:p w:rsidR="00FF34B2" w:rsidRPr="00A4658C" w:rsidRDefault="00FF34B2" w:rsidP="009A245F">
      <w:pPr>
        <w:pStyle w:val="FootnoteText"/>
        <w:rPr>
          <w:lang w:eastAsia="ko-KR"/>
        </w:rPr>
      </w:pPr>
      <w:r w:rsidRPr="00A4658C">
        <w:rPr>
          <w:rStyle w:val="FootnoteReference"/>
        </w:rPr>
        <w:footnoteRef/>
      </w:r>
      <w:r w:rsidRPr="00A4658C">
        <w:rPr>
          <w:lang w:eastAsia="ko-KR"/>
        </w:rPr>
        <w:t xml:space="preserve">Australian Taxation Office, </w:t>
      </w:r>
      <w:r w:rsidRPr="00A4658C">
        <w:rPr>
          <w:i/>
          <w:lang w:eastAsia="ko-KR"/>
        </w:rPr>
        <w:t>Taxation Ruling IT 2650</w:t>
      </w:r>
      <w:r w:rsidRPr="00A4658C">
        <w:rPr>
          <w:lang w:eastAsia="ko-KR"/>
        </w:rPr>
        <w:t>, &lt;</w:t>
      </w:r>
      <w:hyperlink r:id="rId3" w:history="1">
        <w:r w:rsidRPr="00A4658C">
          <w:rPr>
            <w:rStyle w:val="Hyperlink"/>
            <w:lang w:eastAsia="ko-KR"/>
          </w:rPr>
          <w:t>http://law.ato.gov.au/atolaw/view.htm?Docid=ITR/IT2650/NAT/ATO/00001</w:t>
        </w:r>
      </w:hyperlink>
      <w:r w:rsidRPr="00A4658C">
        <w:rPr>
          <w:lang w:eastAsia="ko-KR"/>
        </w:rPr>
        <w:t xml:space="preserve">&gt;. </w:t>
      </w:r>
    </w:p>
  </w:footnote>
  <w:footnote w:id="21">
    <w:p w:rsidR="00FF34B2" w:rsidRPr="00A4658C" w:rsidRDefault="00FF34B2" w:rsidP="009A245F">
      <w:pPr>
        <w:pStyle w:val="FootnoteText"/>
        <w:rPr>
          <w:lang w:eastAsia="ko-KR"/>
        </w:rPr>
      </w:pPr>
      <w:r w:rsidRPr="00A4658C">
        <w:rPr>
          <w:rStyle w:val="FootnoteReference"/>
        </w:rPr>
        <w:footnoteRef/>
      </w:r>
      <w:r w:rsidRPr="00A4658C">
        <w:rPr>
          <w:i/>
          <w:lang w:eastAsia="ko-KR"/>
        </w:rPr>
        <w:t>FCT v Applegate</w:t>
      </w:r>
      <w:r w:rsidRPr="00A4658C">
        <w:rPr>
          <w:lang w:eastAsia="ko-KR"/>
        </w:rPr>
        <w:t xml:space="preserve"> (1979) 79 ATC 4307; 9 ATR 899.</w:t>
      </w:r>
    </w:p>
  </w:footnote>
  <w:footnote w:id="22">
    <w:p w:rsidR="00A23684" w:rsidRPr="00A23684" w:rsidRDefault="00A23684" w:rsidP="00A23684">
      <w:pPr>
        <w:pStyle w:val="Heading3"/>
        <w:shd w:val="clear" w:color="auto" w:fill="FFFFFF"/>
        <w:spacing w:before="450" w:beforeAutospacing="0" w:after="330" w:afterAutospacing="0" w:line="480" w:lineRule="auto"/>
        <w:contextualSpacing/>
        <w:rPr>
          <w:b w:val="0"/>
          <w:sz w:val="24"/>
          <w:szCs w:val="24"/>
        </w:rPr>
      </w:pPr>
      <w:r w:rsidRPr="00A4658C">
        <w:rPr>
          <w:rStyle w:val="FootnoteReference"/>
          <w:sz w:val="20"/>
          <w:szCs w:val="20"/>
        </w:rPr>
        <w:footnoteRef/>
      </w:r>
      <w:r w:rsidRPr="00A4658C">
        <w:rPr>
          <w:sz w:val="20"/>
          <w:szCs w:val="20"/>
        </w:rPr>
        <w:t xml:space="preserve"> </w:t>
      </w:r>
      <w:r w:rsidRPr="00A4658C">
        <w:rPr>
          <w:b w:val="0"/>
          <w:sz w:val="20"/>
          <w:szCs w:val="20"/>
          <w:lang w:val="en-AU"/>
        </w:rPr>
        <w:t>Sadeiq, K., Coleman, C., Hanegbi, R., Jogarajan, S., Krever, R., Obst, W., &amp; Ting, A. (2013). </w:t>
      </w:r>
      <w:r w:rsidRPr="00A4658C">
        <w:rPr>
          <w:b w:val="0"/>
          <w:iCs/>
          <w:sz w:val="20"/>
          <w:szCs w:val="20"/>
          <w:lang w:val="en-AU"/>
        </w:rPr>
        <w:t>Principles of taxation law 2014</w:t>
      </w:r>
      <w:r w:rsidRPr="00A4658C">
        <w:rPr>
          <w:b w:val="0"/>
          <w:sz w:val="20"/>
          <w:szCs w:val="20"/>
          <w:lang w:val="en-AU"/>
        </w:rPr>
        <w:t>. Australia: Thomson Reuters</w:t>
      </w:r>
    </w:p>
  </w:footnote>
  <w:footnote w:id="23">
    <w:p w:rsidR="009719D9" w:rsidRPr="00F12AE4" w:rsidRDefault="009719D9" w:rsidP="009719D9">
      <w:pPr>
        <w:pStyle w:val="FootnoteText"/>
      </w:pPr>
      <w:r>
        <w:rPr>
          <w:rStyle w:val="FootnoteReference"/>
        </w:rPr>
        <w:footnoteRef/>
      </w:r>
      <w:r w:rsidRPr="00D40487">
        <w:rPr>
          <w:i/>
        </w:rPr>
        <w:t>Miller v FCT</w:t>
      </w:r>
      <w:r w:rsidRPr="00F12AE4">
        <w:t xml:space="preserve"> (1946)</w:t>
      </w:r>
      <w:r>
        <w:t xml:space="preserve"> 73 CLR 93.</w:t>
      </w:r>
    </w:p>
    <w:p w:rsidR="009719D9" w:rsidRPr="00F12AE4" w:rsidRDefault="009719D9" w:rsidP="009719D9">
      <w:pPr>
        <w:pStyle w:val="FootnoteText"/>
      </w:pPr>
    </w:p>
  </w:footnote>
  <w:footnote w:id="24">
    <w:p w:rsidR="002B7A22" w:rsidRPr="0098340E" w:rsidRDefault="002B7A22" w:rsidP="002B7A22">
      <w:pPr>
        <w:pStyle w:val="FootnoteText"/>
      </w:pPr>
      <w:r>
        <w:rPr>
          <w:rStyle w:val="FootnoteReference"/>
        </w:rPr>
        <w:footnoteRef/>
      </w:r>
      <w:r w:rsidRPr="00210757">
        <w:rPr>
          <w:rFonts w:hint="eastAsia"/>
          <w:i/>
          <w:lang w:eastAsia="ko-KR"/>
        </w:rPr>
        <w:t>L</w:t>
      </w:r>
      <w:r w:rsidRPr="00210757">
        <w:rPr>
          <w:i/>
          <w:lang w:eastAsia="ko-KR"/>
        </w:rPr>
        <w:t>evene v IRC</w:t>
      </w:r>
      <w:r>
        <w:rPr>
          <w:lang w:eastAsia="ko-KR"/>
        </w:rPr>
        <w:t xml:space="preserve"> [1928] AC 217.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49A6"/>
    <w:multiLevelType w:val="multilevel"/>
    <w:tmpl w:val="37F2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F0FF2"/>
    <w:multiLevelType w:val="hybridMultilevel"/>
    <w:tmpl w:val="609CD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B4E49"/>
    <w:multiLevelType w:val="hybridMultilevel"/>
    <w:tmpl w:val="73E210B6"/>
    <w:lvl w:ilvl="0" w:tplc="45902344">
      <w:start w:val="1"/>
      <w:numFmt w:val="lowerLetter"/>
      <w:lvlText w:val="%1)"/>
      <w:lvlJc w:val="left"/>
      <w:pPr>
        <w:ind w:left="720" w:hanging="360"/>
      </w:pPr>
      <w:rPr>
        <w:rFonts w:ascii="Arial" w:hAnsi="Arial" w:cs="Arial" w:hint="default"/>
        <w:b w:val="0"/>
        <w:color w:val="666666"/>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E365D"/>
    <w:multiLevelType w:val="multilevel"/>
    <w:tmpl w:val="B610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55322"/>
    <w:multiLevelType w:val="hybridMultilevel"/>
    <w:tmpl w:val="D4204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30237"/>
    <w:multiLevelType w:val="multilevel"/>
    <w:tmpl w:val="505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F109B"/>
    <w:multiLevelType w:val="multilevel"/>
    <w:tmpl w:val="696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37976"/>
    <w:multiLevelType w:val="hybridMultilevel"/>
    <w:tmpl w:val="1742A486"/>
    <w:lvl w:ilvl="0" w:tplc="0560810C">
      <w:start w:val="1"/>
      <w:numFmt w:val="lowerLetter"/>
      <w:lvlText w:val="%1.)"/>
      <w:lvlJc w:val="left"/>
      <w:pPr>
        <w:ind w:left="720" w:hanging="360"/>
      </w:pPr>
      <w:rPr>
        <w:rFonts w:ascii="Arial" w:hAnsi="Arial" w:cs="Arial" w:hint="default"/>
        <w:b w:val="0"/>
        <w:color w:val="666666"/>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B64FA"/>
    <w:multiLevelType w:val="hybridMultilevel"/>
    <w:tmpl w:val="EA7C5CB2"/>
    <w:lvl w:ilvl="0" w:tplc="6BE23B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7A4A"/>
    <w:rsid w:val="00003CA0"/>
    <w:rsid w:val="00004376"/>
    <w:rsid w:val="00007795"/>
    <w:rsid w:val="00034D5C"/>
    <w:rsid w:val="000360D9"/>
    <w:rsid w:val="000366B6"/>
    <w:rsid w:val="00040A19"/>
    <w:rsid w:val="00042B00"/>
    <w:rsid w:val="000571E9"/>
    <w:rsid w:val="00075AE9"/>
    <w:rsid w:val="00083112"/>
    <w:rsid w:val="00085D8B"/>
    <w:rsid w:val="00090E7E"/>
    <w:rsid w:val="000A3569"/>
    <w:rsid w:val="000B0821"/>
    <w:rsid w:val="000B720B"/>
    <w:rsid w:val="000C45C4"/>
    <w:rsid w:val="000D5E90"/>
    <w:rsid w:val="000E36A7"/>
    <w:rsid w:val="000F1867"/>
    <w:rsid w:val="00101D28"/>
    <w:rsid w:val="00104C03"/>
    <w:rsid w:val="001268E1"/>
    <w:rsid w:val="001442D9"/>
    <w:rsid w:val="0014641A"/>
    <w:rsid w:val="00160BA7"/>
    <w:rsid w:val="00162FA3"/>
    <w:rsid w:val="001633F8"/>
    <w:rsid w:val="001858A5"/>
    <w:rsid w:val="00193E8A"/>
    <w:rsid w:val="001B30D3"/>
    <w:rsid w:val="001C6D8F"/>
    <w:rsid w:val="001D5C95"/>
    <w:rsid w:val="001D6754"/>
    <w:rsid w:val="001F24CD"/>
    <w:rsid w:val="001F69D9"/>
    <w:rsid w:val="00207CAE"/>
    <w:rsid w:val="002153FA"/>
    <w:rsid w:val="00222379"/>
    <w:rsid w:val="00227046"/>
    <w:rsid w:val="00233CB5"/>
    <w:rsid w:val="00240702"/>
    <w:rsid w:val="00240730"/>
    <w:rsid w:val="002451D9"/>
    <w:rsid w:val="0025711E"/>
    <w:rsid w:val="002661A1"/>
    <w:rsid w:val="0027543F"/>
    <w:rsid w:val="00287A4A"/>
    <w:rsid w:val="00297D7C"/>
    <w:rsid w:val="002A098A"/>
    <w:rsid w:val="002B39F1"/>
    <w:rsid w:val="002B7A22"/>
    <w:rsid w:val="002C7AD2"/>
    <w:rsid w:val="002D006E"/>
    <w:rsid w:val="002D143F"/>
    <w:rsid w:val="002D2859"/>
    <w:rsid w:val="002F7A7E"/>
    <w:rsid w:val="003737BF"/>
    <w:rsid w:val="00381B2A"/>
    <w:rsid w:val="00387756"/>
    <w:rsid w:val="003B0FD7"/>
    <w:rsid w:val="003B38AC"/>
    <w:rsid w:val="003B482D"/>
    <w:rsid w:val="003B6A36"/>
    <w:rsid w:val="003D2584"/>
    <w:rsid w:val="003D7390"/>
    <w:rsid w:val="003D7BCC"/>
    <w:rsid w:val="003E210A"/>
    <w:rsid w:val="003E5B4D"/>
    <w:rsid w:val="003F31D3"/>
    <w:rsid w:val="00433E55"/>
    <w:rsid w:val="00436483"/>
    <w:rsid w:val="00443E89"/>
    <w:rsid w:val="004440C8"/>
    <w:rsid w:val="00446109"/>
    <w:rsid w:val="00451724"/>
    <w:rsid w:val="00455CB9"/>
    <w:rsid w:val="00455F48"/>
    <w:rsid w:val="004569C3"/>
    <w:rsid w:val="004679F2"/>
    <w:rsid w:val="00475CB7"/>
    <w:rsid w:val="004835EC"/>
    <w:rsid w:val="00486784"/>
    <w:rsid w:val="004B2505"/>
    <w:rsid w:val="004B2F3F"/>
    <w:rsid w:val="004C290D"/>
    <w:rsid w:val="004C3CDC"/>
    <w:rsid w:val="004C4E75"/>
    <w:rsid w:val="004D769A"/>
    <w:rsid w:val="004E4F66"/>
    <w:rsid w:val="004E68A4"/>
    <w:rsid w:val="004F377E"/>
    <w:rsid w:val="005040BF"/>
    <w:rsid w:val="00511FC8"/>
    <w:rsid w:val="00531EF0"/>
    <w:rsid w:val="00535C80"/>
    <w:rsid w:val="005610F3"/>
    <w:rsid w:val="00584822"/>
    <w:rsid w:val="005B2C16"/>
    <w:rsid w:val="0060609A"/>
    <w:rsid w:val="00607DEA"/>
    <w:rsid w:val="00625EDC"/>
    <w:rsid w:val="006325C1"/>
    <w:rsid w:val="0063591B"/>
    <w:rsid w:val="006625B8"/>
    <w:rsid w:val="00662AF3"/>
    <w:rsid w:val="006702E1"/>
    <w:rsid w:val="00670AB5"/>
    <w:rsid w:val="00693F76"/>
    <w:rsid w:val="006B7008"/>
    <w:rsid w:val="006C686D"/>
    <w:rsid w:val="00710991"/>
    <w:rsid w:val="007116B9"/>
    <w:rsid w:val="00720F38"/>
    <w:rsid w:val="00734552"/>
    <w:rsid w:val="0073488B"/>
    <w:rsid w:val="007576CB"/>
    <w:rsid w:val="0076080D"/>
    <w:rsid w:val="007625FC"/>
    <w:rsid w:val="00764A27"/>
    <w:rsid w:val="00776640"/>
    <w:rsid w:val="00783F25"/>
    <w:rsid w:val="00792C99"/>
    <w:rsid w:val="007A2C62"/>
    <w:rsid w:val="007B0D51"/>
    <w:rsid w:val="007D3E66"/>
    <w:rsid w:val="007D6433"/>
    <w:rsid w:val="007E3B8C"/>
    <w:rsid w:val="00812EB9"/>
    <w:rsid w:val="00822CC4"/>
    <w:rsid w:val="0084500B"/>
    <w:rsid w:val="008551EC"/>
    <w:rsid w:val="0086481E"/>
    <w:rsid w:val="00865124"/>
    <w:rsid w:val="0087615C"/>
    <w:rsid w:val="00895F6E"/>
    <w:rsid w:val="00896648"/>
    <w:rsid w:val="008A07E1"/>
    <w:rsid w:val="008A2B38"/>
    <w:rsid w:val="008A65DA"/>
    <w:rsid w:val="008B5550"/>
    <w:rsid w:val="008C0618"/>
    <w:rsid w:val="008C7B08"/>
    <w:rsid w:val="008D156A"/>
    <w:rsid w:val="00907989"/>
    <w:rsid w:val="00922273"/>
    <w:rsid w:val="00930332"/>
    <w:rsid w:val="0094219A"/>
    <w:rsid w:val="009449F5"/>
    <w:rsid w:val="00945752"/>
    <w:rsid w:val="00953658"/>
    <w:rsid w:val="00954513"/>
    <w:rsid w:val="00960F85"/>
    <w:rsid w:val="009707D2"/>
    <w:rsid w:val="009719D9"/>
    <w:rsid w:val="009727CB"/>
    <w:rsid w:val="00985F04"/>
    <w:rsid w:val="009876A0"/>
    <w:rsid w:val="00993775"/>
    <w:rsid w:val="00995526"/>
    <w:rsid w:val="009A245F"/>
    <w:rsid w:val="009B4DD6"/>
    <w:rsid w:val="009C74CD"/>
    <w:rsid w:val="009C788C"/>
    <w:rsid w:val="009D7E51"/>
    <w:rsid w:val="00A00233"/>
    <w:rsid w:val="00A00F9C"/>
    <w:rsid w:val="00A23684"/>
    <w:rsid w:val="00A35C47"/>
    <w:rsid w:val="00A40500"/>
    <w:rsid w:val="00A4120F"/>
    <w:rsid w:val="00A454C5"/>
    <w:rsid w:val="00A4658C"/>
    <w:rsid w:val="00A5325A"/>
    <w:rsid w:val="00A55C65"/>
    <w:rsid w:val="00A62D91"/>
    <w:rsid w:val="00A6763C"/>
    <w:rsid w:val="00A834EA"/>
    <w:rsid w:val="00AA0C56"/>
    <w:rsid w:val="00AD185D"/>
    <w:rsid w:val="00AE1DA7"/>
    <w:rsid w:val="00AE39CA"/>
    <w:rsid w:val="00AE4136"/>
    <w:rsid w:val="00AE4517"/>
    <w:rsid w:val="00AF240C"/>
    <w:rsid w:val="00AF64B1"/>
    <w:rsid w:val="00B139DC"/>
    <w:rsid w:val="00B14708"/>
    <w:rsid w:val="00B24ECC"/>
    <w:rsid w:val="00B3324F"/>
    <w:rsid w:val="00B33437"/>
    <w:rsid w:val="00B450D1"/>
    <w:rsid w:val="00B64633"/>
    <w:rsid w:val="00B9330C"/>
    <w:rsid w:val="00B950BC"/>
    <w:rsid w:val="00BA7A2F"/>
    <w:rsid w:val="00BB3578"/>
    <w:rsid w:val="00BC34F3"/>
    <w:rsid w:val="00BD53D8"/>
    <w:rsid w:val="00BE35AA"/>
    <w:rsid w:val="00BF485F"/>
    <w:rsid w:val="00C04316"/>
    <w:rsid w:val="00C04D96"/>
    <w:rsid w:val="00C06EDC"/>
    <w:rsid w:val="00C11E81"/>
    <w:rsid w:val="00C11F9F"/>
    <w:rsid w:val="00C139B6"/>
    <w:rsid w:val="00C1634B"/>
    <w:rsid w:val="00C269C3"/>
    <w:rsid w:val="00C46893"/>
    <w:rsid w:val="00C46EFD"/>
    <w:rsid w:val="00C5478A"/>
    <w:rsid w:val="00C74DA6"/>
    <w:rsid w:val="00C968BA"/>
    <w:rsid w:val="00CA0BA9"/>
    <w:rsid w:val="00CA3BF9"/>
    <w:rsid w:val="00CA611B"/>
    <w:rsid w:val="00CB1ECE"/>
    <w:rsid w:val="00CB5D7D"/>
    <w:rsid w:val="00CD0253"/>
    <w:rsid w:val="00CD0E4F"/>
    <w:rsid w:val="00CF27D7"/>
    <w:rsid w:val="00CF2ED5"/>
    <w:rsid w:val="00CF7F1F"/>
    <w:rsid w:val="00D106CC"/>
    <w:rsid w:val="00D16C1F"/>
    <w:rsid w:val="00D20E15"/>
    <w:rsid w:val="00D26BCD"/>
    <w:rsid w:val="00D501C5"/>
    <w:rsid w:val="00D51F73"/>
    <w:rsid w:val="00D55D73"/>
    <w:rsid w:val="00D56ED0"/>
    <w:rsid w:val="00D579C8"/>
    <w:rsid w:val="00D67B54"/>
    <w:rsid w:val="00D73A76"/>
    <w:rsid w:val="00D9045B"/>
    <w:rsid w:val="00D91FD6"/>
    <w:rsid w:val="00D92759"/>
    <w:rsid w:val="00DA749C"/>
    <w:rsid w:val="00DB3856"/>
    <w:rsid w:val="00DB6460"/>
    <w:rsid w:val="00DD0FB2"/>
    <w:rsid w:val="00DD1863"/>
    <w:rsid w:val="00DF3204"/>
    <w:rsid w:val="00DF7F84"/>
    <w:rsid w:val="00E07CD1"/>
    <w:rsid w:val="00E1439A"/>
    <w:rsid w:val="00E177C3"/>
    <w:rsid w:val="00E17C93"/>
    <w:rsid w:val="00E25E90"/>
    <w:rsid w:val="00E263EE"/>
    <w:rsid w:val="00E421FB"/>
    <w:rsid w:val="00E52EBF"/>
    <w:rsid w:val="00E5327E"/>
    <w:rsid w:val="00E55CAF"/>
    <w:rsid w:val="00E6203B"/>
    <w:rsid w:val="00E778F1"/>
    <w:rsid w:val="00E83F75"/>
    <w:rsid w:val="00EA211E"/>
    <w:rsid w:val="00EA7956"/>
    <w:rsid w:val="00EB3D0E"/>
    <w:rsid w:val="00ED1E5A"/>
    <w:rsid w:val="00ED5241"/>
    <w:rsid w:val="00EE04EA"/>
    <w:rsid w:val="00EE2EAB"/>
    <w:rsid w:val="00EE51DA"/>
    <w:rsid w:val="00F00E74"/>
    <w:rsid w:val="00F038AC"/>
    <w:rsid w:val="00F1025A"/>
    <w:rsid w:val="00F122F6"/>
    <w:rsid w:val="00F40FBB"/>
    <w:rsid w:val="00F61726"/>
    <w:rsid w:val="00F65B01"/>
    <w:rsid w:val="00FB0995"/>
    <w:rsid w:val="00FB33CD"/>
    <w:rsid w:val="00FB5E56"/>
    <w:rsid w:val="00FD70DC"/>
    <w:rsid w:val="00FF3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4"/>
  </w:style>
  <w:style w:type="paragraph" w:styleId="Heading3">
    <w:name w:val="heading 3"/>
    <w:basedOn w:val="Normal"/>
    <w:link w:val="Heading3Char"/>
    <w:uiPriority w:val="9"/>
    <w:qFormat/>
    <w:rsid w:val="008C0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
    <w:name w:val="hp"/>
    <w:basedOn w:val="Normal"/>
    <w:rsid w:val="002C7A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7AD2"/>
    <w:rPr>
      <w:color w:val="0000FF"/>
      <w:u w:val="single"/>
    </w:rPr>
  </w:style>
  <w:style w:type="character" w:customStyle="1" w:styleId="Heading3Char">
    <w:name w:val="Heading 3 Char"/>
    <w:basedOn w:val="DefaultParagraphFont"/>
    <w:link w:val="Heading3"/>
    <w:uiPriority w:val="9"/>
    <w:rsid w:val="008C06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8C0618"/>
    <w:rPr>
      <w:i/>
      <w:iCs/>
    </w:rPr>
  </w:style>
  <w:style w:type="character" w:styleId="Strong">
    <w:name w:val="Strong"/>
    <w:basedOn w:val="DefaultParagraphFont"/>
    <w:uiPriority w:val="22"/>
    <w:qFormat/>
    <w:rsid w:val="008C0618"/>
    <w:rPr>
      <w:b/>
      <w:bCs/>
    </w:rPr>
  </w:style>
  <w:style w:type="paragraph" w:styleId="BalloonText">
    <w:name w:val="Balloon Text"/>
    <w:basedOn w:val="Normal"/>
    <w:link w:val="BalloonTextChar"/>
    <w:uiPriority w:val="99"/>
    <w:semiHidden/>
    <w:unhideWhenUsed/>
    <w:rsid w:val="0067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E1"/>
    <w:rPr>
      <w:rFonts w:ascii="Tahoma" w:hAnsi="Tahoma" w:cs="Tahoma"/>
      <w:sz w:val="16"/>
      <w:szCs w:val="16"/>
    </w:rPr>
  </w:style>
  <w:style w:type="paragraph" w:styleId="FootnoteText">
    <w:name w:val="footnote text"/>
    <w:basedOn w:val="Normal"/>
    <w:link w:val="FootnoteTextChar"/>
    <w:uiPriority w:val="99"/>
    <w:unhideWhenUsed/>
    <w:rsid w:val="00E421F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E421FB"/>
    <w:rPr>
      <w:rFonts w:ascii="Times New Roman" w:hAnsi="Times New Roman"/>
      <w:sz w:val="20"/>
      <w:szCs w:val="20"/>
    </w:rPr>
  </w:style>
  <w:style w:type="character" w:styleId="FootnoteReference">
    <w:name w:val="footnote reference"/>
    <w:basedOn w:val="DefaultParagraphFont"/>
    <w:uiPriority w:val="99"/>
    <w:semiHidden/>
    <w:unhideWhenUsed/>
    <w:rsid w:val="00E421FB"/>
    <w:rPr>
      <w:vertAlign w:val="superscript"/>
    </w:rPr>
  </w:style>
  <w:style w:type="paragraph" w:styleId="NormalWeb">
    <w:name w:val="Normal (Web)"/>
    <w:basedOn w:val="Normal"/>
    <w:uiPriority w:val="99"/>
    <w:unhideWhenUsed/>
    <w:rsid w:val="003B38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060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09A"/>
  </w:style>
  <w:style w:type="paragraph" w:styleId="Footer">
    <w:name w:val="footer"/>
    <w:basedOn w:val="Normal"/>
    <w:link w:val="FooterChar"/>
    <w:uiPriority w:val="99"/>
    <w:semiHidden/>
    <w:unhideWhenUsed/>
    <w:rsid w:val="00606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09A"/>
  </w:style>
  <w:style w:type="paragraph" w:styleId="ListParagraph">
    <w:name w:val="List Paragraph"/>
    <w:basedOn w:val="Normal"/>
    <w:uiPriority w:val="34"/>
    <w:qFormat/>
    <w:rsid w:val="00A62D91"/>
    <w:pPr>
      <w:ind w:left="720"/>
      <w:contextualSpacing/>
    </w:pPr>
  </w:style>
</w:styles>
</file>

<file path=word/webSettings.xml><?xml version="1.0" encoding="utf-8"?>
<w:webSettings xmlns:r="http://schemas.openxmlformats.org/officeDocument/2006/relationships" xmlns:w="http://schemas.openxmlformats.org/wordprocessingml/2006/main">
  <w:divs>
    <w:div w:id="170224748">
      <w:bodyDiv w:val="1"/>
      <w:marLeft w:val="0"/>
      <w:marRight w:val="0"/>
      <w:marTop w:val="0"/>
      <w:marBottom w:val="0"/>
      <w:divBdr>
        <w:top w:val="none" w:sz="0" w:space="0" w:color="auto"/>
        <w:left w:val="none" w:sz="0" w:space="0" w:color="auto"/>
        <w:bottom w:val="none" w:sz="0" w:space="0" w:color="auto"/>
        <w:right w:val="none" w:sz="0" w:space="0" w:color="auto"/>
      </w:divBdr>
    </w:div>
    <w:div w:id="524485673">
      <w:bodyDiv w:val="1"/>
      <w:marLeft w:val="0"/>
      <w:marRight w:val="0"/>
      <w:marTop w:val="0"/>
      <w:marBottom w:val="0"/>
      <w:divBdr>
        <w:top w:val="none" w:sz="0" w:space="0" w:color="auto"/>
        <w:left w:val="none" w:sz="0" w:space="0" w:color="auto"/>
        <w:bottom w:val="none" w:sz="0" w:space="0" w:color="auto"/>
        <w:right w:val="none" w:sz="0" w:space="0" w:color="auto"/>
      </w:divBdr>
    </w:div>
    <w:div w:id="550117313">
      <w:bodyDiv w:val="1"/>
      <w:marLeft w:val="0"/>
      <w:marRight w:val="0"/>
      <w:marTop w:val="0"/>
      <w:marBottom w:val="0"/>
      <w:divBdr>
        <w:top w:val="none" w:sz="0" w:space="0" w:color="auto"/>
        <w:left w:val="none" w:sz="0" w:space="0" w:color="auto"/>
        <w:bottom w:val="none" w:sz="0" w:space="0" w:color="auto"/>
        <w:right w:val="none" w:sz="0" w:space="0" w:color="auto"/>
      </w:divBdr>
    </w:div>
    <w:div w:id="858272122">
      <w:bodyDiv w:val="1"/>
      <w:marLeft w:val="0"/>
      <w:marRight w:val="0"/>
      <w:marTop w:val="0"/>
      <w:marBottom w:val="0"/>
      <w:divBdr>
        <w:top w:val="none" w:sz="0" w:space="0" w:color="auto"/>
        <w:left w:val="none" w:sz="0" w:space="0" w:color="auto"/>
        <w:bottom w:val="none" w:sz="0" w:space="0" w:color="auto"/>
        <w:right w:val="none" w:sz="0" w:space="0" w:color="auto"/>
      </w:divBdr>
    </w:div>
    <w:div w:id="897742446">
      <w:bodyDiv w:val="1"/>
      <w:marLeft w:val="0"/>
      <w:marRight w:val="0"/>
      <w:marTop w:val="0"/>
      <w:marBottom w:val="0"/>
      <w:divBdr>
        <w:top w:val="none" w:sz="0" w:space="0" w:color="auto"/>
        <w:left w:val="none" w:sz="0" w:space="0" w:color="auto"/>
        <w:bottom w:val="none" w:sz="0" w:space="0" w:color="auto"/>
        <w:right w:val="none" w:sz="0" w:space="0" w:color="auto"/>
      </w:divBdr>
    </w:div>
    <w:div w:id="1151556435">
      <w:bodyDiv w:val="1"/>
      <w:marLeft w:val="0"/>
      <w:marRight w:val="0"/>
      <w:marTop w:val="0"/>
      <w:marBottom w:val="0"/>
      <w:divBdr>
        <w:top w:val="none" w:sz="0" w:space="0" w:color="auto"/>
        <w:left w:val="none" w:sz="0" w:space="0" w:color="auto"/>
        <w:bottom w:val="none" w:sz="0" w:space="0" w:color="auto"/>
        <w:right w:val="none" w:sz="0" w:space="0" w:color="auto"/>
      </w:divBdr>
    </w:div>
    <w:div w:id="1160388684">
      <w:bodyDiv w:val="1"/>
      <w:marLeft w:val="0"/>
      <w:marRight w:val="0"/>
      <w:marTop w:val="0"/>
      <w:marBottom w:val="0"/>
      <w:divBdr>
        <w:top w:val="none" w:sz="0" w:space="0" w:color="auto"/>
        <w:left w:val="none" w:sz="0" w:space="0" w:color="auto"/>
        <w:bottom w:val="none" w:sz="0" w:space="0" w:color="auto"/>
        <w:right w:val="none" w:sz="0" w:space="0" w:color="auto"/>
      </w:divBdr>
    </w:div>
    <w:div w:id="1179856024">
      <w:bodyDiv w:val="1"/>
      <w:marLeft w:val="0"/>
      <w:marRight w:val="0"/>
      <w:marTop w:val="0"/>
      <w:marBottom w:val="0"/>
      <w:divBdr>
        <w:top w:val="none" w:sz="0" w:space="0" w:color="auto"/>
        <w:left w:val="none" w:sz="0" w:space="0" w:color="auto"/>
        <w:bottom w:val="none" w:sz="0" w:space="0" w:color="auto"/>
        <w:right w:val="none" w:sz="0" w:space="0" w:color="auto"/>
      </w:divBdr>
    </w:div>
    <w:div w:id="1190946619">
      <w:bodyDiv w:val="1"/>
      <w:marLeft w:val="0"/>
      <w:marRight w:val="0"/>
      <w:marTop w:val="0"/>
      <w:marBottom w:val="0"/>
      <w:divBdr>
        <w:top w:val="none" w:sz="0" w:space="0" w:color="auto"/>
        <w:left w:val="none" w:sz="0" w:space="0" w:color="auto"/>
        <w:bottom w:val="none" w:sz="0" w:space="0" w:color="auto"/>
        <w:right w:val="none" w:sz="0" w:space="0" w:color="auto"/>
      </w:divBdr>
    </w:div>
    <w:div w:id="1245603988">
      <w:bodyDiv w:val="1"/>
      <w:marLeft w:val="0"/>
      <w:marRight w:val="0"/>
      <w:marTop w:val="0"/>
      <w:marBottom w:val="0"/>
      <w:divBdr>
        <w:top w:val="none" w:sz="0" w:space="0" w:color="auto"/>
        <w:left w:val="none" w:sz="0" w:space="0" w:color="auto"/>
        <w:bottom w:val="none" w:sz="0" w:space="0" w:color="auto"/>
        <w:right w:val="none" w:sz="0" w:space="0" w:color="auto"/>
      </w:divBdr>
    </w:div>
    <w:div w:id="1363552169">
      <w:bodyDiv w:val="1"/>
      <w:marLeft w:val="0"/>
      <w:marRight w:val="0"/>
      <w:marTop w:val="0"/>
      <w:marBottom w:val="0"/>
      <w:divBdr>
        <w:top w:val="none" w:sz="0" w:space="0" w:color="auto"/>
        <w:left w:val="none" w:sz="0" w:space="0" w:color="auto"/>
        <w:bottom w:val="none" w:sz="0" w:space="0" w:color="auto"/>
        <w:right w:val="none" w:sz="0" w:space="0" w:color="auto"/>
      </w:divBdr>
    </w:div>
    <w:div w:id="1779790608">
      <w:bodyDiv w:val="1"/>
      <w:marLeft w:val="0"/>
      <w:marRight w:val="0"/>
      <w:marTop w:val="0"/>
      <w:marBottom w:val="0"/>
      <w:divBdr>
        <w:top w:val="none" w:sz="0" w:space="0" w:color="auto"/>
        <w:left w:val="none" w:sz="0" w:space="0" w:color="auto"/>
        <w:bottom w:val="none" w:sz="0" w:space="0" w:color="auto"/>
        <w:right w:val="none" w:sz="0" w:space="0" w:color="auto"/>
      </w:divBdr>
    </w:div>
    <w:div w:id="1901288419">
      <w:bodyDiv w:val="1"/>
      <w:marLeft w:val="0"/>
      <w:marRight w:val="0"/>
      <w:marTop w:val="0"/>
      <w:marBottom w:val="0"/>
      <w:divBdr>
        <w:top w:val="none" w:sz="0" w:space="0" w:color="auto"/>
        <w:left w:val="none" w:sz="0" w:space="0" w:color="auto"/>
        <w:bottom w:val="none" w:sz="0" w:space="0" w:color="auto"/>
        <w:right w:val="none" w:sz="0" w:space="0" w:color="auto"/>
      </w:divBdr>
    </w:div>
    <w:div w:id="1918590798">
      <w:bodyDiv w:val="1"/>
      <w:marLeft w:val="0"/>
      <w:marRight w:val="0"/>
      <w:marTop w:val="0"/>
      <w:marBottom w:val="0"/>
      <w:divBdr>
        <w:top w:val="none" w:sz="0" w:space="0" w:color="auto"/>
        <w:left w:val="none" w:sz="0" w:space="0" w:color="auto"/>
        <w:bottom w:val="none" w:sz="0" w:space="0" w:color="auto"/>
        <w:right w:val="none" w:sz="0" w:space="0" w:color="auto"/>
      </w:divBdr>
    </w:div>
    <w:div w:id="1974754101">
      <w:bodyDiv w:val="1"/>
      <w:marLeft w:val="0"/>
      <w:marRight w:val="0"/>
      <w:marTop w:val="0"/>
      <w:marBottom w:val="0"/>
      <w:divBdr>
        <w:top w:val="none" w:sz="0" w:space="0" w:color="auto"/>
        <w:left w:val="none" w:sz="0" w:space="0" w:color="auto"/>
        <w:bottom w:val="none" w:sz="0" w:space="0" w:color="auto"/>
        <w:right w:val="none" w:sz="0" w:space="0" w:color="auto"/>
      </w:divBdr>
    </w:div>
    <w:div w:id="2043552867">
      <w:bodyDiv w:val="1"/>
      <w:marLeft w:val="0"/>
      <w:marRight w:val="0"/>
      <w:marTop w:val="0"/>
      <w:marBottom w:val="0"/>
      <w:divBdr>
        <w:top w:val="none" w:sz="0" w:space="0" w:color="auto"/>
        <w:left w:val="none" w:sz="0" w:space="0" w:color="auto"/>
        <w:bottom w:val="none" w:sz="0" w:space="0" w:color="auto"/>
        <w:right w:val="none" w:sz="0" w:space="0" w:color="auto"/>
      </w:divBdr>
    </w:div>
    <w:div w:id="2083335434">
      <w:bodyDiv w:val="1"/>
      <w:marLeft w:val="0"/>
      <w:marRight w:val="0"/>
      <w:marTop w:val="0"/>
      <w:marBottom w:val="0"/>
      <w:divBdr>
        <w:top w:val="none" w:sz="0" w:space="0" w:color="auto"/>
        <w:left w:val="none" w:sz="0" w:space="0" w:color="auto"/>
        <w:bottom w:val="none" w:sz="0" w:space="0" w:color="auto"/>
        <w:right w:val="none" w:sz="0" w:space="0" w:color="auto"/>
      </w:divBdr>
    </w:div>
    <w:div w:id="21214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o.gov.au/general/ato-advice-and-guidance/ato-advice-products-(rul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ato.gov.au/atolaw/view.htm?Docid=ITR/IT2650/NAT/ATO/00001" TargetMode="External"/><Relationship Id="rId5" Type="http://schemas.openxmlformats.org/officeDocument/2006/relationships/webSettings" Target="webSettings.xml"/><Relationship Id="rId10" Type="http://schemas.openxmlformats.org/officeDocument/2006/relationships/hyperlink" Target="https://www.ato.gov.au/law/view/document?Docid=TXR/TR9817/NAT/ATO/00001" TargetMode="External"/><Relationship Id="rId4" Type="http://schemas.openxmlformats.org/officeDocument/2006/relationships/settings" Target="settings.xml"/><Relationship Id="rId9" Type="http://schemas.openxmlformats.org/officeDocument/2006/relationships/hyperlink" Target="https://www.ato.gov.au/Individuals/International-tax-for-individuals/Work-out-your-tax-residency/Residency-tes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w.ato.gov.au/atolaw/view.htm?Docid=ITR/IT2650/NAT/ATO/00001" TargetMode="External"/><Relationship Id="rId2" Type="http://schemas.openxmlformats.org/officeDocument/2006/relationships/hyperlink" Target="https://www.ato.gov.au/law/view/document?Docid=TXR/TR9817/NAT/ATO/00001" TargetMode="External"/><Relationship Id="rId1" Type="http://schemas.openxmlformats.org/officeDocument/2006/relationships/hyperlink" Target="https://www.ato.gov.au/Individuals/International-tax-for-individuals/Work-out-your-tax-residency/Residency-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D347-BBBD-405A-8586-1F9E1DF8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12</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2019-05-06T06:42:00Z</dcterms:created>
  <dcterms:modified xsi:type="dcterms:W3CDTF">2019-05-07T19:08:00Z</dcterms:modified>
</cp:coreProperties>
</file>