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4444584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5C0F" w:rsidRDefault="00F45C0F">
          <w:pPr>
            <w:pStyle w:val="TOCHeading"/>
          </w:pPr>
          <w:r>
            <w:t>Table of Contents</w:t>
          </w:r>
        </w:p>
        <w:p w:rsidR="006F52CA" w:rsidRDefault="00F45C0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403106" w:history="1">
            <w:r w:rsidR="006F52CA" w:rsidRPr="00BE1DC0">
              <w:rPr>
                <w:rStyle w:val="Hyperlink"/>
                <w:noProof/>
              </w:rPr>
              <w:t>Health care system and economic</w:t>
            </w:r>
            <w:r w:rsidR="006F52CA">
              <w:rPr>
                <w:noProof/>
                <w:webHidden/>
              </w:rPr>
              <w:tab/>
            </w:r>
            <w:r w:rsidR="006F52CA">
              <w:rPr>
                <w:noProof/>
                <w:webHidden/>
              </w:rPr>
              <w:fldChar w:fldCharType="begin"/>
            </w:r>
            <w:r w:rsidR="006F52CA">
              <w:rPr>
                <w:noProof/>
                <w:webHidden/>
              </w:rPr>
              <w:instrText xml:space="preserve"> PAGEREF _Toc8403106 \h </w:instrText>
            </w:r>
            <w:r w:rsidR="006F52CA">
              <w:rPr>
                <w:noProof/>
                <w:webHidden/>
              </w:rPr>
            </w:r>
            <w:r w:rsidR="006F52CA">
              <w:rPr>
                <w:noProof/>
                <w:webHidden/>
              </w:rPr>
              <w:fldChar w:fldCharType="separate"/>
            </w:r>
            <w:r w:rsidR="006F52CA">
              <w:rPr>
                <w:noProof/>
                <w:webHidden/>
              </w:rPr>
              <w:t>1</w:t>
            </w:r>
            <w:r w:rsidR="006F52CA">
              <w:rPr>
                <w:noProof/>
                <w:webHidden/>
              </w:rPr>
              <w:fldChar w:fldCharType="end"/>
            </w:r>
          </w:hyperlink>
        </w:p>
        <w:p w:rsidR="006F52CA" w:rsidRDefault="000D36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03107" w:history="1">
            <w:r w:rsidR="006F52CA" w:rsidRPr="00BE1DC0">
              <w:rPr>
                <w:rStyle w:val="Hyperlink"/>
                <w:noProof/>
              </w:rPr>
              <w:t>Summary:</w:t>
            </w:r>
            <w:r w:rsidR="006F52CA">
              <w:rPr>
                <w:noProof/>
                <w:webHidden/>
              </w:rPr>
              <w:tab/>
            </w:r>
            <w:r w:rsidR="006F52CA">
              <w:rPr>
                <w:noProof/>
                <w:webHidden/>
              </w:rPr>
              <w:fldChar w:fldCharType="begin"/>
            </w:r>
            <w:r w:rsidR="006F52CA">
              <w:rPr>
                <w:noProof/>
                <w:webHidden/>
              </w:rPr>
              <w:instrText xml:space="preserve"> PAGEREF _Toc8403107 \h </w:instrText>
            </w:r>
            <w:r w:rsidR="006F52CA">
              <w:rPr>
                <w:noProof/>
                <w:webHidden/>
              </w:rPr>
            </w:r>
            <w:r w:rsidR="006F52CA">
              <w:rPr>
                <w:noProof/>
                <w:webHidden/>
              </w:rPr>
              <w:fldChar w:fldCharType="separate"/>
            </w:r>
            <w:r w:rsidR="006F52CA">
              <w:rPr>
                <w:noProof/>
                <w:webHidden/>
              </w:rPr>
              <w:t>1</w:t>
            </w:r>
            <w:r w:rsidR="006F52CA">
              <w:rPr>
                <w:noProof/>
                <w:webHidden/>
              </w:rPr>
              <w:fldChar w:fldCharType="end"/>
            </w:r>
          </w:hyperlink>
        </w:p>
        <w:p w:rsidR="006F52CA" w:rsidRDefault="000D36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03108" w:history="1">
            <w:r w:rsidR="006F52CA" w:rsidRPr="00BE1DC0">
              <w:rPr>
                <w:rStyle w:val="Hyperlink"/>
                <w:noProof/>
              </w:rPr>
              <w:t>Cost effect and cost benefits:</w:t>
            </w:r>
            <w:r w:rsidR="006F52CA">
              <w:rPr>
                <w:noProof/>
                <w:webHidden/>
              </w:rPr>
              <w:tab/>
            </w:r>
            <w:r w:rsidR="006F52CA">
              <w:rPr>
                <w:noProof/>
                <w:webHidden/>
              </w:rPr>
              <w:fldChar w:fldCharType="begin"/>
            </w:r>
            <w:r w:rsidR="006F52CA">
              <w:rPr>
                <w:noProof/>
                <w:webHidden/>
              </w:rPr>
              <w:instrText xml:space="preserve"> PAGEREF _Toc8403108 \h </w:instrText>
            </w:r>
            <w:r w:rsidR="006F52CA">
              <w:rPr>
                <w:noProof/>
                <w:webHidden/>
              </w:rPr>
            </w:r>
            <w:r w:rsidR="006F52CA">
              <w:rPr>
                <w:noProof/>
                <w:webHidden/>
              </w:rPr>
              <w:fldChar w:fldCharType="separate"/>
            </w:r>
            <w:r w:rsidR="006F52CA">
              <w:rPr>
                <w:noProof/>
                <w:webHidden/>
              </w:rPr>
              <w:t>2</w:t>
            </w:r>
            <w:r w:rsidR="006F52CA">
              <w:rPr>
                <w:noProof/>
                <w:webHidden/>
              </w:rPr>
              <w:fldChar w:fldCharType="end"/>
            </w:r>
          </w:hyperlink>
        </w:p>
        <w:p w:rsidR="006F52CA" w:rsidRDefault="000D36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03109" w:history="1">
            <w:r w:rsidR="006F52CA" w:rsidRPr="00BE1DC0">
              <w:rPr>
                <w:rStyle w:val="Hyperlink"/>
                <w:noProof/>
              </w:rPr>
              <w:t>References:</w:t>
            </w:r>
            <w:r w:rsidR="006F52CA">
              <w:rPr>
                <w:noProof/>
                <w:webHidden/>
              </w:rPr>
              <w:tab/>
            </w:r>
            <w:r w:rsidR="006F52CA">
              <w:rPr>
                <w:noProof/>
                <w:webHidden/>
              </w:rPr>
              <w:fldChar w:fldCharType="begin"/>
            </w:r>
            <w:r w:rsidR="006F52CA">
              <w:rPr>
                <w:noProof/>
                <w:webHidden/>
              </w:rPr>
              <w:instrText xml:space="preserve"> PAGEREF _Toc8403109 \h </w:instrText>
            </w:r>
            <w:r w:rsidR="006F52CA">
              <w:rPr>
                <w:noProof/>
                <w:webHidden/>
              </w:rPr>
            </w:r>
            <w:r w:rsidR="006F52CA">
              <w:rPr>
                <w:noProof/>
                <w:webHidden/>
              </w:rPr>
              <w:fldChar w:fldCharType="separate"/>
            </w:r>
            <w:r w:rsidR="006F52CA">
              <w:rPr>
                <w:noProof/>
                <w:webHidden/>
              </w:rPr>
              <w:t>4</w:t>
            </w:r>
            <w:r w:rsidR="006F52CA">
              <w:rPr>
                <w:noProof/>
                <w:webHidden/>
              </w:rPr>
              <w:fldChar w:fldCharType="end"/>
            </w:r>
          </w:hyperlink>
        </w:p>
        <w:p w:rsidR="00F45C0F" w:rsidRDefault="00F45C0F">
          <w:r>
            <w:rPr>
              <w:b/>
              <w:bCs/>
              <w:noProof/>
            </w:rPr>
            <w:fldChar w:fldCharType="end"/>
          </w:r>
        </w:p>
      </w:sdtContent>
    </w:sdt>
    <w:p w:rsidR="006F52CA" w:rsidRDefault="006F52CA" w:rsidP="006F52CA">
      <w:pPr>
        <w:pStyle w:val="Heading1"/>
        <w:jc w:val="center"/>
      </w:pPr>
      <w:bookmarkStart w:id="0" w:name="_Toc8403106"/>
      <w:r>
        <w:t>Health care system and economic</w:t>
      </w:r>
      <w:bookmarkEnd w:id="0"/>
    </w:p>
    <w:p w:rsidR="002A59E7" w:rsidRDefault="008A37E4" w:rsidP="00F45C0F">
      <w:pPr>
        <w:pStyle w:val="Heading1"/>
      </w:pPr>
      <w:bookmarkStart w:id="1" w:name="_Toc8403107"/>
      <w:r w:rsidRPr="00024CA1">
        <w:t>Summary:</w:t>
      </w:r>
      <w:bookmarkEnd w:id="1"/>
    </w:p>
    <w:p w:rsidR="006F52CA" w:rsidRPr="006F52CA" w:rsidRDefault="006F52CA" w:rsidP="006F52CA"/>
    <w:p w:rsidR="008A37E4" w:rsidRDefault="008A37E4" w:rsidP="00EB3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report </w:t>
      </w:r>
      <w:r w:rsidR="00024CA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based on health care systems and economics in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="00E83B05">
        <w:rPr>
          <w:rFonts w:ascii="Times New Roman" w:hAnsi="Times New Roman" w:cs="Times New Roman"/>
          <w:sz w:val="24"/>
          <w:szCs w:val="24"/>
        </w:rPr>
        <w:t>United Kingdom</w:t>
      </w:r>
      <w:r>
        <w:rPr>
          <w:rFonts w:ascii="Times New Roman" w:hAnsi="Times New Roman" w:cs="Times New Roman"/>
          <w:sz w:val="24"/>
          <w:szCs w:val="24"/>
        </w:rPr>
        <w:t xml:space="preserve">. We can say that health is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important factors in human’s life. So, firstly we describe the analysis of UK’s health care systems and </w:t>
      </w:r>
      <w:r w:rsidR="00024CA1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understanding about interdependent relationship between </w:t>
      </w:r>
      <w:r w:rsidR="00024CA1"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z w:val="24"/>
          <w:szCs w:val="24"/>
        </w:rPr>
        <w:t xml:space="preserve"> health and economics. Many </w:t>
      </w:r>
      <w:r w:rsidR="00024CA1">
        <w:rPr>
          <w:rFonts w:ascii="Times New Roman" w:hAnsi="Times New Roman" w:cs="Times New Roman"/>
          <w:sz w:val="24"/>
          <w:szCs w:val="24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 xml:space="preserve"> promote this type of work which relates </w:t>
      </w:r>
      <w:r w:rsidR="00E57FD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social health care </w:t>
      </w:r>
      <w:proofErr w:type="spellStart"/>
      <w:r w:rsidR="00024CA1">
        <w:rPr>
          <w:rFonts w:ascii="Times New Roman" w:hAnsi="Times New Roman" w:cs="Times New Roman"/>
          <w:sz w:val="24"/>
          <w:szCs w:val="24"/>
        </w:rPr>
        <w:t>cent</w:t>
      </w:r>
      <w:r w:rsidR="00E57FD4">
        <w:rPr>
          <w:rFonts w:ascii="Times New Roman" w:hAnsi="Times New Roman" w:cs="Times New Roman"/>
          <w:sz w:val="24"/>
          <w:szCs w:val="24"/>
        </w:rPr>
        <w:t>er</w:t>
      </w:r>
      <w:r w:rsidR="00024CA1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Organization and public health system funded money for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welfare of society. Here we discuss UK state so, UK state consider</w:t>
      </w:r>
      <w:r w:rsidR="00E57F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specific country which involves in this work. After researching that results </w:t>
      </w:r>
      <w:r w:rsidR="00024CA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this country in with </w:t>
      </w:r>
      <w:r w:rsidR="00E57FD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population of about 62.262.000 peoples. The GDP of this country has been $2.260 trillion GBP.so, approximately 8.4% of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UK’s GDP is spent on health care </w:t>
      </w:r>
      <w:r w:rsidR="00024CA1">
        <w:rPr>
          <w:rFonts w:ascii="Times New Roman" w:hAnsi="Times New Roman" w:cs="Times New Roman"/>
          <w:sz w:val="24"/>
          <w:szCs w:val="24"/>
        </w:rPr>
        <w:t>furthermore</w:t>
      </w:r>
      <w:r>
        <w:rPr>
          <w:rFonts w:ascii="Times New Roman" w:hAnsi="Times New Roman" w:cs="Times New Roman"/>
          <w:sz w:val="24"/>
          <w:szCs w:val="24"/>
        </w:rPr>
        <w:t xml:space="preserve"> many </w:t>
      </w:r>
      <w:r w:rsidR="00024CA1">
        <w:rPr>
          <w:rFonts w:ascii="Times New Roman" w:hAnsi="Times New Roman" w:cs="Times New Roman"/>
          <w:sz w:val="24"/>
          <w:szCs w:val="24"/>
        </w:rPr>
        <w:t>institutions</w:t>
      </w:r>
      <w:r>
        <w:rPr>
          <w:rFonts w:ascii="Times New Roman" w:hAnsi="Times New Roman" w:cs="Times New Roman"/>
          <w:sz w:val="24"/>
          <w:szCs w:val="24"/>
        </w:rPr>
        <w:t xml:space="preserve"> held be opened in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UK for the purpose of health care. If we summaries that this progress groom </w:t>
      </w:r>
      <w:r w:rsidR="00EB3AF5">
        <w:rPr>
          <w:rFonts w:ascii="Times New Roman" w:hAnsi="Times New Roman" w:cs="Times New Roman"/>
          <w:sz w:val="24"/>
          <w:szCs w:val="24"/>
        </w:rPr>
        <w:t xml:space="preserve">and grow above 10% in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="00EB3AF5">
        <w:rPr>
          <w:rFonts w:ascii="Times New Roman" w:hAnsi="Times New Roman" w:cs="Times New Roman"/>
          <w:sz w:val="24"/>
          <w:szCs w:val="24"/>
        </w:rPr>
        <w:t xml:space="preserve">UK state. So, we can say that health is </w:t>
      </w:r>
      <w:r w:rsidR="00E57FD4">
        <w:rPr>
          <w:rFonts w:ascii="Times New Roman" w:hAnsi="Times New Roman" w:cs="Times New Roman"/>
          <w:sz w:val="24"/>
          <w:szCs w:val="24"/>
        </w:rPr>
        <w:t>the</w:t>
      </w:r>
      <w:r w:rsidR="00EB3AF5">
        <w:rPr>
          <w:rFonts w:ascii="Times New Roman" w:hAnsi="Times New Roman" w:cs="Times New Roman"/>
          <w:sz w:val="24"/>
          <w:szCs w:val="24"/>
        </w:rPr>
        <w:t xml:space="preserve"> most important factor. Government of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="00EB3AF5">
        <w:rPr>
          <w:rFonts w:ascii="Times New Roman" w:hAnsi="Times New Roman" w:cs="Times New Roman"/>
          <w:sz w:val="24"/>
          <w:szCs w:val="24"/>
        </w:rPr>
        <w:t>UK play a vital role in th</w:t>
      </w:r>
      <w:r w:rsidR="00E57FD4">
        <w:rPr>
          <w:rFonts w:ascii="Times New Roman" w:hAnsi="Times New Roman" w:cs="Times New Roman"/>
          <w:sz w:val="24"/>
          <w:szCs w:val="24"/>
        </w:rPr>
        <w:t>ese</w:t>
      </w:r>
      <w:r w:rsidR="00EB3AF5">
        <w:rPr>
          <w:rFonts w:ascii="Times New Roman" w:hAnsi="Times New Roman" w:cs="Times New Roman"/>
          <w:sz w:val="24"/>
          <w:szCs w:val="24"/>
        </w:rPr>
        <w:t xml:space="preserve"> fields through medical services, prescription and lastly hospital treatment as </w:t>
      </w:r>
      <w:r w:rsidR="00E57FD4">
        <w:rPr>
          <w:rFonts w:ascii="Times New Roman" w:hAnsi="Times New Roman" w:cs="Times New Roman"/>
          <w:sz w:val="24"/>
          <w:szCs w:val="24"/>
        </w:rPr>
        <w:t xml:space="preserve">a </w:t>
      </w:r>
      <w:r w:rsidR="00EB3AF5">
        <w:rPr>
          <w:rFonts w:ascii="Times New Roman" w:hAnsi="Times New Roman" w:cs="Times New Roman"/>
          <w:sz w:val="24"/>
          <w:szCs w:val="24"/>
        </w:rPr>
        <w:t xml:space="preserve">public patient. </w:t>
      </w:r>
    </w:p>
    <w:p w:rsidR="00024CA1" w:rsidRDefault="00024CA1" w:rsidP="00024CA1">
      <w:pPr>
        <w:jc w:val="both"/>
        <w:rPr>
          <w:rFonts w:ascii="Times New Roman" w:hAnsi="Times New Roman" w:cs="Times New Roman"/>
          <w:sz w:val="24"/>
          <w:szCs w:val="24"/>
        </w:rPr>
      </w:pPr>
      <w:r w:rsidRPr="00024CA1">
        <w:rPr>
          <w:rFonts w:ascii="Times New Roman" w:hAnsi="Times New Roman" w:cs="Times New Roman"/>
          <w:sz w:val="24"/>
          <w:szCs w:val="24"/>
        </w:rPr>
        <w:t xml:space="preserve">Wellbeing financial aspects </w:t>
      </w:r>
      <w:r w:rsidR="00E57FD4">
        <w:rPr>
          <w:rFonts w:ascii="Times New Roman" w:hAnsi="Times New Roman" w:cs="Times New Roman"/>
          <w:sz w:val="24"/>
          <w:szCs w:val="24"/>
        </w:rPr>
        <w:t>are</w:t>
      </w:r>
      <w:r w:rsidRPr="00024CA1">
        <w:rPr>
          <w:rFonts w:ascii="Times New Roman" w:hAnsi="Times New Roman" w:cs="Times New Roman"/>
          <w:sz w:val="24"/>
          <w:szCs w:val="24"/>
        </w:rPr>
        <w:t xml:space="preserve"> a part of financial matters worried </w:t>
      </w:r>
      <w:r w:rsidR="007E2518">
        <w:rPr>
          <w:rFonts w:ascii="Times New Roman" w:hAnsi="Times New Roman" w:cs="Times New Roman"/>
          <w:sz w:val="24"/>
          <w:szCs w:val="24"/>
        </w:rPr>
        <w:t xml:space="preserve">related to health care. </w:t>
      </w:r>
      <w:r w:rsidR="00EB3AF5">
        <w:rPr>
          <w:rFonts w:ascii="Times New Roman" w:hAnsi="Times New Roman" w:cs="Times New Roman"/>
          <w:sz w:val="24"/>
          <w:szCs w:val="24"/>
        </w:rPr>
        <w:t xml:space="preserve">After analysis GDP proportion, health expenditure has grown from around 8.7% in previous 2006-2016 in Australia and other US countries. </w:t>
      </w:r>
      <w:r w:rsidR="00DD4E26">
        <w:rPr>
          <w:rFonts w:ascii="Times New Roman" w:hAnsi="Times New Roman" w:cs="Times New Roman"/>
          <w:sz w:val="24"/>
          <w:szCs w:val="24"/>
        </w:rPr>
        <w:t>Money play</w:t>
      </w:r>
      <w:r w:rsidR="00E57FD4">
        <w:rPr>
          <w:rFonts w:ascii="Times New Roman" w:hAnsi="Times New Roman" w:cs="Times New Roman"/>
          <w:sz w:val="24"/>
          <w:szCs w:val="24"/>
        </w:rPr>
        <w:t>s</w:t>
      </w:r>
      <w:r w:rsidR="00DD4E26">
        <w:rPr>
          <w:rFonts w:ascii="Times New Roman" w:hAnsi="Times New Roman" w:cs="Times New Roman"/>
          <w:sz w:val="24"/>
          <w:szCs w:val="24"/>
        </w:rPr>
        <w:t xml:space="preserve"> a vital role </w:t>
      </w:r>
      <w:r w:rsidR="00E57FD4">
        <w:rPr>
          <w:rFonts w:ascii="Times New Roman" w:hAnsi="Times New Roman" w:cs="Times New Roman"/>
          <w:sz w:val="24"/>
          <w:szCs w:val="24"/>
        </w:rPr>
        <w:t>in</w:t>
      </w:r>
      <w:r w:rsidR="00DD4E26">
        <w:rPr>
          <w:rFonts w:ascii="Times New Roman" w:hAnsi="Times New Roman" w:cs="Times New Roman"/>
          <w:sz w:val="24"/>
          <w:szCs w:val="24"/>
        </w:rPr>
        <w:t xml:space="preserve"> funding the system NHS within England is mostly funded by there own taxation and national contributions. Another word smaller part is also collected by patient charges like prescriptions dentistry </w:t>
      </w:r>
      <w:proofErr w:type="spellStart"/>
      <w:r w:rsidR="00DD4E2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DD4E26">
        <w:rPr>
          <w:rFonts w:ascii="Times New Roman" w:hAnsi="Times New Roman" w:cs="Times New Roman"/>
          <w:sz w:val="24"/>
          <w:szCs w:val="24"/>
        </w:rPr>
        <w:t xml:space="preserve"> involve</w:t>
      </w:r>
      <w:r w:rsidR="00E57FD4">
        <w:rPr>
          <w:rFonts w:ascii="Times New Roman" w:hAnsi="Times New Roman" w:cs="Times New Roman"/>
          <w:sz w:val="24"/>
          <w:szCs w:val="24"/>
        </w:rPr>
        <w:t>d</w:t>
      </w:r>
      <w:r w:rsidR="00DD4E26">
        <w:rPr>
          <w:rFonts w:ascii="Times New Roman" w:hAnsi="Times New Roman" w:cs="Times New Roman"/>
          <w:sz w:val="24"/>
          <w:szCs w:val="24"/>
        </w:rPr>
        <w:t xml:space="preserve"> in </w:t>
      </w:r>
      <w:r w:rsidR="0066369C">
        <w:rPr>
          <w:rFonts w:ascii="Times New Roman" w:hAnsi="Times New Roman" w:cs="Times New Roman"/>
          <w:sz w:val="24"/>
          <w:szCs w:val="24"/>
        </w:rPr>
        <w:t>this system</w:t>
      </w:r>
      <w:r w:rsidR="00DD4E26">
        <w:rPr>
          <w:rFonts w:ascii="Times New Roman" w:hAnsi="Times New Roman" w:cs="Times New Roman"/>
          <w:sz w:val="24"/>
          <w:szCs w:val="24"/>
        </w:rPr>
        <w:t xml:space="preserve">. </w:t>
      </w:r>
      <w:r w:rsidRPr="00024CA1">
        <w:rPr>
          <w:rFonts w:ascii="Times New Roman" w:hAnsi="Times New Roman" w:cs="Times New Roman"/>
          <w:sz w:val="24"/>
          <w:szCs w:val="24"/>
        </w:rPr>
        <w:t>A fundamental 1963 article by Kenneth Arrow, regularly attributed with offering</w:t>
      </w:r>
      <w:r w:rsidR="00E57FD4">
        <w:rPr>
          <w:rFonts w:ascii="Times New Roman" w:hAnsi="Times New Roman" w:cs="Times New Roman"/>
          <w:sz w:val="24"/>
          <w:szCs w:val="24"/>
        </w:rPr>
        <w:t xml:space="preserve"> to</w:t>
      </w:r>
      <w:r w:rsidRPr="00024CA1">
        <w:rPr>
          <w:rFonts w:ascii="Times New Roman" w:hAnsi="Times New Roman" w:cs="Times New Roman"/>
          <w:sz w:val="24"/>
          <w:szCs w:val="24"/>
        </w:rPr>
        <w:t xml:space="preserve"> ascend to wellbeing financial aspects as a control, drew calculated qualifications among wellbeing and other goods.</w:t>
      </w:r>
      <w:r w:rsidR="0066369C">
        <w:rPr>
          <w:rFonts w:ascii="Times New Roman" w:hAnsi="Times New Roman" w:cs="Times New Roman"/>
          <w:sz w:val="24"/>
          <w:szCs w:val="24"/>
        </w:rPr>
        <w:t xml:space="preserve"> Health system enhance</w:t>
      </w:r>
      <w:r w:rsidR="00E57FD4">
        <w:rPr>
          <w:rFonts w:ascii="Times New Roman" w:hAnsi="Times New Roman" w:cs="Times New Roman"/>
          <w:sz w:val="24"/>
          <w:szCs w:val="24"/>
        </w:rPr>
        <w:t>s</w:t>
      </w:r>
      <w:r w:rsidR="0066369C">
        <w:rPr>
          <w:rFonts w:ascii="Times New Roman" w:hAnsi="Times New Roman" w:cs="Times New Roman"/>
          <w:sz w:val="24"/>
          <w:szCs w:val="24"/>
        </w:rPr>
        <w:t xml:space="preserve"> workforce abilities. </w:t>
      </w:r>
    </w:p>
    <w:p w:rsidR="00DD4E26" w:rsidRDefault="00E57FD4" w:rsidP="00EB3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4CA1">
        <w:rPr>
          <w:rFonts w:ascii="Times New Roman" w:hAnsi="Times New Roman" w:cs="Times New Roman"/>
          <w:sz w:val="24"/>
          <w:szCs w:val="24"/>
        </w:rPr>
        <w:t>United Kingdom</w:t>
      </w:r>
      <w:r w:rsidR="00DD4E26">
        <w:rPr>
          <w:rFonts w:ascii="Times New Roman" w:hAnsi="Times New Roman" w:cs="Times New Roman"/>
          <w:sz w:val="24"/>
          <w:szCs w:val="24"/>
        </w:rPr>
        <w:t xml:space="preserve"> spend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4E26">
        <w:rPr>
          <w:rFonts w:ascii="Times New Roman" w:hAnsi="Times New Roman" w:cs="Times New Roman"/>
          <w:sz w:val="24"/>
          <w:szCs w:val="24"/>
        </w:rPr>
        <w:t xml:space="preserve"> much money on public health services. In 2000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D4E26">
        <w:rPr>
          <w:rFonts w:ascii="Times New Roman" w:hAnsi="Times New Roman" w:cs="Times New Roman"/>
          <w:sz w:val="24"/>
          <w:szCs w:val="24"/>
        </w:rPr>
        <w:t>UK spend 50 billion pound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4E26">
        <w:rPr>
          <w:rFonts w:ascii="Times New Roman" w:hAnsi="Times New Roman" w:cs="Times New Roman"/>
          <w:sz w:val="24"/>
          <w:szCs w:val="24"/>
        </w:rPr>
        <w:t xml:space="preserve"> and 2008 spend 100 billion </w:t>
      </w:r>
      <w:r w:rsidR="00024CA1">
        <w:rPr>
          <w:rFonts w:ascii="Times New Roman" w:hAnsi="Times New Roman" w:cs="Times New Roman"/>
          <w:sz w:val="24"/>
          <w:szCs w:val="24"/>
        </w:rPr>
        <w:t>pounds. With the passage of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4CA1">
        <w:rPr>
          <w:rFonts w:ascii="Times New Roman" w:hAnsi="Times New Roman" w:cs="Times New Roman"/>
          <w:sz w:val="24"/>
          <w:szCs w:val="24"/>
        </w:rPr>
        <w:t>UK spend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4CA1">
        <w:rPr>
          <w:rFonts w:ascii="Times New Roman" w:hAnsi="Times New Roman" w:cs="Times New Roman"/>
          <w:sz w:val="24"/>
          <w:szCs w:val="24"/>
        </w:rPr>
        <w:t xml:space="preserve"> more money around 151.9 billion pound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4CA1">
        <w:rPr>
          <w:rFonts w:ascii="Times New Roman" w:hAnsi="Times New Roman" w:cs="Times New Roman"/>
          <w:sz w:val="24"/>
          <w:szCs w:val="24"/>
        </w:rPr>
        <w:t xml:space="preserve"> in 2019. Publish sectors or private sectors mixed provision is not significant in England. After research majority publish provision is focussed rather than other private provision. </w:t>
      </w:r>
      <w:proofErr w:type="spellStart"/>
      <w:r w:rsidR="00492CDC" w:rsidRPr="00492CDC">
        <w:rPr>
          <w:rFonts w:ascii="Times New Roman" w:eastAsiaTheme="minorEastAsia" w:hAnsi="Times New Roman" w:cs="Times New Roman"/>
        </w:rPr>
        <w:t>Edler</w:t>
      </w:r>
      <w:proofErr w:type="spellEnd"/>
      <w:r w:rsidR="00492CDC" w:rsidRPr="00492CDC">
        <w:rPr>
          <w:rFonts w:ascii="Times New Roman" w:eastAsiaTheme="minorEastAsia" w:hAnsi="Times New Roman" w:cs="Times New Roman"/>
        </w:rPr>
        <w:t>, J.</w:t>
      </w:r>
      <w:r w:rsidR="00492CDC">
        <w:rPr>
          <w:rFonts w:ascii="Times New Roman" w:eastAsiaTheme="minorEastAsia" w:hAnsi="Times New Roman" w:cs="Times New Roman"/>
        </w:rPr>
        <w:t xml:space="preserve">et al, </w:t>
      </w:r>
      <w:r w:rsidR="00492CDC" w:rsidRPr="00492CDC">
        <w:rPr>
          <w:rFonts w:ascii="Times New Roman" w:eastAsiaTheme="minorEastAsia" w:hAnsi="Times New Roman" w:cs="Times New Roman"/>
        </w:rPr>
        <w:t>(2016).</w:t>
      </w:r>
    </w:p>
    <w:p w:rsidR="00024CA1" w:rsidRPr="00024CA1" w:rsidRDefault="00024CA1" w:rsidP="00024CA1">
      <w:pPr>
        <w:jc w:val="both"/>
        <w:rPr>
          <w:rFonts w:ascii="Times New Roman" w:hAnsi="Times New Roman" w:cs="Times New Roman"/>
          <w:sz w:val="24"/>
          <w:szCs w:val="24"/>
        </w:rPr>
      </w:pPr>
      <w:r w:rsidRPr="00024CA1">
        <w:rPr>
          <w:rFonts w:ascii="Times New Roman" w:hAnsi="Times New Roman" w:cs="Times New Roman"/>
          <w:sz w:val="24"/>
          <w:szCs w:val="24"/>
        </w:rPr>
        <w:t xml:space="preserve">Factors that recognize wellbeing financial matters from different territories incorporate broad government intercession, </w:t>
      </w:r>
      <w:r w:rsidR="00E57FD4">
        <w:rPr>
          <w:rFonts w:ascii="Times New Roman" w:hAnsi="Times New Roman" w:cs="Times New Roman"/>
          <w:sz w:val="24"/>
          <w:szCs w:val="24"/>
        </w:rPr>
        <w:t xml:space="preserve">a </w:t>
      </w:r>
      <w:r w:rsidRPr="00024CA1">
        <w:rPr>
          <w:rFonts w:ascii="Times New Roman" w:hAnsi="Times New Roman" w:cs="Times New Roman"/>
          <w:sz w:val="24"/>
          <w:szCs w:val="24"/>
        </w:rPr>
        <w:t xml:space="preserve">recalcitrant vulnerability in a few measurements, deviated data, </w:t>
      </w:r>
      <w:proofErr w:type="gramStart"/>
      <w:r w:rsidRPr="00024CA1">
        <w:rPr>
          <w:rFonts w:ascii="Times New Roman" w:hAnsi="Times New Roman" w:cs="Times New Roman"/>
          <w:sz w:val="24"/>
          <w:szCs w:val="24"/>
        </w:rPr>
        <w:t>boundaries</w:t>
      </w:r>
      <w:proofErr w:type="gramEnd"/>
      <w:r w:rsidRPr="00024CA1">
        <w:rPr>
          <w:rFonts w:ascii="Times New Roman" w:hAnsi="Times New Roman" w:cs="Times New Roman"/>
          <w:sz w:val="24"/>
          <w:szCs w:val="24"/>
        </w:rPr>
        <w:t xml:space="preserve"> to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Pr="00024CA1">
        <w:rPr>
          <w:rFonts w:ascii="Times New Roman" w:hAnsi="Times New Roman" w:cs="Times New Roman"/>
          <w:sz w:val="24"/>
          <w:szCs w:val="24"/>
        </w:rPr>
        <w:t xml:space="preserve">passage, externalities and the nearness of an outsider agent. In medicinal services, the outsider operator is the doctor, who settles on obtaining choices (e.g., regardless </w:t>
      </w:r>
      <w:r w:rsidRPr="00024CA1">
        <w:rPr>
          <w:rFonts w:ascii="Times New Roman" w:hAnsi="Times New Roman" w:cs="Times New Roman"/>
          <w:sz w:val="24"/>
          <w:szCs w:val="24"/>
        </w:rPr>
        <w:lastRenderedPageBreak/>
        <w:t xml:space="preserve">of whether to arrange a lab test, endorse a drug, play out a medical procedure, and so forth.) while being protected from the cost of the item or administration. </w:t>
      </w:r>
    </w:p>
    <w:p w:rsidR="00024CA1" w:rsidRDefault="00024CA1" w:rsidP="00024CA1">
      <w:pPr>
        <w:jc w:val="both"/>
        <w:rPr>
          <w:rFonts w:ascii="Times New Roman" w:hAnsi="Times New Roman" w:cs="Times New Roman"/>
          <w:sz w:val="24"/>
          <w:szCs w:val="24"/>
        </w:rPr>
      </w:pPr>
      <w:r w:rsidRPr="00024CA1">
        <w:rPr>
          <w:rFonts w:ascii="Times New Roman" w:hAnsi="Times New Roman" w:cs="Times New Roman"/>
          <w:sz w:val="24"/>
          <w:szCs w:val="24"/>
        </w:rPr>
        <w:t>Wellbeing market analysts assess various kinds of budgetary data: costs, charges</w:t>
      </w:r>
      <w:r w:rsidR="00E57FD4">
        <w:rPr>
          <w:rFonts w:ascii="Times New Roman" w:hAnsi="Times New Roman" w:cs="Times New Roman"/>
          <w:sz w:val="24"/>
          <w:szCs w:val="24"/>
        </w:rPr>
        <w:t>,</w:t>
      </w:r>
      <w:r w:rsidRPr="00024CA1">
        <w:rPr>
          <w:rFonts w:ascii="Times New Roman" w:hAnsi="Times New Roman" w:cs="Times New Roman"/>
          <w:sz w:val="24"/>
          <w:szCs w:val="24"/>
        </w:rPr>
        <w:t xml:space="preserve"> and uses. Vulnerability is natural for wellbeing, both inpatient results and budgetary concerns. The learning hole that exists between a doctor and a patient makes a circumstance of particular preferred standpoint for the doctor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UK.</w:t>
      </w:r>
    </w:p>
    <w:p w:rsidR="009D0CEB" w:rsidRPr="00E83B05" w:rsidRDefault="00A27F6F" w:rsidP="00F45C0F">
      <w:pPr>
        <w:pStyle w:val="Heading1"/>
      </w:pPr>
      <w:bookmarkStart w:id="2" w:name="_Toc8403108"/>
      <w:r w:rsidRPr="00E83B05">
        <w:t>Cost</w:t>
      </w:r>
      <w:r w:rsidR="00E57FD4">
        <w:t>-</w:t>
      </w:r>
      <w:r w:rsidRPr="00E83B05">
        <w:t>effect</w:t>
      </w:r>
      <w:r w:rsidR="00E57FD4">
        <w:t>iveness</w:t>
      </w:r>
      <w:r w:rsidRPr="00E83B05">
        <w:t xml:space="preserve"> and cost benefits:</w:t>
      </w:r>
      <w:bookmarkEnd w:id="2"/>
    </w:p>
    <w:p w:rsidR="00A27F6F" w:rsidRPr="00A27F6F" w:rsidRDefault="00E83B05" w:rsidP="00A27F6F">
      <w:pPr>
        <w:jc w:val="both"/>
        <w:rPr>
          <w:rFonts w:ascii="Times New Roman" w:hAnsi="Times New Roman" w:cs="Times New Roman"/>
          <w:sz w:val="24"/>
          <w:szCs w:val="24"/>
        </w:rPr>
      </w:pPr>
      <w:r w:rsidRPr="00A27F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20458C5">
            <wp:simplePos x="0" y="0"/>
            <wp:positionH relativeFrom="margin">
              <wp:align>left</wp:align>
            </wp:positionH>
            <wp:positionV relativeFrom="paragraph">
              <wp:posOffset>1781175</wp:posOffset>
            </wp:positionV>
            <wp:extent cx="2779395" cy="2286000"/>
            <wp:effectExtent l="76200" t="76200" r="135255" b="133350"/>
            <wp:wrapTight wrapText="bothSides">
              <wp:wrapPolygon edited="0">
                <wp:start x="-296" y="-720"/>
                <wp:lineTo x="-592" y="-540"/>
                <wp:lineTo x="-592" y="21960"/>
                <wp:lineTo x="-296" y="22680"/>
                <wp:lineTo x="22207" y="22680"/>
                <wp:lineTo x="22207" y="22500"/>
                <wp:lineTo x="22503" y="19800"/>
                <wp:lineTo x="22503" y="2340"/>
                <wp:lineTo x="22207" y="-360"/>
                <wp:lineTo x="22207" y="-720"/>
                <wp:lineTo x="-296" y="-720"/>
              </wp:wrapPolygon>
            </wp:wrapTight>
            <wp:docPr id="358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F6F" w:rsidRPr="00A27F6F">
        <w:rPr>
          <w:rFonts w:ascii="Times New Roman" w:hAnsi="Times New Roman" w:cs="Times New Roman"/>
          <w:sz w:val="24"/>
          <w:szCs w:val="24"/>
        </w:rPr>
        <w:t>Cost-</w:t>
      </w:r>
      <w:r w:rsidR="00A27F6F">
        <w:rPr>
          <w:rFonts w:ascii="Times New Roman" w:hAnsi="Times New Roman" w:cs="Times New Roman"/>
          <w:sz w:val="24"/>
          <w:szCs w:val="24"/>
        </w:rPr>
        <w:t xml:space="preserve">effect </w:t>
      </w:r>
      <w:r w:rsidR="00A27F6F" w:rsidRPr="00A27F6F">
        <w:rPr>
          <w:rFonts w:ascii="Times New Roman" w:hAnsi="Times New Roman" w:cs="Times New Roman"/>
          <w:sz w:val="24"/>
          <w:szCs w:val="24"/>
        </w:rPr>
        <w:t xml:space="preserve">investigation (CEA) is a type of monetary examination that thinks about the relative expenses and results (impacts) of various game-plans. </w:t>
      </w:r>
    </w:p>
    <w:p w:rsidR="00482903" w:rsidRPr="0002314D" w:rsidRDefault="00A27F6F" w:rsidP="0002314D">
      <w:pPr>
        <w:numPr>
          <w:ilvl w:val="0"/>
          <w:numId w:val="7"/>
        </w:numPr>
        <w:jc w:val="both"/>
      </w:pPr>
      <w:r w:rsidRPr="00A27F6F">
        <w:rPr>
          <w:rFonts w:ascii="Times New Roman" w:hAnsi="Times New Roman" w:cs="Times New Roman"/>
          <w:sz w:val="24"/>
          <w:szCs w:val="24"/>
        </w:rPr>
        <w:t xml:space="preserve"> cost spoke to on one pivot and the viability on the other axis.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6F">
        <w:rPr>
          <w:rFonts w:ascii="Times New Roman" w:hAnsi="Times New Roman" w:cs="Times New Roman"/>
          <w:sz w:val="24"/>
          <w:szCs w:val="24"/>
        </w:rPr>
        <w:t xml:space="preserve">Cost-viability investigation </w:t>
      </w:r>
      <w:proofErr w:type="spellStart"/>
      <w:r w:rsidR="0002314D" w:rsidRPr="00A27F6F">
        <w:rPr>
          <w:rFonts w:ascii="Times New Roman" w:hAnsi="Times New Roman" w:cs="Times New Roman"/>
          <w:sz w:val="24"/>
          <w:szCs w:val="24"/>
        </w:rPr>
        <w:t>cent</w:t>
      </w:r>
      <w:r w:rsidR="00E57FD4">
        <w:rPr>
          <w:rFonts w:ascii="Times New Roman" w:hAnsi="Times New Roman" w:cs="Times New Roman"/>
          <w:sz w:val="24"/>
          <w:szCs w:val="24"/>
        </w:rPr>
        <w:t>er</w:t>
      </w:r>
      <w:r w:rsidR="0002314D" w:rsidRPr="00A27F6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27F6F">
        <w:rPr>
          <w:rFonts w:ascii="Times New Roman" w:hAnsi="Times New Roman" w:cs="Times New Roman"/>
          <w:sz w:val="24"/>
          <w:szCs w:val="24"/>
        </w:rPr>
        <w:t xml:space="preserve"> around boosting the normal dimension of a result, distributional cost-adequacy investigation broadens the </w:t>
      </w:r>
      <w:proofErr w:type="spellStart"/>
      <w:r w:rsidR="0002314D" w:rsidRPr="00A27F6F">
        <w:rPr>
          <w:rFonts w:ascii="Times New Roman" w:hAnsi="Times New Roman" w:cs="Times New Roman"/>
          <w:sz w:val="24"/>
          <w:szCs w:val="24"/>
        </w:rPr>
        <w:t>cent</w:t>
      </w:r>
      <w:r w:rsidR="00E57FD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27F6F">
        <w:rPr>
          <w:rFonts w:ascii="Times New Roman" w:hAnsi="Times New Roman" w:cs="Times New Roman"/>
          <w:sz w:val="24"/>
          <w:szCs w:val="24"/>
        </w:rPr>
        <w:t xml:space="preserve"> strategies for CEA to fuse worries for the conveyance of results just </w:t>
      </w:r>
      <w:r w:rsidR="00E57FD4">
        <w:rPr>
          <w:rFonts w:ascii="Times New Roman" w:hAnsi="Times New Roman" w:cs="Times New Roman"/>
          <w:sz w:val="24"/>
          <w:szCs w:val="24"/>
        </w:rPr>
        <w:t>like</w:t>
      </w:r>
      <w:r w:rsidRPr="00A27F6F">
        <w:rPr>
          <w:rFonts w:ascii="Times New Roman" w:hAnsi="Times New Roman" w:cs="Times New Roman"/>
          <w:sz w:val="24"/>
          <w:szCs w:val="24"/>
        </w:rPr>
        <w:t xml:space="preserve"> their normal dimension and make exchange offs among value and effectiveness, these progressively refined techniques are exceptionally compelling while breaking down mediations to handle wellbeing imbalance</w:t>
      </w:r>
      <w:r w:rsidR="00E83B05">
        <w:rPr>
          <w:rFonts w:ascii="Times New Roman" w:hAnsi="Times New Roman" w:cs="Times New Roman"/>
          <w:sz w:val="24"/>
          <w:szCs w:val="24"/>
        </w:rPr>
        <w:t xml:space="preserve">. </w:t>
      </w:r>
      <w:r w:rsidR="000C7163" w:rsidRPr="0066369C">
        <w:rPr>
          <w:rFonts w:ascii="Times New Roman" w:hAnsi="Times New Roman" w:cs="Times New Roman"/>
          <w:sz w:val="24"/>
          <w:szCs w:val="24"/>
        </w:rPr>
        <w:t xml:space="preserve">NHS provides well economical supports to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="000C7163" w:rsidRPr="0066369C">
        <w:rPr>
          <w:rFonts w:ascii="Times New Roman" w:hAnsi="Times New Roman" w:cs="Times New Roman"/>
          <w:sz w:val="24"/>
          <w:szCs w:val="24"/>
        </w:rPr>
        <w:t xml:space="preserve">public from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="000C7163" w:rsidRPr="0066369C">
        <w:rPr>
          <w:rFonts w:ascii="Times New Roman" w:hAnsi="Times New Roman" w:cs="Times New Roman"/>
          <w:sz w:val="24"/>
          <w:szCs w:val="24"/>
        </w:rPr>
        <w:t xml:space="preserve">consequences of ill health. This healthcare organization has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="000C7163" w:rsidRPr="0066369C">
        <w:rPr>
          <w:rFonts w:ascii="Times New Roman" w:hAnsi="Times New Roman" w:cs="Times New Roman"/>
          <w:sz w:val="24"/>
          <w:szCs w:val="24"/>
        </w:rPr>
        <w:t>lowest proportions of UK’s civilian who can avoid</w:t>
      </w:r>
      <w:r w:rsidR="000C7163" w:rsidRPr="00E83B05">
        <w:rPr>
          <w:rFonts w:ascii="Times New Roman" w:hAnsi="Times New Roman" w:cs="Times New Roman"/>
          <w:sz w:val="24"/>
          <w:szCs w:val="24"/>
        </w:rPr>
        <w:t xml:space="preserve"> medicines as well as </w:t>
      </w:r>
      <w:r w:rsidR="0002314D" w:rsidRPr="00E83B05">
        <w:rPr>
          <w:rFonts w:ascii="Times New Roman" w:hAnsi="Times New Roman" w:cs="Times New Roman"/>
          <w:sz w:val="24"/>
          <w:szCs w:val="24"/>
        </w:rPr>
        <w:t>healthcare’s</w:t>
      </w:r>
      <w:r w:rsidR="000C7163" w:rsidRPr="00E83B05">
        <w:rPr>
          <w:rFonts w:ascii="Times New Roman" w:hAnsi="Times New Roman" w:cs="Times New Roman"/>
          <w:sz w:val="24"/>
          <w:szCs w:val="24"/>
        </w:rPr>
        <w:t xml:space="preserve"> treatments due to costs such as 2.3% in the year 2016 (Kingsfund.org.uk, 2018).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="0066369C" w:rsidRPr="0002314D">
        <w:rPr>
          <w:rFonts w:ascii="Times New Roman" w:hAnsi="Times New Roman" w:cs="Times New Roman"/>
          <w:sz w:val="24"/>
          <w:szCs w:val="24"/>
        </w:rPr>
        <w:t xml:space="preserve">UK has one of the largest shares of the generic prescribing of several comparator countries at 84% in the year 2015 with the comparison of </w:t>
      </w:r>
      <w:r w:rsidR="00E57FD4">
        <w:rPr>
          <w:rFonts w:ascii="Times New Roman" w:hAnsi="Times New Roman" w:cs="Times New Roman"/>
          <w:sz w:val="24"/>
          <w:szCs w:val="24"/>
        </w:rPr>
        <w:t xml:space="preserve">an </w:t>
      </w:r>
      <w:r w:rsidR="0066369C" w:rsidRPr="0002314D">
        <w:rPr>
          <w:rFonts w:ascii="Times New Roman" w:hAnsi="Times New Roman" w:cs="Times New Roman"/>
          <w:sz w:val="24"/>
          <w:szCs w:val="24"/>
        </w:rPr>
        <w:t>average of 50%.</w:t>
      </w:r>
    </w:p>
    <w:p w:rsidR="00A27F6F" w:rsidRDefault="00A27F6F" w:rsidP="00A2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development assistance in health is mostly link</w:t>
      </w:r>
      <w:r w:rsidR="00E57FD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with cost and finance. Because without cost and finance running health care systems not possible. This represents about 1.10% of the nation</w:t>
      </w:r>
      <w:r w:rsidR="00E57FD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GDP. Also that in 2010, this rate contribution with increasing has been enhanced as the GDP share. The overall innovative financing and cost effect involved funding in response to </w:t>
      </w:r>
      <w:r w:rsidR="00E57FD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global program for health. In this respect, the ideas for innovative funding have been related </w:t>
      </w:r>
      <w:r w:rsidR="00E57FD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cost and benefit effects. </w:t>
      </w:r>
    </w:p>
    <w:p w:rsidR="0058629F" w:rsidRPr="00A27F6F" w:rsidRDefault="000C7163" w:rsidP="00A27F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F6F">
        <w:rPr>
          <w:rFonts w:ascii="Times New Roman" w:hAnsi="Times New Roman" w:cs="Times New Roman"/>
          <w:sz w:val="24"/>
          <w:szCs w:val="24"/>
        </w:rPr>
        <w:t xml:space="preserve">With the increase in numbers of older people and other age group, aids in inevitable enhance of healthcare expenditure/year. </w:t>
      </w:r>
    </w:p>
    <w:p w:rsidR="0058629F" w:rsidRPr="00A27F6F" w:rsidRDefault="000C7163" w:rsidP="00A27F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F6F">
        <w:rPr>
          <w:rFonts w:ascii="Times New Roman" w:hAnsi="Times New Roman" w:cs="Times New Roman"/>
          <w:sz w:val="24"/>
          <w:szCs w:val="24"/>
        </w:rPr>
        <w:t xml:space="preserve">However, this expenditure of healthcare is not purely determined by the demographic factors, other variables that are non-demographics in nature such as economic, </w:t>
      </w:r>
      <w:r w:rsidR="00E83B05" w:rsidRPr="00E83B0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374ED79A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3267075" cy="2000250"/>
            <wp:effectExtent l="76200" t="76200" r="142875" b="133350"/>
            <wp:wrapTight wrapText="bothSides">
              <wp:wrapPolygon edited="0">
                <wp:start x="-252" y="-823"/>
                <wp:lineTo x="-504" y="-617"/>
                <wp:lineTo x="-504" y="22011"/>
                <wp:lineTo x="-252" y="22834"/>
                <wp:lineTo x="22167" y="22834"/>
                <wp:lineTo x="22419" y="22423"/>
                <wp:lineTo x="22419" y="2674"/>
                <wp:lineTo x="22167" y="-411"/>
                <wp:lineTo x="22167" y="-823"/>
                <wp:lineTo x="-252" y="-823"/>
              </wp:wrapPolygon>
            </wp:wrapTight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F6F">
        <w:rPr>
          <w:rFonts w:ascii="Times New Roman" w:hAnsi="Times New Roman" w:cs="Times New Roman"/>
          <w:sz w:val="24"/>
          <w:szCs w:val="24"/>
        </w:rPr>
        <w:t>technological and institutional characteristics, modification in health care treatment help</w:t>
      </w:r>
      <w:r w:rsidR="00E57FD4">
        <w:rPr>
          <w:rFonts w:ascii="Times New Roman" w:hAnsi="Times New Roman" w:cs="Times New Roman"/>
          <w:sz w:val="24"/>
          <w:szCs w:val="24"/>
        </w:rPr>
        <w:t>s</w:t>
      </w:r>
      <w:r w:rsidRPr="00A27F6F">
        <w:rPr>
          <w:rFonts w:ascii="Times New Roman" w:hAnsi="Times New Roman" w:cs="Times New Roman"/>
          <w:sz w:val="24"/>
          <w:szCs w:val="24"/>
        </w:rPr>
        <w:t xml:space="preserve"> in explaining or impact on expenditure. </w:t>
      </w:r>
    </w:p>
    <w:p w:rsidR="0058629F" w:rsidRPr="00A27F6F" w:rsidRDefault="000C7163" w:rsidP="00A27F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F6F">
        <w:rPr>
          <w:rFonts w:ascii="Times New Roman" w:hAnsi="Times New Roman" w:cs="Times New Roman"/>
          <w:sz w:val="24"/>
          <w:szCs w:val="24"/>
        </w:rPr>
        <w:t xml:space="preserve">It has been observed that from the aging report of commission in 2015, within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3" w:name="_GoBack"/>
      <w:bookmarkEnd w:id="3"/>
      <w:r w:rsidRPr="00A27F6F">
        <w:rPr>
          <w:rFonts w:ascii="Times New Roman" w:hAnsi="Times New Roman" w:cs="Times New Roman"/>
          <w:sz w:val="24"/>
          <w:szCs w:val="24"/>
        </w:rPr>
        <w:t>industriali</w:t>
      </w:r>
      <w:r w:rsidR="000D36E5">
        <w:rPr>
          <w:rFonts w:ascii="Times New Roman" w:hAnsi="Times New Roman" w:cs="Times New Roman"/>
          <w:sz w:val="24"/>
          <w:szCs w:val="24"/>
        </w:rPr>
        <w:t>z</w:t>
      </w:r>
      <w:r w:rsidRPr="00A27F6F">
        <w:rPr>
          <w:rFonts w:ascii="Times New Roman" w:hAnsi="Times New Roman" w:cs="Times New Roman"/>
          <w:sz w:val="24"/>
          <w:szCs w:val="24"/>
        </w:rPr>
        <w:t xml:space="preserve">ed country, this rate has been increased due to this technological change (obr.uk, 2015). </w:t>
      </w:r>
    </w:p>
    <w:p w:rsidR="0058629F" w:rsidRPr="00A27F6F" w:rsidRDefault="000C7163" w:rsidP="00A27F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F6F">
        <w:rPr>
          <w:rFonts w:ascii="Times New Roman" w:hAnsi="Times New Roman" w:cs="Times New Roman"/>
          <w:sz w:val="24"/>
          <w:szCs w:val="24"/>
        </w:rPr>
        <w:t xml:space="preserve">This advancement has also impacts on demand of patient too and has reduced </w:t>
      </w:r>
      <w:proofErr w:type="spellStart"/>
      <w:r w:rsidRPr="00A27F6F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A27F6F">
        <w:rPr>
          <w:rFonts w:ascii="Times New Roman" w:hAnsi="Times New Roman" w:cs="Times New Roman"/>
          <w:sz w:val="24"/>
          <w:szCs w:val="24"/>
        </w:rPr>
        <w:t xml:space="preserve"> input (</w:t>
      </w:r>
      <w:proofErr w:type="spellStart"/>
      <w:r w:rsidRPr="00A27F6F">
        <w:rPr>
          <w:rFonts w:ascii="Times New Roman" w:hAnsi="Times New Roman" w:cs="Times New Roman"/>
          <w:sz w:val="24"/>
          <w:szCs w:val="24"/>
        </w:rPr>
        <w:t>Edler</w:t>
      </w:r>
      <w:proofErr w:type="spellEnd"/>
      <w:r w:rsidRPr="00A27F6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27F6F">
        <w:rPr>
          <w:rFonts w:ascii="Times New Roman" w:hAnsi="Times New Roman" w:cs="Times New Roman"/>
          <w:sz w:val="24"/>
          <w:szCs w:val="24"/>
        </w:rPr>
        <w:t>Yeow</w:t>
      </w:r>
      <w:proofErr w:type="spellEnd"/>
      <w:r w:rsidRPr="00A27F6F">
        <w:rPr>
          <w:rFonts w:ascii="Times New Roman" w:hAnsi="Times New Roman" w:cs="Times New Roman"/>
          <w:sz w:val="24"/>
          <w:szCs w:val="24"/>
        </w:rPr>
        <w:t xml:space="preserve">, 2016). </w:t>
      </w:r>
    </w:p>
    <w:p w:rsidR="0058629F" w:rsidRDefault="000C7163" w:rsidP="00E83B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05">
        <w:rPr>
          <w:rFonts w:ascii="Times New Roman" w:hAnsi="Times New Roman" w:cs="Times New Roman"/>
          <w:sz w:val="24"/>
          <w:szCs w:val="24"/>
        </w:rPr>
        <w:t xml:space="preserve">Any consensus has not been observed over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Pr="00E83B05">
        <w:rPr>
          <w:rFonts w:ascii="Times New Roman" w:hAnsi="Times New Roman" w:cs="Times New Roman"/>
          <w:sz w:val="24"/>
          <w:szCs w:val="24"/>
        </w:rPr>
        <w:t>contribution of the demographic income as well as residual factors within</w:t>
      </w:r>
      <w:r w:rsidRPr="00E83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health care spending</w:t>
      </w:r>
      <w:r w:rsidRPr="00E83B05">
        <w:rPr>
          <w:rFonts w:ascii="Times New Roman" w:hAnsi="Times New Roman" w:cs="Times New Roman"/>
          <w:sz w:val="24"/>
          <w:szCs w:val="24"/>
        </w:rPr>
        <w:t xml:space="preserve"> drivers in long term (obr.uk, 2015). </w:t>
      </w:r>
    </w:p>
    <w:p w:rsidR="00482903" w:rsidRPr="0002314D" w:rsidRDefault="0066369C" w:rsidP="0002314D">
      <w:pPr>
        <w:jc w:val="both"/>
        <w:rPr>
          <w:rFonts w:ascii="Times New Roman" w:hAnsi="Times New Roman" w:cs="Times New Roman"/>
          <w:sz w:val="24"/>
          <w:szCs w:val="24"/>
        </w:rPr>
      </w:pPr>
      <w:r w:rsidRPr="0002314D">
        <w:rPr>
          <w:rFonts w:ascii="Times New Roman" w:hAnsi="Times New Roman" w:cs="Times New Roman"/>
          <w:sz w:val="24"/>
          <w:szCs w:val="24"/>
        </w:rPr>
        <w:t xml:space="preserve">Arraigning training programs for every healthcare professional </w:t>
      </w:r>
      <w:r w:rsidR="00E57FD4">
        <w:rPr>
          <w:rFonts w:ascii="Times New Roman" w:hAnsi="Times New Roman" w:cs="Times New Roman"/>
          <w:sz w:val="24"/>
          <w:szCs w:val="24"/>
        </w:rPr>
        <w:t>s</w:t>
      </w:r>
      <w:r w:rsidRPr="0002314D">
        <w:rPr>
          <w:rFonts w:ascii="Times New Roman" w:hAnsi="Times New Roman" w:cs="Times New Roman"/>
          <w:sz w:val="24"/>
          <w:szCs w:val="24"/>
        </w:rPr>
        <w:t>o that they can adopt those advanced technologies in order to understand data from machiner</w:t>
      </w:r>
      <w:r w:rsidR="00E57FD4">
        <w:rPr>
          <w:rFonts w:ascii="Times New Roman" w:hAnsi="Times New Roman" w:cs="Times New Roman"/>
          <w:sz w:val="24"/>
          <w:szCs w:val="24"/>
        </w:rPr>
        <w:t>y</w:t>
      </w:r>
      <w:r w:rsidRPr="0002314D">
        <w:rPr>
          <w:rFonts w:ascii="Times New Roman" w:hAnsi="Times New Roman" w:cs="Times New Roman"/>
          <w:sz w:val="24"/>
          <w:szCs w:val="24"/>
        </w:rPr>
        <w:t xml:space="preserve">.UK government needs to invest in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Pr="0002314D">
        <w:rPr>
          <w:rFonts w:ascii="Times New Roman" w:hAnsi="Times New Roman" w:cs="Times New Roman"/>
          <w:sz w:val="24"/>
          <w:szCs w:val="24"/>
        </w:rPr>
        <w:t>research and development section so that advanced machiner</w:t>
      </w:r>
      <w:r w:rsidR="00E57FD4">
        <w:rPr>
          <w:rFonts w:ascii="Times New Roman" w:hAnsi="Times New Roman" w:cs="Times New Roman"/>
          <w:sz w:val="24"/>
          <w:szCs w:val="24"/>
        </w:rPr>
        <w:t>y</w:t>
      </w:r>
      <w:r w:rsidRPr="0002314D">
        <w:rPr>
          <w:rFonts w:ascii="Times New Roman" w:hAnsi="Times New Roman" w:cs="Times New Roman"/>
          <w:sz w:val="24"/>
          <w:szCs w:val="24"/>
        </w:rPr>
        <w:t xml:space="preserve"> can recognize diseases. Based on those data records, necessary treatment facilities can be provided at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Pr="0002314D">
        <w:rPr>
          <w:rFonts w:ascii="Times New Roman" w:hAnsi="Times New Roman" w:cs="Times New Roman"/>
          <w:sz w:val="24"/>
          <w:szCs w:val="24"/>
        </w:rPr>
        <w:t>lowest amount of price.</w:t>
      </w:r>
    </w:p>
    <w:p w:rsidR="0058629F" w:rsidRPr="00E83B05" w:rsidRDefault="000C7163" w:rsidP="00E83B05">
      <w:pPr>
        <w:jc w:val="both"/>
        <w:rPr>
          <w:rFonts w:ascii="Times New Roman" w:hAnsi="Times New Roman" w:cs="Times New Roman"/>
          <w:sz w:val="24"/>
          <w:szCs w:val="24"/>
        </w:rPr>
      </w:pPr>
      <w:r w:rsidRPr="00E83B05">
        <w:rPr>
          <w:rFonts w:ascii="Times New Roman" w:hAnsi="Times New Roman" w:cs="Times New Roman"/>
          <w:sz w:val="24"/>
          <w:szCs w:val="24"/>
        </w:rPr>
        <w:t xml:space="preserve">From the </w:t>
      </w:r>
      <w:r w:rsidR="00E83B05" w:rsidRPr="00E83B05">
        <w:rPr>
          <w:rFonts w:ascii="Times New Roman" w:hAnsi="Times New Roman" w:cs="Times New Roman"/>
          <w:sz w:val="24"/>
          <w:szCs w:val="24"/>
        </w:rPr>
        <w:t>above-mentioned</w:t>
      </w:r>
      <w:r w:rsidRPr="00E83B05">
        <w:rPr>
          <w:rFonts w:ascii="Times New Roman" w:hAnsi="Times New Roman" w:cs="Times New Roman"/>
          <w:sz w:val="24"/>
          <w:szCs w:val="24"/>
        </w:rPr>
        <w:t xml:space="preserve"> analysis, it can be concluded</w:t>
      </w:r>
      <w:r w:rsidR="00E83B05">
        <w:rPr>
          <w:rFonts w:ascii="Times New Roman" w:hAnsi="Times New Roman" w:cs="Times New Roman"/>
          <w:sz w:val="24"/>
          <w:szCs w:val="24"/>
        </w:rPr>
        <w:t xml:space="preserve"> and summarized</w:t>
      </w:r>
      <w:r w:rsidRPr="00E83B05">
        <w:rPr>
          <w:rFonts w:ascii="Times New Roman" w:hAnsi="Times New Roman" w:cs="Times New Roman"/>
          <w:sz w:val="24"/>
          <w:szCs w:val="24"/>
        </w:rPr>
        <w:t xml:space="preserve"> that within the </w:t>
      </w:r>
      <w:r w:rsidR="00E83B05">
        <w:rPr>
          <w:rFonts w:ascii="Times New Roman" w:hAnsi="Times New Roman" w:cs="Times New Roman"/>
          <w:sz w:val="24"/>
          <w:szCs w:val="24"/>
        </w:rPr>
        <w:t>health care and cost effect and benefits</w:t>
      </w:r>
      <w:r w:rsidRPr="00E83B05">
        <w:rPr>
          <w:rFonts w:ascii="Times New Roman" w:hAnsi="Times New Roman" w:cs="Times New Roman"/>
          <w:sz w:val="24"/>
          <w:szCs w:val="24"/>
        </w:rPr>
        <w:t xml:space="preserve"> part, analysis of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Pr="00E83B05">
        <w:rPr>
          <w:rFonts w:ascii="Times New Roman" w:hAnsi="Times New Roman" w:cs="Times New Roman"/>
          <w:sz w:val="24"/>
          <w:szCs w:val="24"/>
        </w:rPr>
        <w:t xml:space="preserve">UK’s health care system has been carried out. This has been for facilitating the understanding of </w:t>
      </w:r>
      <w:r w:rsidR="00E57FD4">
        <w:rPr>
          <w:rFonts w:ascii="Times New Roman" w:hAnsi="Times New Roman" w:cs="Times New Roman"/>
          <w:sz w:val="24"/>
          <w:szCs w:val="24"/>
        </w:rPr>
        <w:t xml:space="preserve">the </w:t>
      </w:r>
      <w:r w:rsidRPr="00E83B05">
        <w:rPr>
          <w:rFonts w:ascii="Times New Roman" w:hAnsi="Times New Roman" w:cs="Times New Roman"/>
          <w:sz w:val="24"/>
          <w:szCs w:val="24"/>
        </w:rPr>
        <w:t>interdependent relationship among economies, public health</w:t>
      </w:r>
      <w:r w:rsidR="00E57FD4">
        <w:rPr>
          <w:rFonts w:ascii="Times New Roman" w:hAnsi="Times New Roman" w:cs="Times New Roman"/>
          <w:sz w:val="24"/>
          <w:szCs w:val="24"/>
        </w:rPr>
        <w:t>,</w:t>
      </w:r>
      <w:r w:rsidRPr="00E83B05">
        <w:rPr>
          <w:rFonts w:ascii="Times New Roman" w:hAnsi="Times New Roman" w:cs="Times New Roman"/>
          <w:sz w:val="24"/>
          <w:szCs w:val="24"/>
        </w:rPr>
        <w:t xml:space="preserve"> and health care. </w:t>
      </w:r>
      <w:r w:rsidR="0085071E">
        <w:rPr>
          <w:rFonts w:ascii="Times New Roman" w:hAnsi="Times New Roman" w:cs="Times New Roman"/>
          <w:sz w:val="24"/>
          <w:szCs w:val="24"/>
        </w:rPr>
        <w:t xml:space="preserve">Health institution play a vital role in UK state and also that all over the worldwide state which related </w:t>
      </w:r>
      <w:r w:rsidR="00E57FD4">
        <w:rPr>
          <w:rFonts w:ascii="Times New Roman" w:hAnsi="Times New Roman" w:cs="Times New Roman"/>
          <w:sz w:val="24"/>
          <w:szCs w:val="24"/>
        </w:rPr>
        <w:t>to</w:t>
      </w:r>
      <w:r w:rsidR="0085071E">
        <w:rPr>
          <w:rFonts w:ascii="Times New Roman" w:hAnsi="Times New Roman" w:cs="Times New Roman"/>
          <w:sz w:val="24"/>
          <w:szCs w:val="24"/>
        </w:rPr>
        <w:t xml:space="preserve"> social benefits and cost</w:t>
      </w:r>
      <w:r w:rsidR="00E57FD4">
        <w:rPr>
          <w:rFonts w:ascii="Times New Roman" w:hAnsi="Times New Roman" w:cs="Times New Roman"/>
          <w:sz w:val="24"/>
          <w:szCs w:val="24"/>
        </w:rPr>
        <w:t>-</w:t>
      </w:r>
      <w:r w:rsidR="0085071E">
        <w:rPr>
          <w:rFonts w:ascii="Times New Roman" w:hAnsi="Times New Roman" w:cs="Times New Roman"/>
          <w:sz w:val="24"/>
          <w:szCs w:val="24"/>
        </w:rPr>
        <w:t xml:space="preserve">effectiveness. </w:t>
      </w: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Default="00492CDC" w:rsidP="00492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DC" w:rsidRPr="00492CDC" w:rsidRDefault="00492CDC" w:rsidP="00F45C0F">
      <w:pPr>
        <w:pStyle w:val="Heading1"/>
      </w:pPr>
      <w:bookmarkStart w:id="4" w:name="_Toc8403109"/>
      <w:r w:rsidRPr="00492CDC">
        <w:lastRenderedPageBreak/>
        <w:t>References:</w:t>
      </w:r>
      <w:bookmarkEnd w:id="4"/>
    </w:p>
    <w:p w:rsidR="00492CDC" w:rsidRDefault="00492CDC" w:rsidP="00492CDC">
      <w:pPr>
        <w:jc w:val="both"/>
        <w:rPr>
          <w:rFonts w:ascii="Times New Roman" w:eastAsiaTheme="minorEastAsia" w:hAnsi="Times New Roman" w:cs="Times New Roman"/>
        </w:rPr>
      </w:pPr>
      <w:r w:rsidRPr="00492CDC">
        <w:rPr>
          <w:rFonts w:ascii="Times New Roman" w:eastAsiaTheme="minorEastAsia" w:hAnsi="Times New Roman" w:cs="Times New Roman"/>
        </w:rPr>
        <w:t>Cook, J. E., Purdie-</w:t>
      </w:r>
      <w:proofErr w:type="spellStart"/>
      <w:r w:rsidRPr="00492CDC">
        <w:rPr>
          <w:rFonts w:ascii="Times New Roman" w:eastAsiaTheme="minorEastAsia" w:hAnsi="Times New Roman" w:cs="Times New Roman"/>
        </w:rPr>
        <w:t>Vaughns</w:t>
      </w:r>
      <w:proofErr w:type="spellEnd"/>
      <w:r w:rsidRPr="00492CDC">
        <w:rPr>
          <w:rFonts w:ascii="Times New Roman" w:eastAsiaTheme="minorEastAsia" w:hAnsi="Times New Roman" w:cs="Times New Roman"/>
        </w:rPr>
        <w:t xml:space="preserve">, V., Meyer, I. H., &amp; Busch, J. T. (2014). Intervening within and across levels: A multilevel approach to stigma and public health. Social Science &amp; Medicine, 103, 101-109. Retrieved from </w:t>
      </w:r>
      <w:hyperlink r:id="rId8" w:history="1">
        <w:r w:rsidRPr="000249D4">
          <w:rPr>
            <w:rStyle w:val="Hyperlink"/>
            <w:rFonts w:ascii="Times New Roman" w:eastAsiaTheme="minorEastAsia" w:hAnsi="Times New Roman" w:cs="Times New Roman"/>
          </w:rPr>
          <w:t>http://personal.psu.edu/jec44/pubs/Cook%20et%20al.,%20SSM%20(2014).pdf</w:t>
        </w:r>
      </w:hyperlink>
    </w:p>
    <w:p w:rsidR="00492CDC" w:rsidRPr="00492CDC" w:rsidRDefault="00492CDC" w:rsidP="00492CDC">
      <w:pPr>
        <w:jc w:val="both"/>
        <w:rPr>
          <w:rFonts w:ascii="Times New Roman" w:hAnsi="Times New Roman" w:cs="Times New Roman"/>
        </w:rPr>
      </w:pPr>
    </w:p>
    <w:p w:rsidR="00492CDC" w:rsidRPr="00492CDC" w:rsidRDefault="00492CDC" w:rsidP="00492CDC">
      <w:pPr>
        <w:jc w:val="both"/>
        <w:rPr>
          <w:rFonts w:ascii="Times New Roman" w:hAnsi="Times New Roman" w:cs="Times New Roman"/>
        </w:rPr>
      </w:pPr>
      <w:proofErr w:type="spellStart"/>
      <w:r w:rsidRPr="00492CDC">
        <w:rPr>
          <w:rFonts w:ascii="Times New Roman" w:eastAsiaTheme="minorEastAsia" w:hAnsi="Times New Roman" w:cs="Times New Roman"/>
        </w:rPr>
        <w:t>Edler</w:t>
      </w:r>
      <w:proofErr w:type="spellEnd"/>
      <w:r w:rsidRPr="00492CDC">
        <w:rPr>
          <w:rFonts w:ascii="Times New Roman" w:eastAsiaTheme="minorEastAsia" w:hAnsi="Times New Roman" w:cs="Times New Roman"/>
        </w:rPr>
        <w:t xml:space="preserve">, J., &amp; </w:t>
      </w:r>
      <w:proofErr w:type="spellStart"/>
      <w:r w:rsidRPr="00492CDC">
        <w:rPr>
          <w:rFonts w:ascii="Times New Roman" w:eastAsiaTheme="minorEastAsia" w:hAnsi="Times New Roman" w:cs="Times New Roman"/>
        </w:rPr>
        <w:t>Yeow</w:t>
      </w:r>
      <w:proofErr w:type="spellEnd"/>
      <w:r w:rsidRPr="00492CDC">
        <w:rPr>
          <w:rFonts w:ascii="Times New Roman" w:eastAsiaTheme="minorEastAsia" w:hAnsi="Times New Roman" w:cs="Times New Roman"/>
        </w:rPr>
        <w:t>, J. (2016). Connecting demand and supply: The role of intermediation in public procurement of innovation. Research Policy, 45(2), 414-426. Retrieved from</w:t>
      </w:r>
      <w:hyperlink r:id="rId9" w:history="1">
        <w:r w:rsidRPr="00492CDC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 xml:space="preserve"> https://www.sciencedirect.com/science/article/pii/S0048733315001638</w:t>
        </w:r>
      </w:hyperlink>
    </w:p>
    <w:p w:rsidR="00E83B05" w:rsidRPr="008A37E4" w:rsidRDefault="00E83B05" w:rsidP="00A27F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3B05" w:rsidRPr="008A3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618"/>
    <w:multiLevelType w:val="hybridMultilevel"/>
    <w:tmpl w:val="13621AB8"/>
    <w:lvl w:ilvl="0" w:tplc="52C82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E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88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63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2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6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314DA"/>
    <w:multiLevelType w:val="hybridMultilevel"/>
    <w:tmpl w:val="37E82338"/>
    <w:lvl w:ilvl="0" w:tplc="82EC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8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AD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E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2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7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E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36D8E"/>
    <w:multiLevelType w:val="hybridMultilevel"/>
    <w:tmpl w:val="734CB0C4"/>
    <w:lvl w:ilvl="0" w:tplc="D2E2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C1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E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87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6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EF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05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F55BEC"/>
    <w:multiLevelType w:val="hybridMultilevel"/>
    <w:tmpl w:val="50C889EE"/>
    <w:lvl w:ilvl="0" w:tplc="CEE6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67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A2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E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E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6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22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C16C8F"/>
    <w:multiLevelType w:val="hybridMultilevel"/>
    <w:tmpl w:val="D7FA3DEC"/>
    <w:lvl w:ilvl="0" w:tplc="D3CC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2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E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E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A3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08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D93D5C"/>
    <w:multiLevelType w:val="hybridMultilevel"/>
    <w:tmpl w:val="52D6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BD5"/>
    <w:multiLevelType w:val="hybridMultilevel"/>
    <w:tmpl w:val="C492AE86"/>
    <w:lvl w:ilvl="0" w:tplc="E0CA4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4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2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5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45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2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0MDe2sDA0MTYyMzNS0lEKTi0uzszPAykwrAUAhYBN2CwAAAA="/>
  </w:docVars>
  <w:rsids>
    <w:rsidRoot w:val="008A37E4"/>
    <w:rsid w:val="0002314D"/>
    <w:rsid w:val="00024CA1"/>
    <w:rsid w:val="000C7163"/>
    <w:rsid w:val="000D36E5"/>
    <w:rsid w:val="002A59E7"/>
    <w:rsid w:val="00482903"/>
    <w:rsid w:val="00492CDC"/>
    <w:rsid w:val="0058629F"/>
    <w:rsid w:val="0066369C"/>
    <w:rsid w:val="006F52CA"/>
    <w:rsid w:val="007E2518"/>
    <w:rsid w:val="0085071E"/>
    <w:rsid w:val="008A37E4"/>
    <w:rsid w:val="008F1374"/>
    <w:rsid w:val="009D0CEB"/>
    <w:rsid w:val="00A27F6F"/>
    <w:rsid w:val="00DD4E26"/>
    <w:rsid w:val="00E57FD4"/>
    <w:rsid w:val="00E83B05"/>
    <w:rsid w:val="00EB3AF5"/>
    <w:rsid w:val="00F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BED8"/>
  <w15:chartTrackingRefBased/>
  <w15:docId w15:val="{F816DAA9-1FB9-4020-88C4-E1FE45A8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C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C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5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5C0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5C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psu.edu/jec44/pubs/Cook%20et%20al.,%20SSM%20(2014)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048733315001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E575-44FF-437A-8251-02DEE9FB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Adnan</cp:lastModifiedBy>
  <cp:revision>14</cp:revision>
  <dcterms:created xsi:type="dcterms:W3CDTF">2019-05-10T11:41:00Z</dcterms:created>
  <dcterms:modified xsi:type="dcterms:W3CDTF">2019-05-10T18:46:00Z</dcterms:modified>
</cp:coreProperties>
</file>