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rPr>
        <w:id w:val="-1745182159"/>
        <w:docPartObj>
          <w:docPartGallery w:val="Table of Contents"/>
          <w:docPartUnique/>
        </w:docPartObj>
      </w:sdtPr>
      <w:sdtEndPr>
        <w:rPr>
          <w:b/>
          <w:bCs/>
          <w:noProof/>
        </w:rPr>
      </w:sdtEndPr>
      <w:sdtContent>
        <w:p w:rsidR="000A09AD" w:rsidRDefault="000A09AD">
          <w:pPr>
            <w:pStyle w:val="TOCHeading"/>
          </w:pPr>
          <w:r>
            <w:t>Table of Contents</w:t>
          </w:r>
        </w:p>
        <w:p w:rsidR="007C7D4B" w:rsidRDefault="000A09A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468406" w:history="1">
            <w:r w:rsidR="007C7D4B" w:rsidRPr="006F476D">
              <w:rPr>
                <w:rStyle w:val="Hyperlink"/>
                <w:noProof/>
              </w:rPr>
              <w:t>Introduction</w:t>
            </w:r>
            <w:r w:rsidR="007C7D4B">
              <w:rPr>
                <w:noProof/>
                <w:webHidden/>
              </w:rPr>
              <w:tab/>
            </w:r>
            <w:r w:rsidR="007C7D4B">
              <w:rPr>
                <w:noProof/>
                <w:webHidden/>
              </w:rPr>
              <w:fldChar w:fldCharType="begin"/>
            </w:r>
            <w:r w:rsidR="007C7D4B">
              <w:rPr>
                <w:noProof/>
                <w:webHidden/>
              </w:rPr>
              <w:instrText xml:space="preserve"> PAGEREF _Toc8468406 \h </w:instrText>
            </w:r>
            <w:r w:rsidR="007C7D4B">
              <w:rPr>
                <w:noProof/>
                <w:webHidden/>
              </w:rPr>
            </w:r>
            <w:r w:rsidR="007C7D4B">
              <w:rPr>
                <w:noProof/>
                <w:webHidden/>
              </w:rPr>
              <w:fldChar w:fldCharType="separate"/>
            </w:r>
            <w:r w:rsidR="007C7D4B">
              <w:rPr>
                <w:noProof/>
                <w:webHidden/>
              </w:rPr>
              <w:t>1</w:t>
            </w:r>
            <w:r w:rsidR="007C7D4B">
              <w:rPr>
                <w:noProof/>
                <w:webHidden/>
              </w:rPr>
              <w:fldChar w:fldCharType="end"/>
            </w:r>
          </w:hyperlink>
        </w:p>
        <w:p w:rsidR="007C7D4B" w:rsidRDefault="007C7D4B">
          <w:pPr>
            <w:pStyle w:val="TOC1"/>
            <w:tabs>
              <w:tab w:val="right" w:leader="dot" w:pos="9350"/>
            </w:tabs>
            <w:rPr>
              <w:rFonts w:eastAsiaTheme="minorEastAsia"/>
              <w:noProof/>
            </w:rPr>
          </w:pPr>
          <w:hyperlink w:anchor="_Toc8468407" w:history="1">
            <w:r w:rsidRPr="006F476D">
              <w:rPr>
                <w:rStyle w:val="Hyperlink"/>
                <w:noProof/>
              </w:rPr>
              <w:t>Evaluation of IPO amount</w:t>
            </w:r>
            <w:r>
              <w:rPr>
                <w:noProof/>
                <w:webHidden/>
              </w:rPr>
              <w:tab/>
            </w:r>
            <w:r>
              <w:rPr>
                <w:noProof/>
                <w:webHidden/>
              </w:rPr>
              <w:fldChar w:fldCharType="begin"/>
            </w:r>
            <w:r>
              <w:rPr>
                <w:noProof/>
                <w:webHidden/>
              </w:rPr>
              <w:instrText xml:space="preserve"> PAGEREF _Toc8468407 \h </w:instrText>
            </w:r>
            <w:r>
              <w:rPr>
                <w:noProof/>
                <w:webHidden/>
              </w:rPr>
            </w:r>
            <w:r>
              <w:rPr>
                <w:noProof/>
                <w:webHidden/>
              </w:rPr>
              <w:fldChar w:fldCharType="separate"/>
            </w:r>
            <w:r>
              <w:rPr>
                <w:noProof/>
                <w:webHidden/>
              </w:rPr>
              <w:t>2</w:t>
            </w:r>
            <w:r>
              <w:rPr>
                <w:noProof/>
                <w:webHidden/>
              </w:rPr>
              <w:fldChar w:fldCharType="end"/>
            </w:r>
          </w:hyperlink>
        </w:p>
        <w:p w:rsidR="007C7D4B" w:rsidRDefault="007C7D4B">
          <w:pPr>
            <w:pStyle w:val="TOC1"/>
            <w:tabs>
              <w:tab w:val="right" w:leader="dot" w:pos="9350"/>
            </w:tabs>
            <w:rPr>
              <w:rFonts w:eastAsiaTheme="minorEastAsia"/>
              <w:noProof/>
            </w:rPr>
          </w:pPr>
          <w:hyperlink w:anchor="_Toc8468408" w:history="1">
            <w:r w:rsidRPr="006F476D">
              <w:rPr>
                <w:rStyle w:val="Hyperlink"/>
                <w:noProof/>
              </w:rPr>
              <w:t>IPO is a costly way for listing</w:t>
            </w:r>
            <w:r>
              <w:rPr>
                <w:noProof/>
                <w:webHidden/>
              </w:rPr>
              <w:tab/>
            </w:r>
            <w:r>
              <w:rPr>
                <w:noProof/>
                <w:webHidden/>
              </w:rPr>
              <w:fldChar w:fldCharType="begin"/>
            </w:r>
            <w:r>
              <w:rPr>
                <w:noProof/>
                <w:webHidden/>
              </w:rPr>
              <w:instrText xml:space="preserve"> PAGEREF _Toc8468408 \h </w:instrText>
            </w:r>
            <w:r>
              <w:rPr>
                <w:noProof/>
                <w:webHidden/>
              </w:rPr>
            </w:r>
            <w:r>
              <w:rPr>
                <w:noProof/>
                <w:webHidden/>
              </w:rPr>
              <w:fldChar w:fldCharType="separate"/>
            </w:r>
            <w:r>
              <w:rPr>
                <w:noProof/>
                <w:webHidden/>
              </w:rPr>
              <w:t>3</w:t>
            </w:r>
            <w:r>
              <w:rPr>
                <w:noProof/>
                <w:webHidden/>
              </w:rPr>
              <w:fldChar w:fldCharType="end"/>
            </w:r>
          </w:hyperlink>
        </w:p>
        <w:p w:rsidR="007C7D4B" w:rsidRDefault="007C7D4B">
          <w:pPr>
            <w:pStyle w:val="TOC1"/>
            <w:tabs>
              <w:tab w:val="right" w:leader="dot" w:pos="9350"/>
            </w:tabs>
            <w:rPr>
              <w:rFonts w:eastAsiaTheme="minorEastAsia"/>
              <w:noProof/>
            </w:rPr>
          </w:pPr>
          <w:hyperlink w:anchor="_Toc8468409" w:history="1">
            <w:r w:rsidRPr="006F476D">
              <w:rPr>
                <w:rStyle w:val="Hyperlink"/>
                <w:noProof/>
              </w:rPr>
              <w:t>Equity raised from IPO change cost of Capital</w:t>
            </w:r>
            <w:r>
              <w:rPr>
                <w:noProof/>
                <w:webHidden/>
              </w:rPr>
              <w:tab/>
            </w:r>
            <w:r>
              <w:rPr>
                <w:noProof/>
                <w:webHidden/>
              </w:rPr>
              <w:fldChar w:fldCharType="begin"/>
            </w:r>
            <w:r>
              <w:rPr>
                <w:noProof/>
                <w:webHidden/>
              </w:rPr>
              <w:instrText xml:space="preserve"> PAGEREF _Toc8468409 \h </w:instrText>
            </w:r>
            <w:r>
              <w:rPr>
                <w:noProof/>
                <w:webHidden/>
              </w:rPr>
            </w:r>
            <w:r>
              <w:rPr>
                <w:noProof/>
                <w:webHidden/>
              </w:rPr>
              <w:fldChar w:fldCharType="separate"/>
            </w:r>
            <w:r>
              <w:rPr>
                <w:noProof/>
                <w:webHidden/>
              </w:rPr>
              <w:t>4</w:t>
            </w:r>
            <w:r>
              <w:rPr>
                <w:noProof/>
                <w:webHidden/>
              </w:rPr>
              <w:fldChar w:fldCharType="end"/>
            </w:r>
          </w:hyperlink>
        </w:p>
        <w:p w:rsidR="007C7D4B" w:rsidRDefault="007C7D4B">
          <w:pPr>
            <w:pStyle w:val="TOC1"/>
            <w:tabs>
              <w:tab w:val="right" w:leader="dot" w:pos="9350"/>
            </w:tabs>
            <w:rPr>
              <w:rFonts w:eastAsiaTheme="minorEastAsia"/>
              <w:noProof/>
            </w:rPr>
          </w:pPr>
          <w:hyperlink w:anchor="_Toc8468410" w:history="1">
            <w:r w:rsidRPr="006F476D">
              <w:rPr>
                <w:rStyle w:val="Hyperlink"/>
                <w:rFonts w:ascii="Times New Roman" w:hAnsi="Times New Roman" w:cs="Times New Roman"/>
                <w:noProof/>
              </w:rPr>
              <w:t>(d)</w:t>
            </w:r>
            <w:r>
              <w:rPr>
                <w:noProof/>
                <w:webHidden/>
              </w:rPr>
              <w:tab/>
            </w:r>
            <w:r>
              <w:rPr>
                <w:noProof/>
                <w:webHidden/>
              </w:rPr>
              <w:fldChar w:fldCharType="begin"/>
            </w:r>
            <w:r>
              <w:rPr>
                <w:noProof/>
                <w:webHidden/>
              </w:rPr>
              <w:instrText xml:space="preserve"> PAGEREF _Toc8468410 \h </w:instrText>
            </w:r>
            <w:r>
              <w:rPr>
                <w:noProof/>
                <w:webHidden/>
              </w:rPr>
            </w:r>
            <w:r>
              <w:rPr>
                <w:noProof/>
                <w:webHidden/>
              </w:rPr>
              <w:fldChar w:fldCharType="separate"/>
            </w:r>
            <w:r>
              <w:rPr>
                <w:noProof/>
                <w:webHidden/>
              </w:rPr>
              <w:t>6</w:t>
            </w:r>
            <w:r>
              <w:rPr>
                <w:noProof/>
                <w:webHidden/>
              </w:rPr>
              <w:fldChar w:fldCharType="end"/>
            </w:r>
          </w:hyperlink>
        </w:p>
        <w:p w:rsidR="007C7D4B" w:rsidRDefault="007C7D4B">
          <w:pPr>
            <w:pStyle w:val="TOC1"/>
            <w:tabs>
              <w:tab w:val="right" w:leader="dot" w:pos="9350"/>
            </w:tabs>
            <w:rPr>
              <w:rFonts w:eastAsiaTheme="minorEastAsia"/>
              <w:noProof/>
            </w:rPr>
          </w:pPr>
          <w:hyperlink w:anchor="_Toc8468411" w:history="1">
            <w:r w:rsidRPr="006F476D">
              <w:rPr>
                <w:rStyle w:val="Hyperlink"/>
                <w:noProof/>
              </w:rPr>
              <w:t>IPO analysis during period 2007 to 2017</w:t>
            </w:r>
            <w:r>
              <w:rPr>
                <w:noProof/>
                <w:webHidden/>
              </w:rPr>
              <w:tab/>
            </w:r>
            <w:r>
              <w:rPr>
                <w:noProof/>
                <w:webHidden/>
              </w:rPr>
              <w:fldChar w:fldCharType="begin"/>
            </w:r>
            <w:r>
              <w:rPr>
                <w:noProof/>
                <w:webHidden/>
              </w:rPr>
              <w:instrText xml:space="preserve"> PAGEREF _Toc8468411 \h </w:instrText>
            </w:r>
            <w:r>
              <w:rPr>
                <w:noProof/>
                <w:webHidden/>
              </w:rPr>
            </w:r>
            <w:r>
              <w:rPr>
                <w:noProof/>
                <w:webHidden/>
              </w:rPr>
              <w:fldChar w:fldCharType="separate"/>
            </w:r>
            <w:r>
              <w:rPr>
                <w:noProof/>
                <w:webHidden/>
              </w:rPr>
              <w:t>6</w:t>
            </w:r>
            <w:r>
              <w:rPr>
                <w:noProof/>
                <w:webHidden/>
              </w:rPr>
              <w:fldChar w:fldCharType="end"/>
            </w:r>
          </w:hyperlink>
        </w:p>
        <w:p w:rsidR="007C7D4B" w:rsidRDefault="007C7D4B">
          <w:pPr>
            <w:pStyle w:val="TOC1"/>
            <w:tabs>
              <w:tab w:val="right" w:leader="dot" w:pos="9350"/>
            </w:tabs>
            <w:rPr>
              <w:rFonts w:eastAsiaTheme="minorEastAsia"/>
              <w:noProof/>
            </w:rPr>
          </w:pPr>
          <w:hyperlink w:anchor="_Toc8468412" w:history="1">
            <w:r w:rsidRPr="006F476D">
              <w:rPr>
                <w:rStyle w:val="Hyperlink"/>
                <w:rFonts w:ascii="Times New Roman" w:hAnsi="Times New Roman" w:cs="Times New Roman"/>
                <w:noProof/>
              </w:rPr>
              <w:t>XERO on ASX</w:t>
            </w:r>
            <w:r>
              <w:rPr>
                <w:noProof/>
                <w:webHidden/>
              </w:rPr>
              <w:tab/>
            </w:r>
            <w:r>
              <w:rPr>
                <w:noProof/>
                <w:webHidden/>
              </w:rPr>
              <w:fldChar w:fldCharType="begin"/>
            </w:r>
            <w:r>
              <w:rPr>
                <w:noProof/>
                <w:webHidden/>
              </w:rPr>
              <w:instrText xml:space="preserve"> PAGEREF _Toc8468412 \h </w:instrText>
            </w:r>
            <w:r>
              <w:rPr>
                <w:noProof/>
                <w:webHidden/>
              </w:rPr>
            </w:r>
            <w:r>
              <w:rPr>
                <w:noProof/>
                <w:webHidden/>
              </w:rPr>
              <w:fldChar w:fldCharType="separate"/>
            </w:r>
            <w:r>
              <w:rPr>
                <w:noProof/>
                <w:webHidden/>
              </w:rPr>
              <w:t>6</w:t>
            </w:r>
            <w:r>
              <w:rPr>
                <w:noProof/>
                <w:webHidden/>
              </w:rPr>
              <w:fldChar w:fldCharType="end"/>
            </w:r>
          </w:hyperlink>
        </w:p>
        <w:p w:rsidR="007C7D4B" w:rsidRDefault="007C7D4B">
          <w:pPr>
            <w:pStyle w:val="TOC1"/>
            <w:tabs>
              <w:tab w:val="right" w:leader="dot" w:pos="9350"/>
            </w:tabs>
            <w:rPr>
              <w:rFonts w:eastAsiaTheme="minorEastAsia"/>
              <w:noProof/>
            </w:rPr>
          </w:pPr>
          <w:hyperlink w:anchor="_Toc8468413" w:history="1">
            <w:r w:rsidRPr="006F476D">
              <w:rPr>
                <w:rStyle w:val="Hyperlink"/>
                <w:noProof/>
              </w:rPr>
              <w:t>References</w:t>
            </w:r>
            <w:r>
              <w:rPr>
                <w:noProof/>
                <w:webHidden/>
              </w:rPr>
              <w:tab/>
            </w:r>
            <w:r>
              <w:rPr>
                <w:noProof/>
                <w:webHidden/>
              </w:rPr>
              <w:fldChar w:fldCharType="begin"/>
            </w:r>
            <w:r>
              <w:rPr>
                <w:noProof/>
                <w:webHidden/>
              </w:rPr>
              <w:instrText xml:space="preserve"> PAGEREF _Toc8468413 \h </w:instrText>
            </w:r>
            <w:r>
              <w:rPr>
                <w:noProof/>
                <w:webHidden/>
              </w:rPr>
            </w:r>
            <w:r>
              <w:rPr>
                <w:noProof/>
                <w:webHidden/>
              </w:rPr>
              <w:fldChar w:fldCharType="separate"/>
            </w:r>
            <w:r>
              <w:rPr>
                <w:noProof/>
                <w:webHidden/>
              </w:rPr>
              <w:t>8</w:t>
            </w:r>
            <w:r>
              <w:rPr>
                <w:noProof/>
                <w:webHidden/>
              </w:rPr>
              <w:fldChar w:fldCharType="end"/>
            </w:r>
          </w:hyperlink>
        </w:p>
        <w:p w:rsidR="000A09AD" w:rsidRDefault="000A09AD">
          <w:r>
            <w:rPr>
              <w:b/>
              <w:bCs/>
              <w:noProof/>
            </w:rPr>
            <w:fldChar w:fldCharType="end"/>
          </w:r>
        </w:p>
      </w:sdtContent>
    </w:sdt>
    <w:p w:rsidR="000E053A" w:rsidRDefault="000E053A" w:rsidP="000E053A">
      <w:pPr>
        <w:pStyle w:val="Heading1"/>
      </w:pPr>
    </w:p>
    <w:p w:rsidR="000E053A" w:rsidRDefault="000E053A" w:rsidP="000E053A">
      <w:pPr>
        <w:pStyle w:val="Heading1"/>
      </w:pPr>
    </w:p>
    <w:p w:rsidR="000E053A" w:rsidRDefault="000E053A" w:rsidP="000E053A">
      <w:pPr>
        <w:pStyle w:val="Heading1"/>
      </w:pPr>
    </w:p>
    <w:p w:rsidR="00841D49" w:rsidRPr="000E053A" w:rsidRDefault="00F13637" w:rsidP="000E053A">
      <w:pPr>
        <w:pStyle w:val="Heading1"/>
      </w:pPr>
      <w:bookmarkStart w:id="0" w:name="_Toc8468406"/>
      <w:r w:rsidRPr="000E053A">
        <w:t>Introduction</w:t>
      </w:r>
      <w:bookmarkEnd w:id="0"/>
      <w:r w:rsidRPr="000E053A">
        <w:t xml:space="preserve"> </w:t>
      </w:r>
    </w:p>
    <w:p w:rsidR="00E136B9" w:rsidRPr="00262B6E" w:rsidRDefault="001A141A" w:rsidP="00262B6E">
      <w:pPr>
        <w:spacing w:line="276" w:lineRule="auto"/>
        <w:jc w:val="both"/>
        <w:rPr>
          <w:rFonts w:ascii="Times New Roman" w:hAnsi="Times New Roman" w:cs="Times New Roman"/>
        </w:rPr>
      </w:pPr>
      <w:r w:rsidRPr="00262B6E">
        <w:rPr>
          <w:rFonts w:ascii="Times New Roman" w:hAnsi="Times New Roman" w:cs="Times New Roman"/>
        </w:rPr>
        <w:t xml:space="preserve">Initial public offer is a way in which </w:t>
      </w:r>
      <w:r w:rsidR="000E053A">
        <w:rPr>
          <w:rFonts w:ascii="Times New Roman" w:hAnsi="Times New Roman" w:cs="Times New Roman"/>
        </w:rPr>
        <w:t xml:space="preserve">an </w:t>
      </w:r>
      <w:r w:rsidRPr="00262B6E">
        <w:rPr>
          <w:rFonts w:ascii="Times New Roman" w:hAnsi="Times New Roman" w:cs="Times New Roman"/>
        </w:rPr>
        <w:t xml:space="preserve">organization (Private organization) make their shares available to the general public to purchase. After the issuance of their shares the statues from private organization change into public or listed company. The process of selling shares can proceed through </w:t>
      </w:r>
      <w:r w:rsidR="000E053A">
        <w:rPr>
          <w:rFonts w:ascii="Times New Roman" w:hAnsi="Times New Roman" w:cs="Times New Roman"/>
        </w:rPr>
        <w:t xml:space="preserve">the </w:t>
      </w:r>
      <w:r w:rsidRPr="00262B6E">
        <w:rPr>
          <w:rFonts w:ascii="Times New Roman" w:hAnsi="Times New Roman" w:cs="Times New Roman"/>
        </w:rPr>
        <w:t xml:space="preserve">general public of financial institutions. As the share is available in </w:t>
      </w:r>
      <w:r w:rsidR="000E053A">
        <w:rPr>
          <w:rFonts w:ascii="Times New Roman" w:hAnsi="Times New Roman" w:cs="Times New Roman"/>
        </w:rPr>
        <w:t xml:space="preserve">the </w:t>
      </w:r>
      <w:r w:rsidRPr="00262B6E">
        <w:rPr>
          <w:rFonts w:ascii="Times New Roman" w:hAnsi="Times New Roman" w:cs="Times New Roman"/>
        </w:rPr>
        <w:t>market the general public can buy and sell shares openly which is known as “Trading”. In Australia</w:t>
      </w:r>
      <w:r w:rsidR="000E053A">
        <w:rPr>
          <w:rFonts w:ascii="Times New Roman" w:hAnsi="Times New Roman" w:cs="Times New Roman"/>
        </w:rPr>
        <w:t>,</w:t>
      </w:r>
      <w:r w:rsidRPr="00262B6E">
        <w:rPr>
          <w:rFonts w:ascii="Times New Roman" w:hAnsi="Times New Roman" w:cs="Times New Roman"/>
        </w:rPr>
        <w:t xml:space="preserve"> the body is known as “Australian Stock Exchange”, ASX. Investing in initial public issue is sometime</w:t>
      </w:r>
      <w:r w:rsidR="000E053A">
        <w:rPr>
          <w:rFonts w:ascii="Times New Roman" w:hAnsi="Times New Roman" w:cs="Times New Roman"/>
        </w:rPr>
        <w:t>s</w:t>
      </w:r>
      <w:r w:rsidRPr="00262B6E">
        <w:rPr>
          <w:rFonts w:ascii="Times New Roman" w:hAnsi="Times New Roman" w:cs="Times New Roman"/>
        </w:rPr>
        <w:t xml:space="preserve"> very advantageous, as most of the time companies share price increase after IPO, investing </w:t>
      </w:r>
      <w:r w:rsidR="000E053A">
        <w:rPr>
          <w:rFonts w:ascii="Times New Roman" w:hAnsi="Times New Roman" w:cs="Times New Roman"/>
        </w:rPr>
        <w:t xml:space="preserve">a </w:t>
      </w:r>
      <w:r w:rsidRPr="00262B6E">
        <w:rPr>
          <w:rFonts w:ascii="Times New Roman" w:hAnsi="Times New Roman" w:cs="Times New Roman"/>
        </w:rPr>
        <w:t xml:space="preserve">few </w:t>
      </w:r>
      <w:r w:rsidR="00E136B9" w:rsidRPr="00262B6E">
        <w:rPr>
          <w:rFonts w:ascii="Times New Roman" w:hAnsi="Times New Roman" w:cs="Times New Roman"/>
        </w:rPr>
        <w:t>dollar</w:t>
      </w:r>
      <w:r w:rsidR="000E053A">
        <w:rPr>
          <w:rFonts w:ascii="Times New Roman" w:hAnsi="Times New Roman" w:cs="Times New Roman"/>
        </w:rPr>
        <w:t>s</w:t>
      </w:r>
      <w:r w:rsidR="00E136B9" w:rsidRPr="00262B6E">
        <w:rPr>
          <w:rFonts w:ascii="Times New Roman" w:hAnsi="Times New Roman" w:cs="Times New Roman"/>
        </w:rPr>
        <w:t xml:space="preserve"> in some good name companies return back a handsome amount</w:t>
      </w:r>
      <w:r w:rsidR="000E053A">
        <w:rPr>
          <w:rFonts w:ascii="Times New Roman" w:hAnsi="Times New Roman" w:cs="Times New Roman"/>
        </w:rPr>
        <w:t>,</w:t>
      </w:r>
      <w:sdt>
        <w:sdtPr>
          <w:rPr>
            <w:rFonts w:ascii="Times New Roman" w:hAnsi="Times New Roman" w:cs="Times New Roman"/>
          </w:rPr>
          <w:id w:val="1402803359"/>
          <w:citation/>
        </w:sdtPr>
        <w:sdtEndPr/>
        <w:sdtContent>
          <w:r w:rsidR="000E053A">
            <w:rPr>
              <w:rFonts w:ascii="Times New Roman" w:hAnsi="Times New Roman" w:cs="Times New Roman"/>
            </w:rPr>
            <w:fldChar w:fldCharType="begin"/>
          </w:r>
          <w:r w:rsidR="000E053A">
            <w:rPr>
              <w:rFonts w:ascii="Times New Roman" w:hAnsi="Times New Roman" w:cs="Times New Roman"/>
            </w:rPr>
            <w:instrText xml:space="preserve"> CITATION Rit02 \l 1033 </w:instrText>
          </w:r>
          <w:r w:rsidR="000E053A">
            <w:rPr>
              <w:rFonts w:ascii="Times New Roman" w:hAnsi="Times New Roman" w:cs="Times New Roman"/>
            </w:rPr>
            <w:fldChar w:fldCharType="separate"/>
          </w:r>
          <w:r w:rsidR="000E053A">
            <w:rPr>
              <w:rFonts w:ascii="Times New Roman" w:hAnsi="Times New Roman" w:cs="Times New Roman"/>
              <w:noProof/>
            </w:rPr>
            <w:t xml:space="preserve"> </w:t>
          </w:r>
          <w:r w:rsidR="000E053A" w:rsidRPr="000E053A">
            <w:rPr>
              <w:rFonts w:ascii="Times New Roman" w:hAnsi="Times New Roman" w:cs="Times New Roman"/>
              <w:noProof/>
            </w:rPr>
            <w:t>(Ritter, 2002)</w:t>
          </w:r>
          <w:r w:rsidR="000E053A">
            <w:rPr>
              <w:rFonts w:ascii="Times New Roman" w:hAnsi="Times New Roman" w:cs="Times New Roman"/>
            </w:rPr>
            <w:fldChar w:fldCharType="end"/>
          </w:r>
        </w:sdtContent>
      </w:sdt>
      <w:r w:rsidR="00E136B9" w:rsidRPr="00262B6E">
        <w:rPr>
          <w:rFonts w:ascii="Times New Roman" w:hAnsi="Times New Roman" w:cs="Times New Roman"/>
        </w:rPr>
        <w:t>.</w:t>
      </w:r>
    </w:p>
    <w:p w:rsidR="001A141A" w:rsidRPr="00262B6E" w:rsidRDefault="00E136B9" w:rsidP="00262B6E">
      <w:pPr>
        <w:spacing w:line="276" w:lineRule="auto"/>
        <w:jc w:val="both"/>
        <w:rPr>
          <w:rFonts w:ascii="Times New Roman" w:hAnsi="Times New Roman" w:cs="Times New Roman"/>
        </w:rPr>
      </w:pPr>
      <w:r w:rsidRPr="00262B6E">
        <w:rPr>
          <w:rFonts w:ascii="Times New Roman" w:hAnsi="Times New Roman" w:cs="Times New Roman"/>
        </w:rPr>
        <w:t>It is not obvious that every IPO will perform good, it depends on the company polic</w:t>
      </w:r>
      <w:r w:rsidR="000E053A">
        <w:rPr>
          <w:rFonts w:ascii="Times New Roman" w:hAnsi="Times New Roman" w:cs="Times New Roman"/>
        </w:rPr>
        <w:t>i</w:t>
      </w:r>
      <w:r w:rsidRPr="00262B6E">
        <w:rPr>
          <w:rFonts w:ascii="Times New Roman" w:hAnsi="Times New Roman" w:cs="Times New Roman"/>
        </w:rPr>
        <w:t>es and management behavior towards the buying of shares, some companies outperform in first</w:t>
      </w:r>
      <w:r w:rsidR="000E053A">
        <w:rPr>
          <w:rFonts w:ascii="Times New Roman" w:hAnsi="Times New Roman" w:cs="Times New Roman"/>
        </w:rPr>
        <w:t>-</w:t>
      </w:r>
      <w:r w:rsidRPr="00262B6E">
        <w:rPr>
          <w:rFonts w:ascii="Times New Roman" w:hAnsi="Times New Roman" w:cs="Times New Roman"/>
        </w:rPr>
        <w:t>day trading and their share price increase which is known as “Underpricing “.</w:t>
      </w:r>
    </w:p>
    <w:p w:rsidR="00E136B9" w:rsidRPr="00262B6E" w:rsidRDefault="00E136B9" w:rsidP="00262B6E">
      <w:pPr>
        <w:spacing w:line="276" w:lineRule="auto"/>
        <w:jc w:val="both"/>
        <w:rPr>
          <w:rFonts w:ascii="Times New Roman" w:hAnsi="Times New Roman" w:cs="Times New Roman"/>
        </w:rPr>
      </w:pPr>
      <w:r w:rsidRPr="00262B6E">
        <w:rPr>
          <w:rFonts w:ascii="Times New Roman" w:hAnsi="Times New Roman" w:cs="Times New Roman"/>
        </w:rPr>
        <w:t xml:space="preserve">I have selected three companies </w:t>
      </w:r>
      <w:r w:rsidR="000E053A">
        <w:rPr>
          <w:rFonts w:ascii="Times New Roman" w:hAnsi="Times New Roman" w:cs="Times New Roman"/>
        </w:rPr>
        <w:t xml:space="preserve">to </w:t>
      </w:r>
      <w:r w:rsidRPr="00262B6E">
        <w:rPr>
          <w:rFonts w:ascii="Times New Roman" w:hAnsi="Times New Roman" w:cs="Times New Roman"/>
        </w:rPr>
        <w:t>form three different sectors, which have</w:t>
      </w:r>
      <w:r w:rsidR="000E053A">
        <w:rPr>
          <w:rFonts w:ascii="Times New Roman" w:hAnsi="Times New Roman" w:cs="Times New Roman"/>
        </w:rPr>
        <w:t xml:space="preserve"> to</w:t>
      </w:r>
      <w:r w:rsidRPr="00262B6E">
        <w:rPr>
          <w:rFonts w:ascii="Times New Roman" w:hAnsi="Times New Roman" w:cs="Times New Roman"/>
        </w:rPr>
        <w:t xml:space="preserve"> raise capital more than $100million, and their IPO occur</w:t>
      </w:r>
      <w:r w:rsidR="000E053A">
        <w:rPr>
          <w:rFonts w:ascii="Times New Roman" w:hAnsi="Times New Roman" w:cs="Times New Roman"/>
        </w:rPr>
        <w:t>s</w:t>
      </w:r>
      <w:r w:rsidRPr="00262B6E">
        <w:rPr>
          <w:rFonts w:ascii="Times New Roman" w:hAnsi="Times New Roman" w:cs="Times New Roman"/>
        </w:rPr>
        <w:t xml:space="preserve"> </w:t>
      </w:r>
      <w:r w:rsidR="000E053A">
        <w:rPr>
          <w:rFonts w:ascii="Times New Roman" w:hAnsi="Times New Roman" w:cs="Times New Roman"/>
        </w:rPr>
        <w:t>from 2007-</w:t>
      </w:r>
      <w:r w:rsidRPr="00262B6E">
        <w:rPr>
          <w:rFonts w:ascii="Times New Roman" w:hAnsi="Times New Roman" w:cs="Times New Roman"/>
        </w:rPr>
        <w:t>2013. The companies are,</w:t>
      </w:r>
    </w:p>
    <w:tbl>
      <w:tblPr>
        <w:tblW w:w="9494" w:type="dxa"/>
        <w:tblInd w:w="-5" w:type="dxa"/>
        <w:tblLook w:val="04A0" w:firstRow="1" w:lastRow="0" w:firstColumn="1" w:lastColumn="0" w:noHBand="0" w:noVBand="1"/>
      </w:tblPr>
      <w:tblGrid>
        <w:gridCol w:w="1295"/>
        <w:gridCol w:w="1788"/>
        <w:gridCol w:w="846"/>
        <w:gridCol w:w="1230"/>
        <w:gridCol w:w="851"/>
        <w:gridCol w:w="1928"/>
        <w:gridCol w:w="1556"/>
      </w:tblGrid>
      <w:tr w:rsidR="00E136B9" w:rsidRPr="00262B6E" w:rsidTr="00E136B9">
        <w:trPr>
          <w:trHeight w:val="146"/>
        </w:trPr>
        <w:tc>
          <w:tcPr>
            <w:tcW w:w="12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6B9" w:rsidRPr="00262B6E" w:rsidRDefault="00E136B9" w:rsidP="00262B6E">
            <w:pPr>
              <w:spacing w:after="0" w:line="276" w:lineRule="auto"/>
              <w:jc w:val="both"/>
              <w:rPr>
                <w:rFonts w:ascii="Times New Roman" w:eastAsia="Times New Roman" w:hAnsi="Times New Roman" w:cs="Times New Roman"/>
                <w:b/>
                <w:bCs/>
              </w:rPr>
            </w:pPr>
            <w:r w:rsidRPr="00262B6E">
              <w:rPr>
                <w:rFonts w:ascii="Times New Roman" w:eastAsia="Times New Roman" w:hAnsi="Times New Roman" w:cs="Times New Roman"/>
                <w:b/>
                <w:bCs/>
              </w:rPr>
              <w:t>Company</w:t>
            </w:r>
          </w:p>
        </w:tc>
        <w:tc>
          <w:tcPr>
            <w:tcW w:w="1788" w:type="dxa"/>
            <w:tcBorders>
              <w:top w:val="single" w:sz="4" w:space="0" w:color="auto"/>
              <w:left w:val="nil"/>
              <w:bottom w:val="single" w:sz="4" w:space="0" w:color="auto"/>
              <w:right w:val="single" w:sz="4" w:space="0" w:color="auto"/>
            </w:tcBorders>
            <w:shd w:val="clear" w:color="auto" w:fill="auto"/>
            <w:noWrap/>
            <w:vAlign w:val="bottom"/>
            <w:hideMark/>
          </w:tcPr>
          <w:p w:rsidR="00E136B9" w:rsidRPr="00262B6E" w:rsidRDefault="00E136B9" w:rsidP="00262B6E">
            <w:pPr>
              <w:spacing w:after="0" w:line="276" w:lineRule="auto"/>
              <w:jc w:val="both"/>
              <w:rPr>
                <w:rFonts w:ascii="Times New Roman" w:eastAsia="Times New Roman" w:hAnsi="Times New Roman" w:cs="Times New Roman"/>
                <w:b/>
                <w:bCs/>
              </w:rPr>
            </w:pPr>
            <w:r w:rsidRPr="00262B6E">
              <w:rPr>
                <w:rFonts w:ascii="Times New Roman" w:eastAsia="Times New Roman" w:hAnsi="Times New Roman" w:cs="Times New Roman"/>
                <w:b/>
                <w:bCs/>
              </w:rPr>
              <w:t>Industry</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E136B9" w:rsidRPr="00262B6E" w:rsidRDefault="00E136B9" w:rsidP="00262B6E">
            <w:pPr>
              <w:spacing w:after="0" w:line="276" w:lineRule="auto"/>
              <w:jc w:val="both"/>
              <w:rPr>
                <w:rFonts w:ascii="Times New Roman" w:eastAsia="Times New Roman" w:hAnsi="Times New Roman" w:cs="Times New Roman"/>
                <w:b/>
                <w:bCs/>
              </w:rPr>
            </w:pPr>
            <w:r w:rsidRPr="00262B6E">
              <w:rPr>
                <w:rFonts w:ascii="Times New Roman" w:eastAsia="Times New Roman" w:hAnsi="Times New Roman" w:cs="Times New Roman"/>
                <w:b/>
                <w:bCs/>
              </w:rPr>
              <w:t>Date of IPO</w:t>
            </w:r>
          </w:p>
        </w:tc>
        <w:tc>
          <w:tcPr>
            <w:tcW w:w="1230" w:type="dxa"/>
            <w:tcBorders>
              <w:top w:val="single" w:sz="4" w:space="0" w:color="auto"/>
              <w:left w:val="nil"/>
              <w:bottom w:val="single" w:sz="4" w:space="0" w:color="auto"/>
              <w:right w:val="single" w:sz="4" w:space="0" w:color="auto"/>
            </w:tcBorders>
            <w:shd w:val="clear" w:color="auto" w:fill="auto"/>
            <w:noWrap/>
            <w:vAlign w:val="bottom"/>
            <w:hideMark/>
          </w:tcPr>
          <w:p w:rsidR="00E136B9" w:rsidRPr="00262B6E" w:rsidRDefault="00E136B9" w:rsidP="00262B6E">
            <w:pPr>
              <w:spacing w:after="0" w:line="276" w:lineRule="auto"/>
              <w:jc w:val="both"/>
              <w:rPr>
                <w:rFonts w:ascii="Times New Roman" w:eastAsia="Times New Roman" w:hAnsi="Times New Roman" w:cs="Times New Roman"/>
                <w:b/>
                <w:bCs/>
              </w:rPr>
            </w:pPr>
            <w:r w:rsidRPr="00262B6E">
              <w:rPr>
                <w:rFonts w:ascii="Times New Roman" w:eastAsia="Times New Roman" w:hAnsi="Times New Roman" w:cs="Times New Roman"/>
                <w:b/>
                <w:bCs/>
              </w:rPr>
              <w:t>Amount Raised</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136B9" w:rsidRPr="00262B6E" w:rsidRDefault="00E136B9" w:rsidP="00262B6E">
            <w:pPr>
              <w:spacing w:after="0" w:line="276" w:lineRule="auto"/>
              <w:jc w:val="both"/>
              <w:rPr>
                <w:rFonts w:ascii="Times New Roman" w:eastAsia="Times New Roman" w:hAnsi="Times New Roman" w:cs="Times New Roman"/>
                <w:b/>
                <w:bCs/>
              </w:rPr>
            </w:pPr>
            <w:r w:rsidRPr="00262B6E">
              <w:rPr>
                <w:rFonts w:ascii="Times New Roman" w:eastAsia="Times New Roman" w:hAnsi="Times New Roman" w:cs="Times New Roman"/>
                <w:b/>
                <w:bCs/>
              </w:rPr>
              <w:t>Offer price</w:t>
            </w:r>
          </w:p>
        </w:tc>
        <w:tc>
          <w:tcPr>
            <w:tcW w:w="1928" w:type="dxa"/>
            <w:tcBorders>
              <w:top w:val="single" w:sz="4" w:space="0" w:color="auto"/>
              <w:left w:val="nil"/>
              <w:bottom w:val="single" w:sz="4" w:space="0" w:color="auto"/>
              <w:right w:val="single" w:sz="4" w:space="0" w:color="auto"/>
            </w:tcBorders>
            <w:shd w:val="clear" w:color="auto" w:fill="auto"/>
            <w:noWrap/>
            <w:vAlign w:val="bottom"/>
            <w:hideMark/>
          </w:tcPr>
          <w:p w:rsidR="00E136B9" w:rsidRPr="00262B6E" w:rsidRDefault="00E136B9" w:rsidP="00262B6E">
            <w:pPr>
              <w:spacing w:after="0" w:line="276" w:lineRule="auto"/>
              <w:jc w:val="both"/>
              <w:rPr>
                <w:rFonts w:ascii="Times New Roman" w:eastAsia="Times New Roman" w:hAnsi="Times New Roman" w:cs="Times New Roman"/>
                <w:b/>
                <w:bCs/>
              </w:rPr>
            </w:pPr>
            <w:r w:rsidRPr="00262B6E">
              <w:rPr>
                <w:rFonts w:ascii="Times New Roman" w:eastAsia="Times New Roman" w:hAnsi="Times New Roman" w:cs="Times New Roman"/>
                <w:b/>
                <w:bCs/>
              </w:rPr>
              <w:t>Closing price on the first day of trading</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rsidR="00E136B9" w:rsidRPr="00262B6E" w:rsidRDefault="00E136B9" w:rsidP="00262B6E">
            <w:pPr>
              <w:spacing w:after="0" w:line="276" w:lineRule="auto"/>
              <w:jc w:val="both"/>
              <w:rPr>
                <w:rFonts w:ascii="Times New Roman" w:eastAsia="Times New Roman" w:hAnsi="Times New Roman" w:cs="Times New Roman"/>
                <w:b/>
                <w:bCs/>
              </w:rPr>
            </w:pPr>
            <w:r w:rsidRPr="00262B6E">
              <w:rPr>
                <w:rFonts w:ascii="Times New Roman" w:eastAsia="Times New Roman" w:hAnsi="Times New Roman" w:cs="Times New Roman"/>
                <w:b/>
                <w:bCs/>
              </w:rPr>
              <w:t>Return on the first day of trading</w:t>
            </w:r>
          </w:p>
        </w:tc>
      </w:tr>
      <w:tr w:rsidR="00E136B9" w:rsidRPr="00262B6E" w:rsidTr="00E136B9">
        <w:trPr>
          <w:trHeight w:val="215"/>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E136B9" w:rsidRPr="00262B6E" w:rsidRDefault="00E136B9" w:rsidP="00262B6E">
            <w:pPr>
              <w:spacing w:after="0" w:line="276" w:lineRule="auto"/>
              <w:jc w:val="both"/>
              <w:rPr>
                <w:rFonts w:ascii="Times New Roman" w:eastAsia="Times New Roman" w:hAnsi="Times New Roman" w:cs="Times New Roman"/>
              </w:rPr>
            </w:pPr>
            <w:proofErr w:type="spellStart"/>
            <w:r w:rsidRPr="00262B6E">
              <w:rPr>
                <w:rFonts w:ascii="Times New Roman" w:eastAsia="Times New Roman" w:hAnsi="Times New Roman" w:cs="Times New Roman"/>
              </w:rPr>
              <w:t>Virtus</w:t>
            </w:r>
            <w:proofErr w:type="spellEnd"/>
            <w:r w:rsidRPr="00262B6E">
              <w:rPr>
                <w:rFonts w:ascii="Times New Roman" w:eastAsia="Times New Roman" w:hAnsi="Times New Roman" w:cs="Times New Roman"/>
              </w:rPr>
              <w:t xml:space="preserve"> Health</w:t>
            </w:r>
          </w:p>
        </w:tc>
        <w:tc>
          <w:tcPr>
            <w:tcW w:w="1788" w:type="dxa"/>
            <w:tcBorders>
              <w:top w:val="nil"/>
              <w:left w:val="nil"/>
              <w:bottom w:val="single" w:sz="4" w:space="0" w:color="auto"/>
              <w:right w:val="single" w:sz="4" w:space="0" w:color="auto"/>
            </w:tcBorders>
            <w:shd w:val="clear" w:color="auto" w:fill="auto"/>
            <w:noWrap/>
            <w:vAlign w:val="bottom"/>
            <w:hideMark/>
          </w:tcPr>
          <w:p w:rsidR="00E136B9" w:rsidRPr="00262B6E" w:rsidRDefault="00E136B9" w:rsidP="00262B6E">
            <w:pPr>
              <w:spacing w:after="0" w:line="276" w:lineRule="auto"/>
              <w:jc w:val="both"/>
              <w:rPr>
                <w:rFonts w:ascii="Times New Roman" w:eastAsia="Times New Roman" w:hAnsi="Times New Roman" w:cs="Times New Roman"/>
              </w:rPr>
            </w:pPr>
            <w:r w:rsidRPr="00262B6E">
              <w:rPr>
                <w:rFonts w:ascii="Times New Roman" w:eastAsia="Times New Roman" w:hAnsi="Times New Roman" w:cs="Times New Roman"/>
              </w:rPr>
              <w:t>Healthcare Equipment</w:t>
            </w:r>
          </w:p>
        </w:tc>
        <w:tc>
          <w:tcPr>
            <w:tcW w:w="846" w:type="dxa"/>
            <w:tcBorders>
              <w:top w:val="nil"/>
              <w:left w:val="nil"/>
              <w:bottom w:val="single" w:sz="4" w:space="0" w:color="auto"/>
              <w:right w:val="single" w:sz="4" w:space="0" w:color="auto"/>
            </w:tcBorders>
            <w:shd w:val="clear" w:color="auto" w:fill="auto"/>
            <w:noWrap/>
            <w:vAlign w:val="bottom"/>
            <w:hideMark/>
          </w:tcPr>
          <w:p w:rsidR="00E136B9" w:rsidRPr="00262B6E" w:rsidRDefault="00E136B9" w:rsidP="00262B6E">
            <w:pPr>
              <w:spacing w:after="0" w:line="276" w:lineRule="auto"/>
              <w:jc w:val="both"/>
              <w:rPr>
                <w:rFonts w:ascii="Times New Roman" w:eastAsia="Times New Roman" w:hAnsi="Times New Roman" w:cs="Times New Roman"/>
              </w:rPr>
            </w:pPr>
            <w:r w:rsidRPr="00262B6E">
              <w:rPr>
                <w:rFonts w:ascii="Times New Roman" w:eastAsia="Times New Roman" w:hAnsi="Times New Roman" w:cs="Times New Roman"/>
              </w:rPr>
              <w:t>Jun-13</w:t>
            </w:r>
          </w:p>
        </w:tc>
        <w:tc>
          <w:tcPr>
            <w:tcW w:w="1230" w:type="dxa"/>
            <w:tcBorders>
              <w:top w:val="nil"/>
              <w:left w:val="nil"/>
              <w:bottom w:val="single" w:sz="4" w:space="0" w:color="auto"/>
              <w:right w:val="single" w:sz="4" w:space="0" w:color="auto"/>
            </w:tcBorders>
            <w:shd w:val="clear" w:color="auto" w:fill="auto"/>
            <w:noWrap/>
            <w:vAlign w:val="bottom"/>
            <w:hideMark/>
          </w:tcPr>
          <w:p w:rsidR="00E136B9" w:rsidRPr="00262B6E" w:rsidRDefault="00E136B9" w:rsidP="00262B6E">
            <w:pPr>
              <w:spacing w:after="0" w:line="276" w:lineRule="auto"/>
              <w:jc w:val="both"/>
              <w:rPr>
                <w:rFonts w:ascii="Times New Roman" w:eastAsia="Times New Roman" w:hAnsi="Times New Roman" w:cs="Times New Roman"/>
              </w:rPr>
            </w:pPr>
            <w:r w:rsidRPr="00262B6E">
              <w:rPr>
                <w:rFonts w:ascii="Times New Roman" w:eastAsia="Times New Roman" w:hAnsi="Times New Roman" w:cs="Times New Roman"/>
              </w:rPr>
              <w:t>$346.5m</w:t>
            </w:r>
          </w:p>
        </w:tc>
        <w:tc>
          <w:tcPr>
            <w:tcW w:w="851" w:type="dxa"/>
            <w:tcBorders>
              <w:top w:val="nil"/>
              <w:left w:val="nil"/>
              <w:bottom w:val="single" w:sz="4" w:space="0" w:color="auto"/>
              <w:right w:val="single" w:sz="4" w:space="0" w:color="auto"/>
            </w:tcBorders>
            <w:shd w:val="clear" w:color="auto" w:fill="auto"/>
            <w:noWrap/>
            <w:vAlign w:val="bottom"/>
            <w:hideMark/>
          </w:tcPr>
          <w:p w:rsidR="00E136B9" w:rsidRPr="00262B6E" w:rsidRDefault="00E136B9" w:rsidP="00262B6E">
            <w:pPr>
              <w:spacing w:after="0" w:line="276" w:lineRule="auto"/>
              <w:jc w:val="both"/>
              <w:rPr>
                <w:rFonts w:ascii="Times New Roman" w:eastAsia="Times New Roman" w:hAnsi="Times New Roman" w:cs="Times New Roman"/>
              </w:rPr>
            </w:pPr>
            <w:r w:rsidRPr="00262B6E">
              <w:rPr>
                <w:rFonts w:ascii="Times New Roman" w:eastAsia="Times New Roman" w:hAnsi="Times New Roman" w:cs="Times New Roman"/>
              </w:rPr>
              <w:t>$5.68</w:t>
            </w:r>
          </w:p>
        </w:tc>
        <w:tc>
          <w:tcPr>
            <w:tcW w:w="1928" w:type="dxa"/>
            <w:tcBorders>
              <w:top w:val="nil"/>
              <w:left w:val="nil"/>
              <w:bottom w:val="single" w:sz="4" w:space="0" w:color="auto"/>
              <w:right w:val="single" w:sz="4" w:space="0" w:color="auto"/>
            </w:tcBorders>
            <w:shd w:val="clear" w:color="auto" w:fill="auto"/>
            <w:noWrap/>
            <w:vAlign w:val="bottom"/>
            <w:hideMark/>
          </w:tcPr>
          <w:p w:rsidR="00E136B9" w:rsidRPr="00262B6E" w:rsidRDefault="00E136B9" w:rsidP="00262B6E">
            <w:pPr>
              <w:spacing w:after="0" w:line="276" w:lineRule="auto"/>
              <w:jc w:val="both"/>
              <w:rPr>
                <w:rFonts w:ascii="Times New Roman" w:eastAsia="Times New Roman" w:hAnsi="Times New Roman" w:cs="Times New Roman"/>
              </w:rPr>
            </w:pPr>
            <w:r w:rsidRPr="00262B6E">
              <w:rPr>
                <w:rFonts w:ascii="Times New Roman" w:eastAsia="Times New Roman" w:hAnsi="Times New Roman" w:cs="Times New Roman"/>
              </w:rPr>
              <w:t>$6.20</w:t>
            </w:r>
          </w:p>
        </w:tc>
        <w:tc>
          <w:tcPr>
            <w:tcW w:w="1556" w:type="dxa"/>
            <w:tcBorders>
              <w:top w:val="nil"/>
              <w:left w:val="nil"/>
              <w:bottom w:val="single" w:sz="4" w:space="0" w:color="auto"/>
              <w:right w:val="single" w:sz="4" w:space="0" w:color="auto"/>
            </w:tcBorders>
            <w:shd w:val="clear" w:color="auto" w:fill="auto"/>
            <w:noWrap/>
            <w:vAlign w:val="bottom"/>
            <w:hideMark/>
          </w:tcPr>
          <w:p w:rsidR="00E136B9" w:rsidRPr="00262B6E" w:rsidRDefault="00E136B9" w:rsidP="00262B6E">
            <w:pPr>
              <w:spacing w:after="0" w:line="276" w:lineRule="auto"/>
              <w:jc w:val="both"/>
              <w:rPr>
                <w:rFonts w:ascii="Times New Roman" w:eastAsia="Times New Roman" w:hAnsi="Times New Roman" w:cs="Times New Roman"/>
              </w:rPr>
            </w:pPr>
            <w:r w:rsidRPr="00262B6E">
              <w:rPr>
                <w:rFonts w:ascii="Times New Roman" w:eastAsia="Times New Roman" w:hAnsi="Times New Roman" w:cs="Times New Roman"/>
              </w:rPr>
              <w:t>9.15%</w:t>
            </w:r>
          </w:p>
        </w:tc>
      </w:tr>
      <w:tr w:rsidR="00E136B9" w:rsidRPr="00262B6E" w:rsidTr="00E136B9">
        <w:trPr>
          <w:trHeight w:val="215"/>
        </w:trPr>
        <w:tc>
          <w:tcPr>
            <w:tcW w:w="1295" w:type="dxa"/>
            <w:tcBorders>
              <w:top w:val="nil"/>
              <w:left w:val="single" w:sz="4" w:space="0" w:color="auto"/>
              <w:bottom w:val="single" w:sz="4" w:space="0" w:color="auto"/>
              <w:right w:val="single" w:sz="4" w:space="0" w:color="auto"/>
            </w:tcBorders>
            <w:shd w:val="clear" w:color="auto" w:fill="auto"/>
            <w:noWrap/>
            <w:vAlign w:val="bottom"/>
            <w:hideMark/>
          </w:tcPr>
          <w:p w:rsidR="00E136B9" w:rsidRPr="00262B6E" w:rsidRDefault="00E136B9" w:rsidP="00262B6E">
            <w:pPr>
              <w:spacing w:after="0" w:line="276" w:lineRule="auto"/>
              <w:jc w:val="both"/>
              <w:rPr>
                <w:rFonts w:ascii="Times New Roman" w:eastAsia="Times New Roman" w:hAnsi="Times New Roman" w:cs="Times New Roman"/>
              </w:rPr>
            </w:pPr>
            <w:r w:rsidRPr="00262B6E">
              <w:rPr>
                <w:rFonts w:ascii="Times New Roman" w:eastAsia="Times New Roman" w:hAnsi="Times New Roman" w:cs="Times New Roman"/>
              </w:rPr>
              <w:lastRenderedPageBreak/>
              <w:t>GDI Property</w:t>
            </w:r>
          </w:p>
        </w:tc>
        <w:tc>
          <w:tcPr>
            <w:tcW w:w="1788" w:type="dxa"/>
            <w:tcBorders>
              <w:top w:val="nil"/>
              <w:left w:val="nil"/>
              <w:bottom w:val="single" w:sz="4" w:space="0" w:color="auto"/>
              <w:right w:val="single" w:sz="4" w:space="0" w:color="auto"/>
            </w:tcBorders>
            <w:shd w:val="clear" w:color="auto" w:fill="auto"/>
            <w:noWrap/>
            <w:vAlign w:val="bottom"/>
            <w:hideMark/>
          </w:tcPr>
          <w:p w:rsidR="00E136B9" w:rsidRPr="00262B6E" w:rsidRDefault="00E136B9" w:rsidP="00262B6E">
            <w:pPr>
              <w:spacing w:after="0" w:line="276" w:lineRule="auto"/>
              <w:jc w:val="both"/>
              <w:rPr>
                <w:rFonts w:ascii="Times New Roman" w:eastAsia="Times New Roman" w:hAnsi="Times New Roman" w:cs="Times New Roman"/>
              </w:rPr>
            </w:pPr>
            <w:r w:rsidRPr="00262B6E">
              <w:rPr>
                <w:rFonts w:ascii="Times New Roman" w:eastAsia="Times New Roman" w:hAnsi="Times New Roman" w:cs="Times New Roman"/>
              </w:rPr>
              <w:t>Real Estate</w:t>
            </w:r>
          </w:p>
        </w:tc>
        <w:tc>
          <w:tcPr>
            <w:tcW w:w="846" w:type="dxa"/>
            <w:tcBorders>
              <w:top w:val="nil"/>
              <w:left w:val="nil"/>
              <w:bottom w:val="single" w:sz="4" w:space="0" w:color="auto"/>
              <w:right w:val="single" w:sz="4" w:space="0" w:color="auto"/>
            </w:tcBorders>
            <w:shd w:val="clear" w:color="auto" w:fill="auto"/>
            <w:noWrap/>
            <w:vAlign w:val="bottom"/>
            <w:hideMark/>
          </w:tcPr>
          <w:p w:rsidR="00E136B9" w:rsidRPr="00262B6E" w:rsidRDefault="00E136B9" w:rsidP="00262B6E">
            <w:pPr>
              <w:spacing w:after="0" w:line="276" w:lineRule="auto"/>
              <w:jc w:val="both"/>
              <w:rPr>
                <w:rFonts w:ascii="Times New Roman" w:eastAsia="Times New Roman" w:hAnsi="Times New Roman" w:cs="Times New Roman"/>
              </w:rPr>
            </w:pPr>
            <w:r w:rsidRPr="00262B6E">
              <w:rPr>
                <w:rFonts w:ascii="Times New Roman" w:eastAsia="Times New Roman" w:hAnsi="Times New Roman" w:cs="Times New Roman"/>
              </w:rPr>
              <w:t>Dec-13</w:t>
            </w:r>
          </w:p>
        </w:tc>
        <w:tc>
          <w:tcPr>
            <w:tcW w:w="1230" w:type="dxa"/>
            <w:tcBorders>
              <w:top w:val="nil"/>
              <w:left w:val="nil"/>
              <w:bottom w:val="single" w:sz="4" w:space="0" w:color="auto"/>
              <w:right w:val="single" w:sz="4" w:space="0" w:color="auto"/>
            </w:tcBorders>
            <w:shd w:val="clear" w:color="auto" w:fill="auto"/>
            <w:noWrap/>
            <w:vAlign w:val="bottom"/>
            <w:hideMark/>
          </w:tcPr>
          <w:p w:rsidR="00E136B9" w:rsidRPr="00262B6E" w:rsidRDefault="00E136B9" w:rsidP="00262B6E">
            <w:pPr>
              <w:spacing w:after="0" w:line="276" w:lineRule="auto"/>
              <w:jc w:val="both"/>
              <w:rPr>
                <w:rFonts w:ascii="Times New Roman" w:eastAsia="Times New Roman" w:hAnsi="Times New Roman" w:cs="Times New Roman"/>
              </w:rPr>
            </w:pPr>
            <w:r w:rsidRPr="00262B6E">
              <w:rPr>
                <w:rFonts w:ascii="Times New Roman" w:eastAsia="Times New Roman" w:hAnsi="Times New Roman" w:cs="Times New Roman"/>
              </w:rPr>
              <w:t>$567.7m</w:t>
            </w:r>
          </w:p>
        </w:tc>
        <w:tc>
          <w:tcPr>
            <w:tcW w:w="851" w:type="dxa"/>
            <w:tcBorders>
              <w:top w:val="nil"/>
              <w:left w:val="nil"/>
              <w:bottom w:val="single" w:sz="4" w:space="0" w:color="auto"/>
              <w:right w:val="single" w:sz="4" w:space="0" w:color="auto"/>
            </w:tcBorders>
            <w:shd w:val="clear" w:color="auto" w:fill="auto"/>
            <w:noWrap/>
            <w:vAlign w:val="bottom"/>
            <w:hideMark/>
          </w:tcPr>
          <w:p w:rsidR="00E136B9" w:rsidRPr="00262B6E" w:rsidRDefault="00E136B9" w:rsidP="00262B6E">
            <w:pPr>
              <w:spacing w:after="0" w:line="276" w:lineRule="auto"/>
              <w:jc w:val="both"/>
              <w:rPr>
                <w:rFonts w:ascii="Times New Roman" w:eastAsia="Times New Roman" w:hAnsi="Times New Roman" w:cs="Times New Roman"/>
              </w:rPr>
            </w:pPr>
            <w:r w:rsidRPr="00262B6E">
              <w:rPr>
                <w:rFonts w:ascii="Times New Roman" w:eastAsia="Times New Roman" w:hAnsi="Times New Roman" w:cs="Times New Roman"/>
              </w:rPr>
              <w:t>$0.95</w:t>
            </w:r>
          </w:p>
        </w:tc>
        <w:tc>
          <w:tcPr>
            <w:tcW w:w="1928" w:type="dxa"/>
            <w:tcBorders>
              <w:top w:val="nil"/>
              <w:left w:val="nil"/>
              <w:bottom w:val="single" w:sz="4" w:space="0" w:color="auto"/>
              <w:right w:val="single" w:sz="4" w:space="0" w:color="auto"/>
            </w:tcBorders>
            <w:shd w:val="clear" w:color="auto" w:fill="auto"/>
            <w:noWrap/>
            <w:vAlign w:val="bottom"/>
            <w:hideMark/>
          </w:tcPr>
          <w:p w:rsidR="00E136B9" w:rsidRPr="00262B6E" w:rsidRDefault="00E136B9" w:rsidP="00262B6E">
            <w:pPr>
              <w:spacing w:after="0" w:line="276" w:lineRule="auto"/>
              <w:jc w:val="both"/>
              <w:rPr>
                <w:rFonts w:ascii="Times New Roman" w:eastAsia="Times New Roman" w:hAnsi="Times New Roman" w:cs="Times New Roman"/>
              </w:rPr>
            </w:pPr>
            <w:r w:rsidRPr="00262B6E">
              <w:rPr>
                <w:rFonts w:ascii="Times New Roman" w:eastAsia="Times New Roman" w:hAnsi="Times New Roman" w:cs="Times New Roman"/>
              </w:rPr>
              <w:t>$0.89</w:t>
            </w:r>
          </w:p>
        </w:tc>
        <w:tc>
          <w:tcPr>
            <w:tcW w:w="1556" w:type="dxa"/>
            <w:tcBorders>
              <w:top w:val="nil"/>
              <w:left w:val="nil"/>
              <w:bottom w:val="single" w:sz="4" w:space="0" w:color="auto"/>
              <w:right w:val="single" w:sz="4" w:space="0" w:color="auto"/>
            </w:tcBorders>
            <w:shd w:val="clear" w:color="auto" w:fill="auto"/>
            <w:noWrap/>
            <w:vAlign w:val="bottom"/>
            <w:hideMark/>
          </w:tcPr>
          <w:p w:rsidR="00E136B9" w:rsidRPr="00262B6E" w:rsidRDefault="00E136B9" w:rsidP="00262B6E">
            <w:pPr>
              <w:spacing w:after="0" w:line="276" w:lineRule="auto"/>
              <w:jc w:val="both"/>
              <w:rPr>
                <w:rFonts w:ascii="Times New Roman" w:eastAsia="Times New Roman" w:hAnsi="Times New Roman" w:cs="Times New Roman"/>
              </w:rPr>
            </w:pPr>
            <w:r w:rsidRPr="00262B6E">
              <w:rPr>
                <w:rFonts w:ascii="Times New Roman" w:eastAsia="Times New Roman" w:hAnsi="Times New Roman" w:cs="Times New Roman"/>
              </w:rPr>
              <w:t>-6.31%</w:t>
            </w:r>
          </w:p>
        </w:tc>
      </w:tr>
      <w:tr w:rsidR="00E136B9" w:rsidRPr="00262B6E" w:rsidTr="00E136B9">
        <w:trPr>
          <w:trHeight w:val="215"/>
        </w:trPr>
        <w:tc>
          <w:tcPr>
            <w:tcW w:w="1295" w:type="dxa"/>
            <w:tcBorders>
              <w:top w:val="nil"/>
              <w:left w:val="single" w:sz="4" w:space="0" w:color="auto"/>
              <w:bottom w:val="nil"/>
              <w:right w:val="single" w:sz="4" w:space="0" w:color="auto"/>
            </w:tcBorders>
            <w:shd w:val="clear" w:color="auto" w:fill="auto"/>
            <w:noWrap/>
            <w:vAlign w:val="bottom"/>
            <w:hideMark/>
          </w:tcPr>
          <w:p w:rsidR="00E136B9" w:rsidRPr="00262B6E" w:rsidRDefault="00E136B9" w:rsidP="00262B6E">
            <w:pPr>
              <w:spacing w:after="0" w:line="276" w:lineRule="auto"/>
              <w:jc w:val="both"/>
              <w:rPr>
                <w:rFonts w:ascii="Times New Roman" w:hAnsi="Times New Roman" w:cs="Times New Roman"/>
                <w:color w:val="000000"/>
              </w:rPr>
            </w:pPr>
            <w:r w:rsidRPr="00262B6E">
              <w:rPr>
                <w:rFonts w:ascii="Times New Roman" w:eastAsia="Times New Roman" w:hAnsi="Times New Roman" w:cs="Times New Roman"/>
              </w:rPr>
              <w:t>Dick Smith</w:t>
            </w:r>
          </w:p>
        </w:tc>
        <w:tc>
          <w:tcPr>
            <w:tcW w:w="1788" w:type="dxa"/>
            <w:tcBorders>
              <w:top w:val="nil"/>
              <w:left w:val="nil"/>
              <w:bottom w:val="nil"/>
              <w:right w:val="single" w:sz="4" w:space="0" w:color="auto"/>
            </w:tcBorders>
            <w:shd w:val="clear" w:color="auto" w:fill="auto"/>
            <w:noWrap/>
            <w:vAlign w:val="bottom"/>
            <w:hideMark/>
          </w:tcPr>
          <w:p w:rsidR="00E136B9" w:rsidRPr="00262B6E" w:rsidRDefault="00E136B9" w:rsidP="00262B6E">
            <w:pPr>
              <w:spacing w:after="0" w:line="276" w:lineRule="auto"/>
              <w:jc w:val="both"/>
              <w:rPr>
                <w:rFonts w:ascii="Times New Roman" w:eastAsia="Times New Roman" w:hAnsi="Times New Roman" w:cs="Times New Roman"/>
              </w:rPr>
            </w:pPr>
            <w:r w:rsidRPr="00262B6E">
              <w:rPr>
                <w:rFonts w:ascii="Times New Roman" w:eastAsia="Times New Roman" w:hAnsi="Times New Roman" w:cs="Times New Roman"/>
              </w:rPr>
              <w:t>Retail Store</w:t>
            </w:r>
          </w:p>
        </w:tc>
        <w:tc>
          <w:tcPr>
            <w:tcW w:w="846" w:type="dxa"/>
            <w:tcBorders>
              <w:top w:val="nil"/>
              <w:left w:val="nil"/>
              <w:bottom w:val="nil"/>
              <w:right w:val="single" w:sz="4" w:space="0" w:color="auto"/>
            </w:tcBorders>
            <w:shd w:val="clear" w:color="auto" w:fill="auto"/>
            <w:noWrap/>
            <w:vAlign w:val="bottom"/>
            <w:hideMark/>
          </w:tcPr>
          <w:p w:rsidR="00E136B9" w:rsidRPr="00262B6E" w:rsidRDefault="00E136B9" w:rsidP="00262B6E">
            <w:pPr>
              <w:spacing w:after="0" w:line="276" w:lineRule="auto"/>
              <w:jc w:val="both"/>
              <w:rPr>
                <w:rFonts w:ascii="Times New Roman" w:eastAsia="Times New Roman" w:hAnsi="Times New Roman" w:cs="Times New Roman"/>
              </w:rPr>
            </w:pPr>
            <w:r w:rsidRPr="00262B6E">
              <w:rPr>
                <w:rFonts w:ascii="Times New Roman" w:eastAsia="Times New Roman" w:hAnsi="Times New Roman" w:cs="Times New Roman"/>
              </w:rPr>
              <w:t>Dec-13</w:t>
            </w:r>
          </w:p>
        </w:tc>
        <w:tc>
          <w:tcPr>
            <w:tcW w:w="1230" w:type="dxa"/>
            <w:tcBorders>
              <w:top w:val="nil"/>
              <w:left w:val="nil"/>
              <w:bottom w:val="nil"/>
              <w:right w:val="single" w:sz="4" w:space="0" w:color="auto"/>
            </w:tcBorders>
            <w:shd w:val="clear" w:color="auto" w:fill="auto"/>
            <w:noWrap/>
            <w:vAlign w:val="bottom"/>
            <w:hideMark/>
          </w:tcPr>
          <w:p w:rsidR="00E136B9" w:rsidRPr="00262B6E" w:rsidRDefault="00E136B9" w:rsidP="00262B6E">
            <w:pPr>
              <w:spacing w:after="0" w:line="276" w:lineRule="auto"/>
              <w:jc w:val="both"/>
              <w:rPr>
                <w:rFonts w:ascii="Times New Roman" w:eastAsia="Times New Roman" w:hAnsi="Times New Roman" w:cs="Times New Roman"/>
              </w:rPr>
            </w:pPr>
            <w:r w:rsidRPr="00262B6E">
              <w:rPr>
                <w:rFonts w:ascii="Times New Roman" w:eastAsia="Times New Roman" w:hAnsi="Times New Roman" w:cs="Times New Roman"/>
              </w:rPr>
              <w:t>$345</w:t>
            </w:r>
          </w:p>
        </w:tc>
        <w:tc>
          <w:tcPr>
            <w:tcW w:w="851" w:type="dxa"/>
            <w:tcBorders>
              <w:top w:val="nil"/>
              <w:left w:val="nil"/>
              <w:bottom w:val="nil"/>
              <w:right w:val="single" w:sz="4" w:space="0" w:color="auto"/>
            </w:tcBorders>
            <w:shd w:val="clear" w:color="auto" w:fill="auto"/>
            <w:noWrap/>
            <w:vAlign w:val="bottom"/>
            <w:hideMark/>
          </w:tcPr>
          <w:p w:rsidR="00E136B9" w:rsidRPr="00262B6E" w:rsidRDefault="00E136B9" w:rsidP="00262B6E">
            <w:pPr>
              <w:spacing w:after="0" w:line="276" w:lineRule="auto"/>
              <w:jc w:val="both"/>
              <w:rPr>
                <w:rFonts w:ascii="Times New Roman" w:eastAsia="Times New Roman" w:hAnsi="Times New Roman" w:cs="Times New Roman"/>
              </w:rPr>
            </w:pPr>
            <w:r w:rsidRPr="00262B6E">
              <w:rPr>
                <w:rFonts w:ascii="Times New Roman" w:eastAsia="Times New Roman" w:hAnsi="Times New Roman" w:cs="Times New Roman"/>
              </w:rPr>
              <w:t>$2.2</w:t>
            </w:r>
          </w:p>
        </w:tc>
        <w:tc>
          <w:tcPr>
            <w:tcW w:w="1928" w:type="dxa"/>
            <w:tcBorders>
              <w:top w:val="nil"/>
              <w:left w:val="nil"/>
              <w:bottom w:val="nil"/>
              <w:right w:val="single" w:sz="4" w:space="0" w:color="auto"/>
            </w:tcBorders>
            <w:shd w:val="clear" w:color="auto" w:fill="auto"/>
            <w:noWrap/>
            <w:vAlign w:val="bottom"/>
            <w:hideMark/>
          </w:tcPr>
          <w:p w:rsidR="00E136B9" w:rsidRPr="00262B6E" w:rsidRDefault="00E136B9" w:rsidP="00262B6E">
            <w:pPr>
              <w:spacing w:after="0" w:line="276" w:lineRule="auto"/>
              <w:jc w:val="both"/>
              <w:rPr>
                <w:rFonts w:ascii="Times New Roman" w:eastAsia="Times New Roman" w:hAnsi="Times New Roman" w:cs="Times New Roman"/>
              </w:rPr>
            </w:pPr>
            <w:r w:rsidRPr="00262B6E">
              <w:rPr>
                <w:rFonts w:ascii="Times New Roman" w:eastAsia="Times New Roman" w:hAnsi="Times New Roman" w:cs="Times New Roman"/>
              </w:rPr>
              <w:t>$2.16</w:t>
            </w:r>
          </w:p>
        </w:tc>
        <w:tc>
          <w:tcPr>
            <w:tcW w:w="1556" w:type="dxa"/>
            <w:tcBorders>
              <w:top w:val="nil"/>
              <w:left w:val="nil"/>
              <w:bottom w:val="nil"/>
              <w:right w:val="single" w:sz="4" w:space="0" w:color="auto"/>
            </w:tcBorders>
            <w:shd w:val="clear" w:color="auto" w:fill="auto"/>
            <w:noWrap/>
            <w:vAlign w:val="bottom"/>
            <w:hideMark/>
          </w:tcPr>
          <w:p w:rsidR="00E136B9" w:rsidRPr="00262B6E" w:rsidRDefault="00E136B9" w:rsidP="00262B6E">
            <w:pPr>
              <w:spacing w:after="0" w:line="276" w:lineRule="auto"/>
              <w:jc w:val="both"/>
              <w:rPr>
                <w:rFonts w:ascii="Times New Roman" w:eastAsia="Times New Roman" w:hAnsi="Times New Roman" w:cs="Times New Roman"/>
              </w:rPr>
            </w:pPr>
            <w:r w:rsidRPr="00262B6E">
              <w:rPr>
                <w:rFonts w:ascii="Times New Roman" w:eastAsia="Times New Roman" w:hAnsi="Times New Roman" w:cs="Times New Roman"/>
              </w:rPr>
              <w:t>-1.6%</w:t>
            </w:r>
          </w:p>
        </w:tc>
      </w:tr>
      <w:tr w:rsidR="00262B6E" w:rsidRPr="00262B6E" w:rsidTr="00E136B9">
        <w:trPr>
          <w:trHeight w:val="74"/>
        </w:trPr>
        <w:tc>
          <w:tcPr>
            <w:tcW w:w="1295" w:type="dxa"/>
            <w:tcBorders>
              <w:top w:val="nil"/>
              <w:left w:val="single" w:sz="4" w:space="0" w:color="auto"/>
              <w:bottom w:val="single" w:sz="4" w:space="0" w:color="auto"/>
              <w:right w:val="single" w:sz="4" w:space="0" w:color="auto"/>
            </w:tcBorders>
            <w:shd w:val="clear" w:color="auto" w:fill="auto"/>
            <w:noWrap/>
            <w:vAlign w:val="bottom"/>
          </w:tcPr>
          <w:p w:rsidR="00E136B9" w:rsidRPr="00262B6E" w:rsidRDefault="00E136B9" w:rsidP="00262B6E">
            <w:pPr>
              <w:spacing w:after="0" w:line="276" w:lineRule="auto"/>
              <w:jc w:val="both"/>
              <w:rPr>
                <w:rFonts w:ascii="Times New Roman" w:eastAsia="Times New Roman" w:hAnsi="Times New Roman" w:cs="Times New Roman"/>
              </w:rPr>
            </w:pPr>
          </w:p>
        </w:tc>
        <w:tc>
          <w:tcPr>
            <w:tcW w:w="1788" w:type="dxa"/>
            <w:tcBorders>
              <w:top w:val="nil"/>
              <w:left w:val="nil"/>
              <w:bottom w:val="single" w:sz="4" w:space="0" w:color="auto"/>
              <w:right w:val="single" w:sz="4" w:space="0" w:color="auto"/>
            </w:tcBorders>
            <w:shd w:val="clear" w:color="auto" w:fill="auto"/>
            <w:noWrap/>
            <w:vAlign w:val="bottom"/>
          </w:tcPr>
          <w:p w:rsidR="00E136B9" w:rsidRPr="00262B6E" w:rsidRDefault="00E136B9" w:rsidP="00262B6E">
            <w:pPr>
              <w:spacing w:after="0" w:line="276" w:lineRule="auto"/>
              <w:jc w:val="both"/>
              <w:rPr>
                <w:rFonts w:ascii="Times New Roman" w:eastAsia="Times New Roman" w:hAnsi="Times New Roman" w:cs="Times New Roman"/>
              </w:rPr>
            </w:pPr>
          </w:p>
        </w:tc>
        <w:tc>
          <w:tcPr>
            <w:tcW w:w="846" w:type="dxa"/>
            <w:tcBorders>
              <w:top w:val="nil"/>
              <w:left w:val="nil"/>
              <w:bottom w:val="single" w:sz="4" w:space="0" w:color="auto"/>
              <w:right w:val="single" w:sz="4" w:space="0" w:color="auto"/>
            </w:tcBorders>
            <w:shd w:val="clear" w:color="auto" w:fill="auto"/>
            <w:noWrap/>
            <w:vAlign w:val="bottom"/>
          </w:tcPr>
          <w:p w:rsidR="00E136B9" w:rsidRPr="00262B6E" w:rsidRDefault="00E136B9" w:rsidP="00262B6E">
            <w:pPr>
              <w:spacing w:after="0" w:line="276" w:lineRule="auto"/>
              <w:jc w:val="both"/>
              <w:rPr>
                <w:rFonts w:ascii="Times New Roman" w:eastAsia="Times New Roman" w:hAnsi="Times New Roman" w:cs="Times New Roman"/>
              </w:rPr>
            </w:pPr>
          </w:p>
        </w:tc>
        <w:tc>
          <w:tcPr>
            <w:tcW w:w="1230" w:type="dxa"/>
            <w:tcBorders>
              <w:top w:val="nil"/>
              <w:left w:val="nil"/>
              <w:bottom w:val="single" w:sz="4" w:space="0" w:color="auto"/>
              <w:right w:val="single" w:sz="4" w:space="0" w:color="auto"/>
            </w:tcBorders>
            <w:shd w:val="clear" w:color="auto" w:fill="auto"/>
            <w:noWrap/>
            <w:vAlign w:val="bottom"/>
          </w:tcPr>
          <w:p w:rsidR="00E136B9" w:rsidRPr="00262B6E" w:rsidRDefault="00E136B9" w:rsidP="00262B6E">
            <w:pPr>
              <w:spacing w:after="0" w:line="276" w:lineRule="auto"/>
              <w:jc w:val="both"/>
              <w:rPr>
                <w:rFonts w:ascii="Times New Roman" w:eastAsia="Times New Roman" w:hAnsi="Times New Roman" w:cs="Times New Roman"/>
              </w:rPr>
            </w:pPr>
          </w:p>
        </w:tc>
        <w:tc>
          <w:tcPr>
            <w:tcW w:w="851" w:type="dxa"/>
            <w:tcBorders>
              <w:top w:val="nil"/>
              <w:left w:val="nil"/>
              <w:bottom w:val="single" w:sz="4" w:space="0" w:color="auto"/>
              <w:right w:val="single" w:sz="4" w:space="0" w:color="auto"/>
            </w:tcBorders>
            <w:shd w:val="clear" w:color="auto" w:fill="auto"/>
            <w:noWrap/>
            <w:vAlign w:val="bottom"/>
          </w:tcPr>
          <w:p w:rsidR="00E136B9" w:rsidRPr="00262B6E" w:rsidRDefault="00E136B9" w:rsidP="00262B6E">
            <w:pPr>
              <w:spacing w:after="0" w:line="276" w:lineRule="auto"/>
              <w:jc w:val="both"/>
              <w:rPr>
                <w:rFonts w:ascii="Times New Roman" w:eastAsia="Times New Roman" w:hAnsi="Times New Roman" w:cs="Times New Roman"/>
              </w:rPr>
            </w:pPr>
          </w:p>
        </w:tc>
        <w:tc>
          <w:tcPr>
            <w:tcW w:w="1928" w:type="dxa"/>
            <w:tcBorders>
              <w:top w:val="nil"/>
              <w:left w:val="nil"/>
              <w:bottom w:val="single" w:sz="4" w:space="0" w:color="auto"/>
              <w:right w:val="single" w:sz="4" w:space="0" w:color="auto"/>
            </w:tcBorders>
            <w:shd w:val="clear" w:color="auto" w:fill="auto"/>
            <w:noWrap/>
            <w:vAlign w:val="bottom"/>
          </w:tcPr>
          <w:p w:rsidR="00E136B9" w:rsidRPr="00262B6E" w:rsidRDefault="00E136B9" w:rsidP="00262B6E">
            <w:pPr>
              <w:spacing w:after="0" w:line="276" w:lineRule="auto"/>
              <w:jc w:val="both"/>
              <w:rPr>
                <w:rFonts w:ascii="Times New Roman" w:eastAsia="Times New Roman" w:hAnsi="Times New Roman" w:cs="Times New Roman"/>
              </w:rPr>
            </w:pPr>
          </w:p>
        </w:tc>
        <w:tc>
          <w:tcPr>
            <w:tcW w:w="1556" w:type="dxa"/>
            <w:tcBorders>
              <w:top w:val="nil"/>
              <w:left w:val="nil"/>
              <w:bottom w:val="single" w:sz="4" w:space="0" w:color="auto"/>
              <w:right w:val="single" w:sz="4" w:space="0" w:color="auto"/>
            </w:tcBorders>
            <w:shd w:val="clear" w:color="auto" w:fill="auto"/>
            <w:noWrap/>
            <w:vAlign w:val="bottom"/>
          </w:tcPr>
          <w:p w:rsidR="00E136B9" w:rsidRPr="00262B6E" w:rsidRDefault="00E136B9" w:rsidP="00262B6E">
            <w:pPr>
              <w:spacing w:after="0" w:line="276" w:lineRule="auto"/>
              <w:jc w:val="both"/>
              <w:rPr>
                <w:rFonts w:ascii="Times New Roman" w:eastAsia="Times New Roman" w:hAnsi="Times New Roman" w:cs="Times New Roman"/>
              </w:rPr>
            </w:pPr>
          </w:p>
        </w:tc>
      </w:tr>
    </w:tbl>
    <w:p w:rsidR="002A08F9" w:rsidRPr="00262B6E" w:rsidRDefault="002A08F9" w:rsidP="00262B6E">
      <w:pPr>
        <w:pStyle w:val="Heading2"/>
        <w:spacing w:line="276" w:lineRule="auto"/>
        <w:jc w:val="both"/>
        <w:rPr>
          <w:rFonts w:ascii="Times New Roman" w:hAnsi="Times New Roman" w:cs="Times New Roman"/>
          <w:sz w:val="22"/>
          <w:szCs w:val="22"/>
        </w:rPr>
      </w:pPr>
      <w:bookmarkStart w:id="1" w:name="_Toc7834183"/>
      <w:r w:rsidRPr="00262B6E">
        <w:rPr>
          <w:rFonts w:ascii="Times New Roman" w:eastAsia="Times New Roman" w:hAnsi="Times New Roman" w:cs="Times New Roman"/>
          <w:sz w:val="22"/>
          <w:szCs w:val="22"/>
        </w:rPr>
        <w:t xml:space="preserve"> </w:t>
      </w:r>
    </w:p>
    <w:p w:rsidR="002A08F9" w:rsidRPr="00456D3F" w:rsidRDefault="002A08F9" w:rsidP="00456D3F">
      <w:pPr>
        <w:rPr>
          <w:rFonts w:ascii="Times New Roman" w:hAnsi="Times New Roman" w:cs="Times New Roman"/>
          <w:b/>
        </w:rPr>
      </w:pPr>
      <w:proofErr w:type="spellStart"/>
      <w:r w:rsidRPr="00456D3F">
        <w:rPr>
          <w:rFonts w:ascii="Times New Roman" w:hAnsi="Times New Roman" w:cs="Times New Roman"/>
          <w:b/>
        </w:rPr>
        <w:t>Virtus</w:t>
      </w:r>
      <w:proofErr w:type="spellEnd"/>
      <w:r w:rsidRPr="00456D3F">
        <w:rPr>
          <w:rFonts w:ascii="Times New Roman" w:hAnsi="Times New Roman" w:cs="Times New Roman"/>
          <w:b/>
        </w:rPr>
        <w:t xml:space="preserve"> Health</w:t>
      </w:r>
      <w:bookmarkEnd w:id="1"/>
    </w:p>
    <w:p w:rsidR="002A08F9" w:rsidRPr="00262B6E" w:rsidRDefault="002A08F9" w:rsidP="00262B6E">
      <w:pPr>
        <w:spacing w:line="276" w:lineRule="auto"/>
        <w:jc w:val="both"/>
        <w:rPr>
          <w:rFonts w:ascii="Times New Roman" w:hAnsi="Times New Roman" w:cs="Times New Roman"/>
        </w:rPr>
      </w:pPr>
      <w:proofErr w:type="spellStart"/>
      <w:r w:rsidRPr="00262B6E">
        <w:rPr>
          <w:rFonts w:ascii="Times New Roman" w:hAnsi="Times New Roman" w:cs="Times New Roman"/>
        </w:rPr>
        <w:t>Virtus</w:t>
      </w:r>
      <w:proofErr w:type="spellEnd"/>
      <w:r w:rsidRPr="00262B6E">
        <w:rPr>
          <w:rFonts w:ascii="Times New Roman" w:hAnsi="Times New Roman" w:cs="Times New Roman"/>
        </w:rPr>
        <w:t xml:space="preserve"> Health went into IPO in </w:t>
      </w:r>
      <w:r w:rsidR="000E053A">
        <w:rPr>
          <w:rFonts w:ascii="Times New Roman" w:hAnsi="Times New Roman" w:cs="Times New Roman"/>
        </w:rPr>
        <w:t>J</w:t>
      </w:r>
      <w:r w:rsidRPr="00262B6E">
        <w:rPr>
          <w:rFonts w:ascii="Times New Roman" w:hAnsi="Times New Roman" w:cs="Times New Roman"/>
        </w:rPr>
        <w:t xml:space="preserve">une-2013 and raised capital of $345.5m. The offer price of shares on </w:t>
      </w:r>
      <w:r w:rsidR="000E053A">
        <w:rPr>
          <w:rFonts w:ascii="Times New Roman" w:hAnsi="Times New Roman" w:cs="Times New Roman"/>
        </w:rPr>
        <w:t xml:space="preserve">the </w:t>
      </w:r>
      <w:r w:rsidRPr="00262B6E">
        <w:rPr>
          <w:rFonts w:ascii="Times New Roman" w:hAnsi="Times New Roman" w:cs="Times New Roman"/>
        </w:rPr>
        <w:t xml:space="preserve">first day was $5.68 which close at $6.20 with an increase of 9.15% on </w:t>
      </w:r>
      <w:r w:rsidR="000E053A">
        <w:rPr>
          <w:rFonts w:ascii="Times New Roman" w:hAnsi="Times New Roman" w:cs="Times New Roman"/>
        </w:rPr>
        <w:t xml:space="preserve">the </w:t>
      </w:r>
      <w:r w:rsidRPr="00262B6E">
        <w:rPr>
          <w:rFonts w:ascii="Times New Roman" w:hAnsi="Times New Roman" w:cs="Times New Roman"/>
        </w:rPr>
        <w:t xml:space="preserve">first day. Pharmaceutical is </w:t>
      </w:r>
      <w:r w:rsidR="000E053A">
        <w:rPr>
          <w:rFonts w:ascii="Times New Roman" w:hAnsi="Times New Roman" w:cs="Times New Roman"/>
        </w:rPr>
        <w:t xml:space="preserve">an </w:t>
      </w:r>
      <w:r w:rsidRPr="00262B6E">
        <w:rPr>
          <w:rFonts w:ascii="Times New Roman" w:hAnsi="Times New Roman" w:cs="Times New Roman"/>
        </w:rPr>
        <w:t>attractive market all over the world due to the good growth in their financials. This could be the reason of public interest towards the buying of shares.</w:t>
      </w:r>
    </w:p>
    <w:p w:rsidR="002A08F9" w:rsidRPr="00456D3F" w:rsidRDefault="002A08F9" w:rsidP="00456D3F">
      <w:pPr>
        <w:rPr>
          <w:rFonts w:ascii="Times New Roman" w:hAnsi="Times New Roman" w:cs="Times New Roman"/>
          <w:b/>
        </w:rPr>
      </w:pPr>
      <w:bookmarkStart w:id="2" w:name="_Toc7834184"/>
      <w:r w:rsidRPr="00456D3F">
        <w:rPr>
          <w:rFonts w:ascii="Times New Roman" w:hAnsi="Times New Roman" w:cs="Times New Roman"/>
          <w:b/>
        </w:rPr>
        <w:t>GDI Property</w:t>
      </w:r>
      <w:bookmarkEnd w:id="2"/>
    </w:p>
    <w:p w:rsidR="002A08F9" w:rsidRPr="00262B6E" w:rsidRDefault="002A08F9" w:rsidP="00262B6E">
      <w:pPr>
        <w:spacing w:line="276" w:lineRule="auto"/>
        <w:jc w:val="both"/>
        <w:rPr>
          <w:rFonts w:ascii="Times New Roman" w:eastAsia="Times New Roman" w:hAnsi="Times New Roman" w:cs="Times New Roman"/>
        </w:rPr>
      </w:pPr>
      <w:r w:rsidRPr="00262B6E">
        <w:rPr>
          <w:rFonts w:ascii="Times New Roman" w:hAnsi="Times New Roman" w:cs="Times New Roman"/>
        </w:rPr>
        <w:t xml:space="preserve">GDI property </w:t>
      </w:r>
      <w:r w:rsidR="003756BE" w:rsidRPr="00262B6E">
        <w:rPr>
          <w:rFonts w:ascii="Times New Roman" w:hAnsi="Times New Roman" w:cs="Times New Roman"/>
        </w:rPr>
        <w:t xml:space="preserve">is dealing in real estate, and </w:t>
      </w:r>
      <w:r w:rsidR="000E053A">
        <w:rPr>
          <w:rFonts w:ascii="Times New Roman" w:hAnsi="Times New Roman" w:cs="Times New Roman"/>
        </w:rPr>
        <w:t xml:space="preserve">the </w:t>
      </w:r>
      <w:r w:rsidR="003756BE" w:rsidRPr="00262B6E">
        <w:rPr>
          <w:rFonts w:ascii="Times New Roman" w:hAnsi="Times New Roman" w:cs="Times New Roman"/>
        </w:rPr>
        <w:t xml:space="preserve">company has </w:t>
      </w:r>
      <w:r w:rsidR="000E053A">
        <w:rPr>
          <w:rFonts w:ascii="Times New Roman" w:hAnsi="Times New Roman" w:cs="Times New Roman"/>
        </w:rPr>
        <w:t xml:space="preserve">an </w:t>
      </w:r>
      <w:r w:rsidR="003756BE" w:rsidRPr="00262B6E">
        <w:rPr>
          <w:rFonts w:ascii="Times New Roman" w:hAnsi="Times New Roman" w:cs="Times New Roman"/>
        </w:rPr>
        <w:t xml:space="preserve">initial public offer in </w:t>
      </w:r>
      <w:r w:rsidR="000E053A">
        <w:rPr>
          <w:rFonts w:ascii="Times New Roman" w:hAnsi="Times New Roman" w:cs="Times New Roman"/>
        </w:rPr>
        <w:t>D</w:t>
      </w:r>
      <w:r w:rsidR="003756BE" w:rsidRPr="00262B6E">
        <w:rPr>
          <w:rFonts w:ascii="Times New Roman" w:hAnsi="Times New Roman" w:cs="Times New Roman"/>
        </w:rPr>
        <w:t xml:space="preserve">ec-2013, which brings capital for the company </w:t>
      </w:r>
      <w:r w:rsidR="003756BE" w:rsidRPr="00262B6E">
        <w:rPr>
          <w:rFonts w:ascii="Times New Roman" w:eastAsia="Times New Roman" w:hAnsi="Times New Roman" w:cs="Times New Roman"/>
        </w:rPr>
        <w:t xml:space="preserve">$567.7m. The opening price of the share at day first of trading was $0.95 which close at $0.89 with a decreasing effect of 6.31%. Its look like </w:t>
      </w:r>
      <w:r w:rsidR="000E053A">
        <w:rPr>
          <w:rFonts w:ascii="Times New Roman" w:eastAsia="Times New Roman" w:hAnsi="Times New Roman" w:cs="Times New Roman"/>
        </w:rPr>
        <w:t xml:space="preserve">the </w:t>
      </w:r>
      <w:r w:rsidR="003756BE" w:rsidRPr="00262B6E">
        <w:rPr>
          <w:rFonts w:ascii="Times New Roman" w:eastAsia="Times New Roman" w:hAnsi="Times New Roman" w:cs="Times New Roman"/>
        </w:rPr>
        <w:t>public is not that much attractive towards the buying of shares.</w:t>
      </w:r>
    </w:p>
    <w:p w:rsidR="003756BE" w:rsidRPr="00456D3F" w:rsidRDefault="003756BE" w:rsidP="00456D3F">
      <w:pPr>
        <w:rPr>
          <w:rFonts w:ascii="Times New Roman" w:hAnsi="Times New Roman" w:cs="Times New Roman"/>
          <w:b/>
        </w:rPr>
      </w:pPr>
      <w:r w:rsidRPr="00456D3F">
        <w:rPr>
          <w:rFonts w:ascii="Times New Roman" w:hAnsi="Times New Roman" w:cs="Times New Roman"/>
          <w:b/>
        </w:rPr>
        <w:t>Dick Smith</w:t>
      </w:r>
    </w:p>
    <w:p w:rsidR="003756BE" w:rsidRPr="00456D3F" w:rsidRDefault="003756BE" w:rsidP="00456D3F">
      <w:pPr>
        <w:spacing w:line="276" w:lineRule="auto"/>
        <w:jc w:val="both"/>
        <w:rPr>
          <w:rFonts w:ascii="Times New Roman" w:eastAsia="Times New Roman" w:hAnsi="Times New Roman" w:cs="Times New Roman"/>
        </w:rPr>
      </w:pPr>
      <w:r w:rsidRPr="00262B6E">
        <w:rPr>
          <w:rFonts w:ascii="Times New Roman" w:hAnsi="Times New Roman" w:cs="Times New Roman"/>
        </w:rPr>
        <w:t xml:space="preserve">Dick </w:t>
      </w:r>
      <w:r w:rsidR="000E053A">
        <w:rPr>
          <w:rFonts w:ascii="Times New Roman" w:hAnsi="Times New Roman" w:cs="Times New Roman"/>
        </w:rPr>
        <w:t>S</w:t>
      </w:r>
      <w:r w:rsidRPr="00262B6E">
        <w:rPr>
          <w:rFonts w:ascii="Times New Roman" w:hAnsi="Times New Roman" w:cs="Times New Roman"/>
        </w:rPr>
        <w:t>mith was a retails store, which was initially started and found by Mr. Dick Smith as a radio selling shop. After different strategies and better result in company growth, Dick Smith went into IPO in Dec-2013 with the opening price</w:t>
      </w:r>
      <w:r w:rsidR="000E053A">
        <w:rPr>
          <w:rFonts w:ascii="Times New Roman" w:hAnsi="Times New Roman" w:cs="Times New Roman"/>
        </w:rPr>
        <w:t xml:space="preserve"> of</w:t>
      </w:r>
      <w:r w:rsidRPr="00262B6E">
        <w:rPr>
          <w:rFonts w:ascii="Times New Roman" w:hAnsi="Times New Roman" w:cs="Times New Roman"/>
        </w:rPr>
        <w:t xml:space="preserve"> $2.2 and close at 2.16 with an increasing effect of 1.8%.</w:t>
      </w:r>
      <w:r w:rsidR="009B4BA2" w:rsidRPr="00262B6E">
        <w:rPr>
          <w:rFonts w:ascii="Times New Roman" w:hAnsi="Times New Roman" w:cs="Times New Roman"/>
        </w:rPr>
        <w:t xml:space="preserve"> The company raises </w:t>
      </w:r>
      <w:r w:rsidR="009B4BA2" w:rsidRPr="00262B6E">
        <w:rPr>
          <w:rFonts w:ascii="Times New Roman" w:eastAsia="Times New Roman" w:hAnsi="Times New Roman" w:cs="Times New Roman"/>
        </w:rPr>
        <w:t>$345m from IPO.</w:t>
      </w:r>
      <w:r w:rsidR="00456D3F" w:rsidRPr="00456D3F">
        <w:t xml:space="preserve"> </w:t>
      </w:r>
      <w:r w:rsidR="00456D3F" w:rsidRPr="00456D3F">
        <w:rPr>
          <w:rFonts w:ascii="Times New Roman" w:eastAsia="Times New Roman" w:hAnsi="Times New Roman" w:cs="Times New Roman"/>
        </w:rPr>
        <w:t xml:space="preserve">Baker, M., &amp; </w:t>
      </w:r>
      <w:proofErr w:type="spellStart"/>
      <w:r w:rsidR="00456D3F" w:rsidRPr="00456D3F">
        <w:rPr>
          <w:rFonts w:ascii="Times New Roman" w:eastAsia="Times New Roman" w:hAnsi="Times New Roman" w:cs="Times New Roman"/>
        </w:rPr>
        <w:t>Wurgler</w:t>
      </w:r>
      <w:proofErr w:type="spellEnd"/>
      <w:r w:rsidR="00456D3F" w:rsidRPr="00456D3F">
        <w:rPr>
          <w:rFonts w:ascii="Times New Roman" w:eastAsia="Times New Roman" w:hAnsi="Times New Roman" w:cs="Times New Roman"/>
        </w:rPr>
        <w:t>, J.</w:t>
      </w:r>
    </w:p>
    <w:p w:rsidR="003756BE" w:rsidRPr="000E053A" w:rsidRDefault="003756BE" w:rsidP="000E053A">
      <w:pPr>
        <w:pStyle w:val="Heading1"/>
      </w:pPr>
      <w:bookmarkStart w:id="3" w:name="_Toc7834186"/>
      <w:bookmarkStart w:id="4" w:name="_Toc8468407"/>
      <w:r w:rsidRPr="000E053A">
        <w:t>Evaluation of IPO amount</w:t>
      </w:r>
      <w:bookmarkEnd w:id="4"/>
      <w:r w:rsidRPr="000E053A">
        <w:t xml:space="preserve">  </w:t>
      </w:r>
      <w:bookmarkEnd w:id="3"/>
    </w:p>
    <w:p w:rsidR="003756BE" w:rsidRPr="00262B6E" w:rsidRDefault="003756BE" w:rsidP="00262B6E">
      <w:pPr>
        <w:spacing w:line="276" w:lineRule="auto"/>
        <w:jc w:val="both"/>
        <w:rPr>
          <w:rFonts w:ascii="Times New Roman" w:eastAsia="Times New Roman" w:hAnsi="Times New Roman" w:cs="Times New Roman"/>
        </w:rPr>
      </w:pPr>
      <w:proofErr w:type="spellStart"/>
      <w:r w:rsidRPr="00262B6E">
        <w:rPr>
          <w:rFonts w:ascii="Times New Roman" w:hAnsi="Times New Roman" w:cs="Times New Roman"/>
        </w:rPr>
        <w:t>Virtus</w:t>
      </w:r>
      <w:proofErr w:type="spellEnd"/>
      <w:r w:rsidRPr="00262B6E">
        <w:rPr>
          <w:rFonts w:ascii="Times New Roman" w:hAnsi="Times New Roman" w:cs="Times New Roman"/>
        </w:rPr>
        <w:t xml:space="preserve"> health raises capital of </w:t>
      </w:r>
      <w:r w:rsidRPr="00262B6E">
        <w:rPr>
          <w:rFonts w:ascii="Times New Roman" w:eastAsia="Times New Roman" w:hAnsi="Times New Roman" w:cs="Times New Roman"/>
        </w:rPr>
        <w:t xml:space="preserve">$346.5m and they spend this amount into </w:t>
      </w:r>
      <w:r w:rsidR="000E053A">
        <w:rPr>
          <w:rFonts w:ascii="Times New Roman" w:eastAsia="Times New Roman" w:hAnsi="Times New Roman" w:cs="Times New Roman"/>
        </w:rPr>
        <w:t xml:space="preserve">a </w:t>
      </w:r>
      <w:r w:rsidRPr="00262B6E">
        <w:rPr>
          <w:rFonts w:ascii="Times New Roman" w:eastAsia="Times New Roman" w:hAnsi="Times New Roman" w:cs="Times New Roman"/>
        </w:rPr>
        <w:t xml:space="preserve">different investment such as, </w:t>
      </w:r>
    </w:p>
    <w:tbl>
      <w:tblPr>
        <w:tblW w:w="10247" w:type="dxa"/>
        <w:tblLook w:val="04A0" w:firstRow="1" w:lastRow="0" w:firstColumn="1" w:lastColumn="0" w:noHBand="0" w:noVBand="1"/>
      </w:tblPr>
      <w:tblGrid>
        <w:gridCol w:w="782"/>
        <w:gridCol w:w="3541"/>
        <w:gridCol w:w="2801"/>
        <w:gridCol w:w="3123"/>
      </w:tblGrid>
      <w:tr w:rsidR="003756BE" w:rsidRPr="003756BE" w:rsidTr="003756BE">
        <w:trPr>
          <w:trHeight w:val="229"/>
        </w:trPr>
        <w:tc>
          <w:tcPr>
            <w:tcW w:w="782"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b/>
                <w:color w:val="000000"/>
              </w:rPr>
            </w:pPr>
            <w:r w:rsidRPr="003756BE">
              <w:rPr>
                <w:rFonts w:ascii="Times New Roman" w:eastAsia="Times New Roman" w:hAnsi="Times New Roman" w:cs="Times New Roman"/>
                <w:b/>
                <w:color w:val="000000"/>
              </w:rPr>
              <w:t>SR</w:t>
            </w:r>
          </w:p>
        </w:tc>
        <w:tc>
          <w:tcPr>
            <w:tcW w:w="3541"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b/>
                <w:color w:val="000000"/>
              </w:rPr>
            </w:pPr>
            <w:r w:rsidRPr="003756BE">
              <w:rPr>
                <w:rFonts w:ascii="Times New Roman" w:eastAsia="Times New Roman" w:hAnsi="Times New Roman" w:cs="Times New Roman"/>
                <w:b/>
                <w:color w:val="000000"/>
              </w:rPr>
              <w:t>Investment</w:t>
            </w:r>
          </w:p>
        </w:tc>
        <w:tc>
          <w:tcPr>
            <w:tcW w:w="2801"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b/>
                <w:color w:val="000000"/>
              </w:rPr>
            </w:pPr>
            <w:r w:rsidRPr="003756BE">
              <w:rPr>
                <w:rFonts w:ascii="Times New Roman" w:eastAsia="Times New Roman" w:hAnsi="Times New Roman" w:cs="Times New Roman"/>
                <w:b/>
                <w:color w:val="000000"/>
              </w:rPr>
              <w:t xml:space="preserve">Amount </w:t>
            </w:r>
          </w:p>
        </w:tc>
        <w:tc>
          <w:tcPr>
            <w:tcW w:w="3123"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b/>
                <w:color w:val="000000"/>
              </w:rPr>
            </w:pPr>
            <w:r w:rsidRPr="003756BE">
              <w:rPr>
                <w:rFonts w:ascii="Times New Roman" w:eastAsia="Times New Roman" w:hAnsi="Times New Roman" w:cs="Times New Roman"/>
                <w:b/>
                <w:color w:val="000000"/>
              </w:rPr>
              <w:t>Purpose</w:t>
            </w:r>
          </w:p>
        </w:tc>
      </w:tr>
      <w:tr w:rsidR="003756BE" w:rsidRPr="003756BE" w:rsidTr="003756BE">
        <w:trPr>
          <w:trHeight w:val="241"/>
        </w:trPr>
        <w:tc>
          <w:tcPr>
            <w:tcW w:w="782"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1</w:t>
            </w:r>
          </w:p>
        </w:tc>
        <w:tc>
          <w:tcPr>
            <w:tcW w:w="3541"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 xml:space="preserve">Sims Clinics Limited </w:t>
            </w:r>
          </w:p>
        </w:tc>
        <w:tc>
          <w:tcPr>
            <w:tcW w:w="2801"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 xml:space="preserve">$23.726million </w:t>
            </w:r>
          </w:p>
        </w:tc>
        <w:tc>
          <w:tcPr>
            <w:tcW w:w="3123"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70% of ownership.</w:t>
            </w:r>
          </w:p>
        </w:tc>
      </w:tr>
      <w:tr w:rsidR="003756BE" w:rsidRPr="003756BE" w:rsidTr="003756BE">
        <w:trPr>
          <w:trHeight w:val="253"/>
        </w:trPr>
        <w:tc>
          <w:tcPr>
            <w:tcW w:w="782"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2</w:t>
            </w:r>
          </w:p>
        </w:tc>
        <w:tc>
          <w:tcPr>
            <w:tcW w:w="3541"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 xml:space="preserve">Hari Clinic </w:t>
            </w:r>
          </w:p>
        </w:tc>
        <w:tc>
          <w:tcPr>
            <w:tcW w:w="2801"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 xml:space="preserve">€6 million </w:t>
            </w:r>
          </w:p>
        </w:tc>
        <w:tc>
          <w:tcPr>
            <w:tcW w:w="3123"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Ownership</w:t>
            </w:r>
          </w:p>
        </w:tc>
      </w:tr>
      <w:tr w:rsidR="003756BE" w:rsidRPr="003756BE" w:rsidTr="003756BE">
        <w:trPr>
          <w:trHeight w:val="253"/>
        </w:trPr>
        <w:tc>
          <w:tcPr>
            <w:tcW w:w="782"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3</w:t>
            </w:r>
          </w:p>
        </w:tc>
        <w:tc>
          <w:tcPr>
            <w:tcW w:w="3541"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Sunshine Coast</w:t>
            </w:r>
          </w:p>
        </w:tc>
        <w:tc>
          <w:tcPr>
            <w:tcW w:w="2801"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$1.2million</w:t>
            </w:r>
          </w:p>
        </w:tc>
        <w:tc>
          <w:tcPr>
            <w:tcW w:w="3123"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Ownership</w:t>
            </w:r>
          </w:p>
        </w:tc>
      </w:tr>
      <w:tr w:rsidR="003756BE" w:rsidRPr="003756BE" w:rsidTr="003756BE">
        <w:trPr>
          <w:trHeight w:val="253"/>
        </w:trPr>
        <w:tc>
          <w:tcPr>
            <w:tcW w:w="782"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4</w:t>
            </w:r>
          </w:p>
        </w:tc>
        <w:tc>
          <w:tcPr>
            <w:tcW w:w="3541"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Tasmania</w:t>
            </w:r>
          </w:p>
        </w:tc>
        <w:tc>
          <w:tcPr>
            <w:tcW w:w="2801"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 xml:space="preserve">$16.0million </w:t>
            </w:r>
          </w:p>
        </w:tc>
        <w:tc>
          <w:tcPr>
            <w:tcW w:w="3123"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Ownership</w:t>
            </w:r>
          </w:p>
        </w:tc>
      </w:tr>
      <w:tr w:rsidR="003756BE" w:rsidRPr="003756BE" w:rsidTr="003756BE">
        <w:trPr>
          <w:trHeight w:val="253"/>
        </w:trPr>
        <w:tc>
          <w:tcPr>
            <w:tcW w:w="782"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5</w:t>
            </w:r>
          </w:p>
        </w:tc>
        <w:tc>
          <w:tcPr>
            <w:tcW w:w="3541"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 xml:space="preserve">Capital Expenditure </w:t>
            </w:r>
          </w:p>
        </w:tc>
        <w:tc>
          <w:tcPr>
            <w:tcW w:w="2801"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$12.6million</w:t>
            </w:r>
          </w:p>
        </w:tc>
        <w:tc>
          <w:tcPr>
            <w:tcW w:w="3123"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262B6E">
              <w:rPr>
                <w:rFonts w:ascii="Times New Roman" w:eastAsia="Times New Roman" w:hAnsi="Times New Roman" w:cs="Times New Roman"/>
                <w:color w:val="000000"/>
              </w:rPr>
              <w:t>Expansion</w:t>
            </w:r>
          </w:p>
        </w:tc>
      </w:tr>
      <w:tr w:rsidR="003756BE" w:rsidRPr="003756BE" w:rsidTr="003756BE">
        <w:trPr>
          <w:trHeight w:val="253"/>
        </w:trPr>
        <w:tc>
          <w:tcPr>
            <w:tcW w:w="782"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6</w:t>
            </w:r>
          </w:p>
        </w:tc>
        <w:tc>
          <w:tcPr>
            <w:tcW w:w="3541"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 xml:space="preserve">Geographic </w:t>
            </w:r>
            <w:r w:rsidRPr="00262B6E">
              <w:rPr>
                <w:rFonts w:ascii="Times New Roman" w:eastAsia="Times New Roman" w:hAnsi="Times New Roman" w:cs="Times New Roman"/>
                <w:color w:val="000000"/>
              </w:rPr>
              <w:t>Expansion</w:t>
            </w:r>
          </w:p>
        </w:tc>
        <w:tc>
          <w:tcPr>
            <w:tcW w:w="2801"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 xml:space="preserve">$8.007m </w:t>
            </w:r>
          </w:p>
        </w:tc>
        <w:tc>
          <w:tcPr>
            <w:tcW w:w="3123"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262B6E">
              <w:rPr>
                <w:rFonts w:ascii="Times New Roman" w:eastAsia="Times New Roman" w:hAnsi="Times New Roman" w:cs="Times New Roman"/>
                <w:color w:val="000000"/>
              </w:rPr>
              <w:t>Expansion</w:t>
            </w:r>
          </w:p>
        </w:tc>
      </w:tr>
      <w:tr w:rsidR="003756BE" w:rsidRPr="003756BE" w:rsidTr="003756BE">
        <w:trPr>
          <w:trHeight w:val="253"/>
        </w:trPr>
        <w:tc>
          <w:tcPr>
            <w:tcW w:w="782"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7</w:t>
            </w:r>
          </w:p>
        </w:tc>
        <w:tc>
          <w:tcPr>
            <w:tcW w:w="3541"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Payment of loan</w:t>
            </w:r>
          </w:p>
        </w:tc>
        <w:tc>
          <w:tcPr>
            <w:tcW w:w="2801"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 xml:space="preserve">$13.4m </w:t>
            </w:r>
          </w:p>
        </w:tc>
        <w:tc>
          <w:tcPr>
            <w:tcW w:w="3123"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Loan payment</w:t>
            </w:r>
          </w:p>
        </w:tc>
      </w:tr>
      <w:tr w:rsidR="003756BE" w:rsidRPr="003756BE" w:rsidTr="003756BE">
        <w:trPr>
          <w:trHeight w:val="253"/>
        </w:trPr>
        <w:tc>
          <w:tcPr>
            <w:tcW w:w="782"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8</w:t>
            </w:r>
          </w:p>
        </w:tc>
        <w:tc>
          <w:tcPr>
            <w:tcW w:w="3541"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IPO transaction cost</w:t>
            </w:r>
          </w:p>
        </w:tc>
        <w:tc>
          <w:tcPr>
            <w:tcW w:w="2801"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 xml:space="preserve">$10.651m </w:t>
            </w:r>
          </w:p>
        </w:tc>
        <w:tc>
          <w:tcPr>
            <w:tcW w:w="3123"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Expenses</w:t>
            </w:r>
          </w:p>
        </w:tc>
      </w:tr>
      <w:tr w:rsidR="003756BE" w:rsidRPr="003756BE" w:rsidTr="003756BE">
        <w:trPr>
          <w:trHeight w:val="253"/>
        </w:trPr>
        <w:tc>
          <w:tcPr>
            <w:tcW w:w="782"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9</w:t>
            </w:r>
          </w:p>
        </w:tc>
        <w:tc>
          <w:tcPr>
            <w:tcW w:w="3541"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 xml:space="preserve">Cash reserved </w:t>
            </w:r>
          </w:p>
        </w:tc>
        <w:tc>
          <w:tcPr>
            <w:tcW w:w="2801"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 xml:space="preserve">$140m </w:t>
            </w:r>
          </w:p>
        </w:tc>
        <w:tc>
          <w:tcPr>
            <w:tcW w:w="3123" w:type="dxa"/>
            <w:tcBorders>
              <w:top w:val="nil"/>
              <w:left w:val="nil"/>
              <w:bottom w:val="nil"/>
              <w:right w:val="nil"/>
            </w:tcBorders>
            <w:shd w:val="clear" w:color="auto" w:fill="auto"/>
            <w:noWrap/>
            <w:vAlign w:val="bottom"/>
            <w:hideMark/>
          </w:tcPr>
          <w:p w:rsidR="003756BE" w:rsidRPr="003756BE" w:rsidRDefault="003756BE" w:rsidP="00262B6E">
            <w:pPr>
              <w:spacing w:after="0" w:line="276" w:lineRule="auto"/>
              <w:jc w:val="both"/>
              <w:rPr>
                <w:rFonts w:ascii="Times New Roman" w:eastAsia="Times New Roman" w:hAnsi="Times New Roman" w:cs="Times New Roman"/>
                <w:color w:val="000000"/>
              </w:rPr>
            </w:pPr>
            <w:r w:rsidRPr="003756BE">
              <w:rPr>
                <w:rFonts w:ascii="Times New Roman" w:eastAsia="Times New Roman" w:hAnsi="Times New Roman" w:cs="Times New Roman"/>
                <w:color w:val="000000"/>
              </w:rPr>
              <w:t>Assets</w:t>
            </w:r>
          </w:p>
        </w:tc>
      </w:tr>
    </w:tbl>
    <w:p w:rsidR="00B74AC4" w:rsidRPr="00262B6E" w:rsidRDefault="00B74AC4" w:rsidP="00262B6E">
      <w:pPr>
        <w:spacing w:line="276" w:lineRule="auto"/>
        <w:jc w:val="both"/>
        <w:rPr>
          <w:rFonts w:ascii="Times New Roman" w:hAnsi="Times New Roman" w:cs="Times New Roman"/>
        </w:rPr>
      </w:pPr>
    </w:p>
    <w:p w:rsidR="007C7D4B" w:rsidRDefault="007C7D4B" w:rsidP="00262B6E">
      <w:pPr>
        <w:spacing w:line="276" w:lineRule="auto"/>
        <w:jc w:val="both"/>
        <w:rPr>
          <w:rFonts w:ascii="Times New Roman" w:hAnsi="Times New Roman" w:cs="Times New Roman"/>
        </w:rPr>
      </w:pPr>
    </w:p>
    <w:p w:rsidR="007C7D4B" w:rsidRDefault="007C7D4B" w:rsidP="00262B6E">
      <w:pPr>
        <w:spacing w:line="276" w:lineRule="auto"/>
        <w:jc w:val="both"/>
        <w:rPr>
          <w:rFonts w:ascii="Times New Roman" w:hAnsi="Times New Roman" w:cs="Times New Roman"/>
        </w:rPr>
      </w:pPr>
    </w:p>
    <w:p w:rsidR="007C7D4B" w:rsidRDefault="007C7D4B" w:rsidP="00262B6E">
      <w:pPr>
        <w:spacing w:line="276" w:lineRule="auto"/>
        <w:jc w:val="both"/>
        <w:rPr>
          <w:rFonts w:ascii="Times New Roman" w:hAnsi="Times New Roman" w:cs="Times New Roman"/>
        </w:rPr>
      </w:pPr>
    </w:p>
    <w:p w:rsidR="00B74AC4" w:rsidRPr="00262B6E" w:rsidRDefault="007C7D4B" w:rsidP="00262B6E">
      <w:pPr>
        <w:spacing w:line="276" w:lineRule="auto"/>
        <w:jc w:val="both"/>
        <w:rPr>
          <w:rFonts w:ascii="Times New Roman" w:hAnsi="Times New Roman" w:cs="Times New Roman"/>
        </w:rPr>
      </w:pPr>
      <w:r>
        <w:rPr>
          <w:rFonts w:ascii="Times New Roman" w:hAnsi="Times New Roman" w:cs="Times New Roman"/>
        </w:rPr>
        <w:lastRenderedPageBreak/>
        <w:t>GDI Property collect $567.7m in their first IPO, these funds they used to acquire different properties to add the value in their fix assets. The investment of company properties is mentioned below,</w:t>
      </w:r>
    </w:p>
    <w:tbl>
      <w:tblPr>
        <w:tblW w:w="10420" w:type="dxa"/>
        <w:tblLook w:val="04A0" w:firstRow="1" w:lastRow="0" w:firstColumn="1" w:lastColumn="0" w:noHBand="0" w:noVBand="1"/>
      </w:tblPr>
      <w:tblGrid>
        <w:gridCol w:w="851"/>
        <w:gridCol w:w="3580"/>
        <w:gridCol w:w="2831"/>
        <w:gridCol w:w="3158"/>
      </w:tblGrid>
      <w:tr w:rsidR="00B74AC4" w:rsidRPr="00B74AC4" w:rsidTr="00B74AC4">
        <w:trPr>
          <w:trHeight w:val="253"/>
        </w:trPr>
        <w:tc>
          <w:tcPr>
            <w:tcW w:w="851" w:type="dxa"/>
            <w:tcBorders>
              <w:top w:val="nil"/>
              <w:left w:val="nil"/>
              <w:bottom w:val="nil"/>
              <w:right w:val="nil"/>
            </w:tcBorders>
            <w:shd w:val="clear" w:color="auto" w:fill="auto"/>
            <w:noWrap/>
            <w:vAlign w:val="center"/>
            <w:hideMark/>
          </w:tcPr>
          <w:p w:rsidR="00B74AC4" w:rsidRPr="00B74AC4" w:rsidRDefault="00B74AC4" w:rsidP="00262B6E">
            <w:pPr>
              <w:spacing w:after="0" w:line="276" w:lineRule="auto"/>
              <w:jc w:val="both"/>
              <w:rPr>
                <w:rFonts w:ascii="Times New Roman" w:eastAsia="Times New Roman" w:hAnsi="Times New Roman" w:cs="Times New Roman"/>
                <w:b/>
                <w:bCs/>
                <w:color w:val="000000"/>
              </w:rPr>
            </w:pPr>
            <w:r w:rsidRPr="00B74AC4">
              <w:rPr>
                <w:rFonts w:ascii="Times New Roman" w:eastAsia="Times New Roman" w:hAnsi="Times New Roman" w:cs="Times New Roman"/>
                <w:b/>
                <w:bCs/>
                <w:color w:val="000000"/>
              </w:rPr>
              <w:t>SR</w:t>
            </w:r>
          </w:p>
        </w:tc>
        <w:tc>
          <w:tcPr>
            <w:tcW w:w="3580" w:type="dxa"/>
            <w:tcBorders>
              <w:top w:val="nil"/>
              <w:left w:val="nil"/>
              <w:bottom w:val="nil"/>
              <w:right w:val="nil"/>
            </w:tcBorders>
            <w:shd w:val="clear" w:color="auto" w:fill="auto"/>
            <w:noWrap/>
            <w:vAlign w:val="bottom"/>
            <w:hideMark/>
          </w:tcPr>
          <w:p w:rsidR="00B74AC4" w:rsidRPr="00B74AC4" w:rsidRDefault="00B74AC4" w:rsidP="00262B6E">
            <w:pPr>
              <w:spacing w:after="0" w:line="276" w:lineRule="auto"/>
              <w:jc w:val="both"/>
              <w:rPr>
                <w:rFonts w:ascii="Times New Roman" w:eastAsia="Times New Roman" w:hAnsi="Times New Roman" w:cs="Times New Roman"/>
                <w:b/>
                <w:bCs/>
                <w:color w:val="000000"/>
              </w:rPr>
            </w:pPr>
            <w:r w:rsidRPr="00B74AC4">
              <w:rPr>
                <w:rFonts w:ascii="Times New Roman" w:eastAsia="Times New Roman" w:hAnsi="Times New Roman" w:cs="Times New Roman"/>
                <w:b/>
                <w:bCs/>
                <w:color w:val="000000"/>
              </w:rPr>
              <w:t>Investment</w:t>
            </w:r>
          </w:p>
        </w:tc>
        <w:tc>
          <w:tcPr>
            <w:tcW w:w="2831" w:type="dxa"/>
            <w:tcBorders>
              <w:top w:val="nil"/>
              <w:left w:val="nil"/>
              <w:bottom w:val="nil"/>
              <w:right w:val="nil"/>
            </w:tcBorders>
            <w:shd w:val="clear" w:color="auto" w:fill="auto"/>
            <w:noWrap/>
            <w:vAlign w:val="bottom"/>
            <w:hideMark/>
          </w:tcPr>
          <w:p w:rsidR="00B74AC4" w:rsidRPr="00B74AC4" w:rsidRDefault="00B74AC4" w:rsidP="00262B6E">
            <w:pPr>
              <w:spacing w:after="0" w:line="276" w:lineRule="auto"/>
              <w:jc w:val="both"/>
              <w:rPr>
                <w:rFonts w:ascii="Times New Roman" w:eastAsia="Times New Roman" w:hAnsi="Times New Roman" w:cs="Times New Roman"/>
                <w:b/>
                <w:bCs/>
                <w:color w:val="000000"/>
              </w:rPr>
            </w:pPr>
            <w:r w:rsidRPr="00B74AC4">
              <w:rPr>
                <w:rFonts w:ascii="Times New Roman" w:eastAsia="Times New Roman" w:hAnsi="Times New Roman" w:cs="Times New Roman"/>
                <w:b/>
                <w:bCs/>
                <w:color w:val="000000"/>
              </w:rPr>
              <w:t>Amount</w:t>
            </w:r>
          </w:p>
        </w:tc>
        <w:tc>
          <w:tcPr>
            <w:tcW w:w="3158" w:type="dxa"/>
            <w:tcBorders>
              <w:top w:val="nil"/>
              <w:left w:val="nil"/>
              <w:bottom w:val="nil"/>
              <w:right w:val="nil"/>
            </w:tcBorders>
            <w:shd w:val="clear" w:color="auto" w:fill="auto"/>
            <w:noWrap/>
            <w:vAlign w:val="bottom"/>
            <w:hideMark/>
          </w:tcPr>
          <w:p w:rsidR="00B74AC4" w:rsidRPr="00B74AC4" w:rsidRDefault="00B74AC4" w:rsidP="00262B6E">
            <w:pPr>
              <w:spacing w:after="0" w:line="276" w:lineRule="auto"/>
              <w:jc w:val="both"/>
              <w:rPr>
                <w:rFonts w:ascii="Times New Roman" w:eastAsia="Times New Roman" w:hAnsi="Times New Roman" w:cs="Times New Roman"/>
                <w:b/>
                <w:bCs/>
                <w:color w:val="000000"/>
              </w:rPr>
            </w:pPr>
            <w:r w:rsidRPr="00B74AC4">
              <w:rPr>
                <w:rFonts w:ascii="Times New Roman" w:eastAsia="Times New Roman" w:hAnsi="Times New Roman" w:cs="Times New Roman"/>
                <w:b/>
                <w:bCs/>
                <w:color w:val="000000"/>
              </w:rPr>
              <w:t>Purpose</w:t>
            </w:r>
          </w:p>
        </w:tc>
      </w:tr>
      <w:tr w:rsidR="00B74AC4" w:rsidRPr="00B74AC4" w:rsidTr="00B74AC4">
        <w:trPr>
          <w:trHeight w:val="253"/>
        </w:trPr>
        <w:tc>
          <w:tcPr>
            <w:tcW w:w="851" w:type="dxa"/>
            <w:tcBorders>
              <w:top w:val="nil"/>
              <w:left w:val="nil"/>
              <w:bottom w:val="nil"/>
              <w:right w:val="nil"/>
            </w:tcBorders>
            <w:shd w:val="clear" w:color="auto" w:fill="auto"/>
            <w:noWrap/>
            <w:vAlign w:val="center"/>
            <w:hideMark/>
          </w:tcPr>
          <w:p w:rsidR="00B74AC4" w:rsidRPr="00B74AC4" w:rsidRDefault="00B74AC4" w:rsidP="00262B6E">
            <w:pPr>
              <w:spacing w:after="0" w:line="276" w:lineRule="auto"/>
              <w:jc w:val="both"/>
              <w:rPr>
                <w:rFonts w:ascii="Times New Roman" w:eastAsia="Times New Roman" w:hAnsi="Times New Roman" w:cs="Times New Roman"/>
                <w:color w:val="000000"/>
              </w:rPr>
            </w:pPr>
            <w:r w:rsidRPr="00B74AC4">
              <w:rPr>
                <w:rFonts w:ascii="Times New Roman" w:eastAsia="Times New Roman" w:hAnsi="Times New Roman" w:cs="Times New Roman"/>
                <w:color w:val="000000"/>
              </w:rPr>
              <w:t>1</w:t>
            </w:r>
          </w:p>
        </w:tc>
        <w:tc>
          <w:tcPr>
            <w:tcW w:w="3580" w:type="dxa"/>
            <w:tcBorders>
              <w:top w:val="nil"/>
              <w:left w:val="nil"/>
              <w:bottom w:val="nil"/>
              <w:right w:val="nil"/>
            </w:tcBorders>
            <w:shd w:val="clear" w:color="auto" w:fill="auto"/>
            <w:noWrap/>
            <w:vAlign w:val="bottom"/>
            <w:hideMark/>
          </w:tcPr>
          <w:p w:rsidR="00B74AC4" w:rsidRPr="00B74AC4" w:rsidRDefault="00B74AC4" w:rsidP="00262B6E">
            <w:pPr>
              <w:spacing w:after="0" w:line="276" w:lineRule="auto"/>
              <w:jc w:val="both"/>
              <w:rPr>
                <w:rFonts w:ascii="Times New Roman" w:eastAsia="Times New Roman" w:hAnsi="Times New Roman" w:cs="Times New Roman"/>
                <w:color w:val="000000"/>
              </w:rPr>
            </w:pPr>
            <w:r w:rsidRPr="00B74AC4">
              <w:rPr>
                <w:rFonts w:ascii="Times New Roman" w:eastAsia="Times New Roman" w:hAnsi="Times New Roman" w:cs="Times New Roman"/>
                <w:color w:val="000000"/>
              </w:rPr>
              <w:t>Mill Green Complex</w:t>
            </w:r>
          </w:p>
        </w:tc>
        <w:tc>
          <w:tcPr>
            <w:tcW w:w="2831" w:type="dxa"/>
            <w:tcBorders>
              <w:top w:val="nil"/>
              <w:left w:val="nil"/>
              <w:bottom w:val="nil"/>
              <w:right w:val="nil"/>
            </w:tcBorders>
            <w:shd w:val="clear" w:color="auto" w:fill="auto"/>
            <w:noWrap/>
            <w:vAlign w:val="bottom"/>
            <w:hideMark/>
          </w:tcPr>
          <w:p w:rsidR="00B74AC4" w:rsidRPr="00B74AC4" w:rsidRDefault="00B74AC4" w:rsidP="00262B6E">
            <w:pPr>
              <w:spacing w:after="0" w:line="276" w:lineRule="auto"/>
              <w:jc w:val="both"/>
              <w:rPr>
                <w:rFonts w:ascii="Times New Roman" w:eastAsia="Times New Roman" w:hAnsi="Times New Roman" w:cs="Times New Roman"/>
                <w:color w:val="000000"/>
              </w:rPr>
            </w:pPr>
            <w:r w:rsidRPr="00B74AC4">
              <w:rPr>
                <w:rFonts w:ascii="Times New Roman" w:eastAsia="Times New Roman" w:hAnsi="Times New Roman" w:cs="Times New Roman"/>
                <w:color w:val="000000"/>
              </w:rPr>
              <w:t>$332.0m</w:t>
            </w:r>
          </w:p>
        </w:tc>
        <w:tc>
          <w:tcPr>
            <w:tcW w:w="3158" w:type="dxa"/>
            <w:tcBorders>
              <w:top w:val="nil"/>
              <w:left w:val="nil"/>
              <w:bottom w:val="nil"/>
              <w:right w:val="nil"/>
            </w:tcBorders>
            <w:shd w:val="clear" w:color="auto" w:fill="auto"/>
            <w:noWrap/>
            <w:vAlign w:val="bottom"/>
            <w:hideMark/>
          </w:tcPr>
          <w:p w:rsidR="00B74AC4" w:rsidRPr="00B74AC4" w:rsidRDefault="00B74AC4" w:rsidP="00262B6E">
            <w:pPr>
              <w:spacing w:after="0" w:line="276" w:lineRule="auto"/>
              <w:jc w:val="both"/>
              <w:rPr>
                <w:rFonts w:ascii="Times New Roman" w:eastAsia="Times New Roman" w:hAnsi="Times New Roman" w:cs="Times New Roman"/>
                <w:color w:val="000000"/>
              </w:rPr>
            </w:pPr>
            <w:r w:rsidRPr="00262B6E">
              <w:rPr>
                <w:rFonts w:ascii="Times New Roman" w:eastAsia="Times New Roman" w:hAnsi="Times New Roman" w:cs="Times New Roman"/>
                <w:color w:val="000000"/>
              </w:rPr>
              <w:t>Property</w:t>
            </w:r>
            <w:r w:rsidRPr="00B74AC4">
              <w:rPr>
                <w:rFonts w:ascii="Times New Roman" w:eastAsia="Times New Roman" w:hAnsi="Times New Roman" w:cs="Times New Roman"/>
                <w:color w:val="000000"/>
              </w:rPr>
              <w:t xml:space="preserve"> </w:t>
            </w:r>
            <w:r w:rsidRPr="00262B6E">
              <w:rPr>
                <w:rFonts w:ascii="Times New Roman" w:eastAsia="Times New Roman" w:hAnsi="Times New Roman" w:cs="Times New Roman"/>
                <w:color w:val="000000"/>
              </w:rPr>
              <w:t>Expansion</w:t>
            </w:r>
          </w:p>
        </w:tc>
      </w:tr>
      <w:tr w:rsidR="00B74AC4" w:rsidRPr="00B74AC4" w:rsidTr="00B74AC4">
        <w:trPr>
          <w:trHeight w:val="253"/>
        </w:trPr>
        <w:tc>
          <w:tcPr>
            <w:tcW w:w="851" w:type="dxa"/>
            <w:tcBorders>
              <w:top w:val="nil"/>
              <w:left w:val="nil"/>
              <w:bottom w:val="nil"/>
              <w:right w:val="nil"/>
            </w:tcBorders>
            <w:shd w:val="clear" w:color="auto" w:fill="auto"/>
            <w:noWrap/>
            <w:vAlign w:val="center"/>
            <w:hideMark/>
          </w:tcPr>
          <w:p w:rsidR="00B74AC4" w:rsidRPr="00B74AC4" w:rsidRDefault="00B74AC4" w:rsidP="00262B6E">
            <w:pPr>
              <w:spacing w:after="0" w:line="276" w:lineRule="auto"/>
              <w:jc w:val="both"/>
              <w:rPr>
                <w:rFonts w:ascii="Times New Roman" w:eastAsia="Times New Roman" w:hAnsi="Times New Roman" w:cs="Times New Roman"/>
                <w:color w:val="000000"/>
              </w:rPr>
            </w:pPr>
            <w:r w:rsidRPr="00B74AC4">
              <w:rPr>
                <w:rFonts w:ascii="Times New Roman" w:eastAsia="Times New Roman" w:hAnsi="Times New Roman" w:cs="Times New Roman"/>
                <w:color w:val="000000"/>
              </w:rPr>
              <w:t>2</w:t>
            </w:r>
          </w:p>
        </w:tc>
        <w:tc>
          <w:tcPr>
            <w:tcW w:w="3580" w:type="dxa"/>
            <w:tcBorders>
              <w:top w:val="nil"/>
              <w:left w:val="nil"/>
              <w:bottom w:val="nil"/>
              <w:right w:val="nil"/>
            </w:tcBorders>
            <w:shd w:val="clear" w:color="auto" w:fill="auto"/>
            <w:noWrap/>
            <w:vAlign w:val="bottom"/>
            <w:hideMark/>
          </w:tcPr>
          <w:p w:rsidR="00B74AC4" w:rsidRPr="00B74AC4" w:rsidRDefault="00B74AC4" w:rsidP="00262B6E">
            <w:pPr>
              <w:spacing w:after="0" w:line="276" w:lineRule="auto"/>
              <w:jc w:val="both"/>
              <w:rPr>
                <w:rFonts w:ascii="Times New Roman" w:eastAsia="Times New Roman" w:hAnsi="Times New Roman" w:cs="Times New Roman"/>
                <w:color w:val="000000"/>
              </w:rPr>
            </w:pPr>
            <w:r w:rsidRPr="00B74AC4">
              <w:rPr>
                <w:rFonts w:ascii="Times New Roman" w:eastAsia="Times New Roman" w:hAnsi="Times New Roman" w:cs="Times New Roman"/>
                <w:color w:val="000000"/>
              </w:rPr>
              <w:t>233 Castlereagh St</w:t>
            </w:r>
          </w:p>
        </w:tc>
        <w:tc>
          <w:tcPr>
            <w:tcW w:w="2831" w:type="dxa"/>
            <w:tcBorders>
              <w:top w:val="nil"/>
              <w:left w:val="nil"/>
              <w:bottom w:val="nil"/>
              <w:right w:val="nil"/>
            </w:tcBorders>
            <w:shd w:val="clear" w:color="auto" w:fill="auto"/>
            <w:noWrap/>
            <w:vAlign w:val="bottom"/>
            <w:hideMark/>
          </w:tcPr>
          <w:p w:rsidR="00B74AC4" w:rsidRPr="00B74AC4" w:rsidRDefault="00B74AC4" w:rsidP="00262B6E">
            <w:pPr>
              <w:spacing w:after="0" w:line="276" w:lineRule="auto"/>
              <w:jc w:val="both"/>
              <w:rPr>
                <w:rFonts w:ascii="Times New Roman" w:eastAsia="Times New Roman" w:hAnsi="Times New Roman" w:cs="Times New Roman"/>
                <w:color w:val="000000"/>
              </w:rPr>
            </w:pPr>
            <w:r w:rsidRPr="00B74AC4">
              <w:rPr>
                <w:rFonts w:ascii="Times New Roman" w:eastAsia="Times New Roman" w:hAnsi="Times New Roman" w:cs="Times New Roman"/>
                <w:color w:val="000000"/>
              </w:rPr>
              <w:t>$121.0m</w:t>
            </w:r>
          </w:p>
        </w:tc>
        <w:tc>
          <w:tcPr>
            <w:tcW w:w="3158" w:type="dxa"/>
            <w:tcBorders>
              <w:top w:val="nil"/>
              <w:left w:val="nil"/>
              <w:bottom w:val="nil"/>
              <w:right w:val="nil"/>
            </w:tcBorders>
            <w:shd w:val="clear" w:color="auto" w:fill="auto"/>
            <w:noWrap/>
            <w:vAlign w:val="bottom"/>
            <w:hideMark/>
          </w:tcPr>
          <w:p w:rsidR="00B74AC4" w:rsidRPr="00B74AC4" w:rsidRDefault="00B74AC4" w:rsidP="00262B6E">
            <w:pPr>
              <w:spacing w:after="0" w:line="276" w:lineRule="auto"/>
              <w:jc w:val="both"/>
              <w:rPr>
                <w:rFonts w:ascii="Times New Roman" w:eastAsia="Times New Roman" w:hAnsi="Times New Roman" w:cs="Times New Roman"/>
                <w:color w:val="000000"/>
              </w:rPr>
            </w:pPr>
            <w:r w:rsidRPr="00262B6E">
              <w:rPr>
                <w:rFonts w:ascii="Times New Roman" w:eastAsia="Times New Roman" w:hAnsi="Times New Roman" w:cs="Times New Roman"/>
                <w:color w:val="000000"/>
              </w:rPr>
              <w:t>Property</w:t>
            </w:r>
            <w:r w:rsidRPr="00B74AC4">
              <w:rPr>
                <w:rFonts w:ascii="Times New Roman" w:eastAsia="Times New Roman" w:hAnsi="Times New Roman" w:cs="Times New Roman"/>
                <w:color w:val="000000"/>
              </w:rPr>
              <w:t xml:space="preserve"> </w:t>
            </w:r>
            <w:r w:rsidRPr="00262B6E">
              <w:rPr>
                <w:rFonts w:ascii="Times New Roman" w:eastAsia="Times New Roman" w:hAnsi="Times New Roman" w:cs="Times New Roman"/>
                <w:color w:val="000000"/>
              </w:rPr>
              <w:t>Expansion</w:t>
            </w:r>
          </w:p>
        </w:tc>
      </w:tr>
      <w:tr w:rsidR="00B74AC4" w:rsidRPr="00B74AC4" w:rsidTr="00B74AC4">
        <w:trPr>
          <w:trHeight w:val="253"/>
        </w:trPr>
        <w:tc>
          <w:tcPr>
            <w:tcW w:w="851" w:type="dxa"/>
            <w:tcBorders>
              <w:top w:val="nil"/>
              <w:left w:val="nil"/>
              <w:bottom w:val="nil"/>
              <w:right w:val="nil"/>
            </w:tcBorders>
            <w:shd w:val="clear" w:color="auto" w:fill="auto"/>
            <w:noWrap/>
            <w:vAlign w:val="center"/>
            <w:hideMark/>
          </w:tcPr>
          <w:p w:rsidR="00B74AC4" w:rsidRPr="00B74AC4" w:rsidRDefault="00B74AC4" w:rsidP="00262B6E">
            <w:pPr>
              <w:spacing w:after="0" w:line="276" w:lineRule="auto"/>
              <w:jc w:val="both"/>
              <w:rPr>
                <w:rFonts w:ascii="Times New Roman" w:eastAsia="Times New Roman" w:hAnsi="Times New Roman" w:cs="Times New Roman"/>
                <w:color w:val="000000"/>
              </w:rPr>
            </w:pPr>
            <w:r w:rsidRPr="00B74AC4">
              <w:rPr>
                <w:rFonts w:ascii="Times New Roman" w:eastAsia="Times New Roman" w:hAnsi="Times New Roman" w:cs="Times New Roman"/>
                <w:color w:val="000000"/>
              </w:rPr>
              <w:t>3</w:t>
            </w:r>
          </w:p>
        </w:tc>
        <w:tc>
          <w:tcPr>
            <w:tcW w:w="3580" w:type="dxa"/>
            <w:tcBorders>
              <w:top w:val="nil"/>
              <w:left w:val="nil"/>
              <w:bottom w:val="nil"/>
              <w:right w:val="nil"/>
            </w:tcBorders>
            <w:shd w:val="clear" w:color="auto" w:fill="auto"/>
            <w:noWrap/>
            <w:vAlign w:val="bottom"/>
            <w:hideMark/>
          </w:tcPr>
          <w:p w:rsidR="00B74AC4" w:rsidRPr="00B74AC4" w:rsidRDefault="00B74AC4" w:rsidP="00262B6E">
            <w:pPr>
              <w:spacing w:after="0" w:line="276" w:lineRule="auto"/>
              <w:jc w:val="both"/>
              <w:rPr>
                <w:rFonts w:ascii="Times New Roman" w:eastAsia="Times New Roman" w:hAnsi="Times New Roman" w:cs="Times New Roman"/>
                <w:color w:val="000000"/>
              </w:rPr>
            </w:pPr>
            <w:r w:rsidRPr="00B74AC4">
              <w:rPr>
                <w:rFonts w:ascii="Times New Roman" w:eastAsia="Times New Roman" w:hAnsi="Times New Roman" w:cs="Times New Roman"/>
                <w:color w:val="000000"/>
              </w:rPr>
              <w:t>25 Grenfell St</w:t>
            </w:r>
          </w:p>
        </w:tc>
        <w:tc>
          <w:tcPr>
            <w:tcW w:w="2831" w:type="dxa"/>
            <w:tcBorders>
              <w:top w:val="nil"/>
              <w:left w:val="nil"/>
              <w:bottom w:val="nil"/>
              <w:right w:val="nil"/>
            </w:tcBorders>
            <w:shd w:val="clear" w:color="auto" w:fill="auto"/>
            <w:noWrap/>
            <w:vAlign w:val="bottom"/>
            <w:hideMark/>
          </w:tcPr>
          <w:p w:rsidR="00B74AC4" w:rsidRPr="00B74AC4" w:rsidRDefault="00B74AC4" w:rsidP="00262B6E">
            <w:pPr>
              <w:spacing w:after="0" w:line="276" w:lineRule="auto"/>
              <w:jc w:val="both"/>
              <w:rPr>
                <w:rFonts w:ascii="Times New Roman" w:eastAsia="Times New Roman" w:hAnsi="Times New Roman" w:cs="Times New Roman"/>
                <w:color w:val="000000"/>
              </w:rPr>
            </w:pPr>
            <w:r w:rsidRPr="00B74AC4">
              <w:rPr>
                <w:rFonts w:ascii="Times New Roman" w:eastAsia="Times New Roman" w:hAnsi="Times New Roman" w:cs="Times New Roman"/>
                <w:color w:val="000000"/>
              </w:rPr>
              <w:t>$109.0m</w:t>
            </w:r>
          </w:p>
        </w:tc>
        <w:tc>
          <w:tcPr>
            <w:tcW w:w="3158" w:type="dxa"/>
            <w:tcBorders>
              <w:top w:val="nil"/>
              <w:left w:val="nil"/>
              <w:bottom w:val="nil"/>
              <w:right w:val="nil"/>
            </w:tcBorders>
            <w:shd w:val="clear" w:color="auto" w:fill="auto"/>
            <w:noWrap/>
            <w:vAlign w:val="bottom"/>
            <w:hideMark/>
          </w:tcPr>
          <w:p w:rsidR="00B74AC4" w:rsidRPr="00B74AC4" w:rsidRDefault="00B74AC4" w:rsidP="00262B6E">
            <w:pPr>
              <w:spacing w:after="0" w:line="276" w:lineRule="auto"/>
              <w:jc w:val="both"/>
              <w:rPr>
                <w:rFonts w:ascii="Times New Roman" w:eastAsia="Times New Roman" w:hAnsi="Times New Roman" w:cs="Times New Roman"/>
                <w:color w:val="000000"/>
              </w:rPr>
            </w:pPr>
            <w:r w:rsidRPr="00262B6E">
              <w:rPr>
                <w:rFonts w:ascii="Times New Roman" w:eastAsia="Times New Roman" w:hAnsi="Times New Roman" w:cs="Times New Roman"/>
                <w:color w:val="000000"/>
              </w:rPr>
              <w:t>Property</w:t>
            </w:r>
            <w:r w:rsidRPr="00B74AC4">
              <w:rPr>
                <w:rFonts w:ascii="Times New Roman" w:eastAsia="Times New Roman" w:hAnsi="Times New Roman" w:cs="Times New Roman"/>
                <w:color w:val="000000"/>
              </w:rPr>
              <w:t xml:space="preserve"> </w:t>
            </w:r>
            <w:r w:rsidRPr="00262B6E">
              <w:rPr>
                <w:rFonts w:ascii="Times New Roman" w:eastAsia="Times New Roman" w:hAnsi="Times New Roman" w:cs="Times New Roman"/>
                <w:color w:val="000000"/>
              </w:rPr>
              <w:t>Expansion</w:t>
            </w:r>
          </w:p>
        </w:tc>
      </w:tr>
      <w:tr w:rsidR="00B74AC4" w:rsidRPr="00B74AC4" w:rsidTr="00B74AC4">
        <w:trPr>
          <w:trHeight w:val="253"/>
        </w:trPr>
        <w:tc>
          <w:tcPr>
            <w:tcW w:w="851" w:type="dxa"/>
            <w:tcBorders>
              <w:top w:val="nil"/>
              <w:left w:val="nil"/>
              <w:bottom w:val="nil"/>
              <w:right w:val="nil"/>
            </w:tcBorders>
            <w:shd w:val="clear" w:color="auto" w:fill="auto"/>
            <w:noWrap/>
            <w:vAlign w:val="center"/>
            <w:hideMark/>
          </w:tcPr>
          <w:p w:rsidR="00B74AC4" w:rsidRPr="00B74AC4" w:rsidRDefault="00B74AC4" w:rsidP="00262B6E">
            <w:pPr>
              <w:spacing w:after="0" w:line="276" w:lineRule="auto"/>
              <w:jc w:val="both"/>
              <w:rPr>
                <w:rFonts w:ascii="Times New Roman" w:eastAsia="Times New Roman" w:hAnsi="Times New Roman" w:cs="Times New Roman"/>
                <w:color w:val="000000"/>
              </w:rPr>
            </w:pPr>
            <w:r w:rsidRPr="00B74AC4">
              <w:rPr>
                <w:rFonts w:ascii="Times New Roman" w:eastAsia="Times New Roman" w:hAnsi="Times New Roman" w:cs="Times New Roman"/>
                <w:color w:val="000000"/>
              </w:rPr>
              <w:t>4</w:t>
            </w:r>
          </w:p>
        </w:tc>
        <w:tc>
          <w:tcPr>
            <w:tcW w:w="3580" w:type="dxa"/>
            <w:tcBorders>
              <w:top w:val="nil"/>
              <w:left w:val="nil"/>
              <w:bottom w:val="nil"/>
              <w:right w:val="nil"/>
            </w:tcBorders>
            <w:shd w:val="clear" w:color="auto" w:fill="auto"/>
            <w:noWrap/>
            <w:vAlign w:val="bottom"/>
            <w:hideMark/>
          </w:tcPr>
          <w:p w:rsidR="00B74AC4" w:rsidRPr="00B74AC4" w:rsidRDefault="00B74AC4" w:rsidP="00262B6E">
            <w:pPr>
              <w:spacing w:after="0" w:line="276" w:lineRule="auto"/>
              <w:jc w:val="both"/>
              <w:rPr>
                <w:rFonts w:ascii="Times New Roman" w:eastAsia="Times New Roman" w:hAnsi="Times New Roman" w:cs="Times New Roman"/>
                <w:color w:val="000000"/>
              </w:rPr>
            </w:pPr>
            <w:r w:rsidRPr="00B74AC4">
              <w:rPr>
                <w:rFonts w:ascii="Times New Roman" w:eastAsia="Times New Roman" w:hAnsi="Times New Roman" w:cs="Times New Roman"/>
                <w:color w:val="000000"/>
              </w:rPr>
              <w:t>307 Queen St</w:t>
            </w:r>
          </w:p>
        </w:tc>
        <w:tc>
          <w:tcPr>
            <w:tcW w:w="2831" w:type="dxa"/>
            <w:tcBorders>
              <w:top w:val="nil"/>
              <w:left w:val="nil"/>
              <w:bottom w:val="nil"/>
              <w:right w:val="nil"/>
            </w:tcBorders>
            <w:shd w:val="clear" w:color="auto" w:fill="auto"/>
            <w:noWrap/>
            <w:vAlign w:val="bottom"/>
            <w:hideMark/>
          </w:tcPr>
          <w:p w:rsidR="00B74AC4" w:rsidRPr="00B74AC4" w:rsidRDefault="00B74AC4" w:rsidP="00262B6E">
            <w:pPr>
              <w:spacing w:after="0" w:line="276" w:lineRule="auto"/>
              <w:jc w:val="both"/>
              <w:rPr>
                <w:rFonts w:ascii="Times New Roman" w:eastAsia="Times New Roman" w:hAnsi="Times New Roman" w:cs="Times New Roman"/>
                <w:color w:val="000000"/>
              </w:rPr>
            </w:pPr>
            <w:r w:rsidRPr="00B74AC4">
              <w:rPr>
                <w:rFonts w:ascii="Times New Roman" w:eastAsia="Times New Roman" w:hAnsi="Times New Roman" w:cs="Times New Roman"/>
                <w:color w:val="000000"/>
              </w:rPr>
              <w:t>$120.8m</w:t>
            </w:r>
          </w:p>
        </w:tc>
        <w:tc>
          <w:tcPr>
            <w:tcW w:w="3158" w:type="dxa"/>
            <w:tcBorders>
              <w:top w:val="nil"/>
              <w:left w:val="nil"/>
              <w:bottom w:val="nil"/>
              <w:right w:val="nil"/>
            </w:tcBorders>
            <w:shd w:val="clear" w:color="auto" w:fill="auto"/>
            <w:noWrap/>
            <w:vAlign w:val="bottom"/>
            <w:hideMark/>
          </w:tcPr>
          <w:p w:rsidR="00B74AC4" w:rsidRPr="00B74AC4" w:rsidRDefault="00B74AC4" w:rsidP="00262B6E">
            <w:pPr>
              <w:spacing w:after="0" w:line="276" w:lineRule="auto"/>
              <w:jc w:val="both"/>
              <w:rPr>
                <w:rFonts w:ascii="Times New Roman" w:eastAsia="Times New Roman" w:hAnsi="Times New Roman" w:cs="Times New Roman"/>
                <w:color w:val="000000"/>
              </w:rPr>
            </w:pPr>
            <w:r w:rsidRPr="00262B6E">
              <w:rPr>
                <w:rFonts w:ascii="Times New Roman" w:eastAsia="Times New Roman" w:hAnsi="Times New Roman" w:cs="Times New Roman"/>
                <w:color w:val="000000"/>
              </w:rPr>
              <w:t>Property</w:t>
            </w:r>
            <w:r w:rsidRPr="00B74AC4">
              <w:rPr>
                <w:rFonts w:ascii="Times New Roman" w:eastAsia="Times New Roman" w:hAnsi="Times New Roman" w:cs="Times New Roman"/>
                <w:color w:val="000000"/>
              </w:rPr>
              <w:t xml:space="preserve"> </w:t>
            </w:r>
            <w:r w:rsidRPr="00262B6E">
              <w:rPr>
                <w:rFonts w:ascii="Times New Roman" w:eastAsia="Times New Roman" w:hAnsi="Times New Roman" w:cs="Times New Roman"/>
                <w:color w:val="000000"/>
              </w:rPr>
              <w:t>Expansion</w:t>
            </w:r>
          </w:p>
        </w:tc>
      </w:tr>
    </w:tbl>
    <w:p w:rsidR="00B74AC4" w:rsidRPr="00262B6E" w:rsidRDefault="00B74AC4" w:rsidP="00262B6E">
      <w:pPr>
        <w:spacing w:line="276" w:lineRule="auto"/>
        <w:jc w:val="both"/>
        <w:rPr>
          <w:rFonts w:ascii="Times New Roman" w:hAnsi="Times New Roman" w:cs="Times New Roman"/>
        </w:rPr>
      </w:pPr>
    </w:p>
    <w:p w:rsidR="000E053A" w:rsidRDefault="000E053A" w:rsidP="00262B6E">
      <w:pPr>
        <w:spacing w:line="276" w:lineRule="auto"/>
        <w:jc w:val="both"/>
        <w:rPr>
          <w:rFonts w:ascii="Times New Roman" w:hAnsi="Times New Roman" w:cs="Times New Roman"/>
        </w:rPr>
      </w:pPr>
    </w:p>
    <w:p w:rsidR="000E053A" w:rsidRDefault="000E053A" w:rsidP="00262B6E">
      <w:pPr>
        <w:spacing w:line="276" w:lineRule="auto"/>
        <w:jc w:val="both"/>
        <w:rPr>
          <w:rFonts w:ascii="Times New Roman" w:hAnsi="Times New Roman" w:cs="Times New Roman"/>
        </w:rPr>
      </w:pPr>
    </w:p>
    <w:p w:rsidR="00B74AC4" w:rsidRPr="00262B6E" w:rsidRDefault="00183F53" w:rsidP="00262B6E">
      <w:pPr>
        <w:spacing w:line="276" w:lineRule="auto"/>
        <w:jc w:val="both"/>
        <w:rPr>
          <w:rFonts w:ascii="Times New Roman" w:eastAsia="Times New Roman" w:hAnsi="Times New Roman" w:cs="Times New Roman"/>
        </w:rPr>
      </w:pPr>
      <w:r w:rsidRPr="00262B6E">
        <w:rPr>
          <w:rFonts w:ascii="Times New Roman" w:hAnsi="Times New Roman" w:cs="Times New Roman"/>
        </w:rPr>
        <w:t xml:space="preserve">Dick </w:t>
      </w:r>
      <w:r w:rsidR="000E053A">
        <w:rPr>
          <w:rFonts w:ascii="Times New Roman" w:hAnsi="Times New Roman" w:cs="Times New Roman"/>
        </w:rPr>
        <w:t>S</w:t>
      </w:r>
      <w:r w:rsidRPr="00262B6E">
        <w:rPr>
          <w:rFonts w:ascii="Times New Roman" w:hAnsi="Times New Roman" w:cs="Times New Roman"/>
        </w:rPr>
        <w:t>mith operate</w:t>
      </w:r>
      <w:r w:rsidR="000E053A">
        <w:rPr>
          <w:rFonts w:ascii="Times New Roman" w:hAnsi="Times New Roman" w:cs="Times New Roman"/>
        </w:rPr>
        <w:t>s</w:t>
      </w:r>
      <w:r w:rsidRPr="00262B6E">
        <w:rPr>
          <w:rFonts w:ascii="Times New Roman" w:hAnsi="Times New Roman" w:cs="Times New Roman"/>
        </w:rPr>
        <w:t xml:space="preserve"> in Retail store and company raise the capital of </w:t>
      </w:r>
      <w:r w:rsidRPr="00262B6E">
        <w:rPr>
          <w:rFonts w:ascii="Times New Roman" w:eastAsia="Times New Roman" w:hAnsi="Times New Roman" w:cs="Times New Roman"/>
        </w:rPr>
        <w:t>$345.</w:t>
      </w:r>
    </w:p>
    <w:p w:rsidR="009C19E2" w:rsidRPr="00262B6E" w:rsidRDefault="00262B6E" w:rsidP="00262B6E">
      <w:pPr>
        <w:spacing w:line="276" w:lineRule="auto"/>
        <w:jc w:val="both"/>
        <w:rPr>
          <w:rFonts w:ascii="Times New Roman" w:hAnsi="Times New Roman" w:cs="Times New Roman"/>
        </w:rPr>
      </w:pPr>
      <w:r w:rsidRPr="00262B6E">
        <w:rPr>
          <w:rFonts w:ascii="Times New Roman" w:hAnsi="Times New Roman" w:cs="Times New Roman"/>
        </w:rPr>
        <w:t>The company use this amount in thr</w:t>
      </w:r>
      <w:bookmarkStart w:id="5" w:name="_GoBack"/>
      <w:bookmarkEnd w:id="5"/>
      <w:r w:rsidRPr="00262B6E">
        <w:rPr>
          <w:rFonts w:ascii="Times New Roman" w:hAnsi="Times New Roman" w:cs="Times New Roman"/>
        </w:rPr>
        <w:t>ee purposes, investment to open new branches that the motive and intention of management on that time, payment to supplier to boost their confidence and mid-year dividend to attract more investors, actually these decision was the major reason of liquidation, management was unable to keep the balance of loan providers and future investments just forget dramatic increase in their sales.</w:t>
      </w:r>
    </w:p>
    <w:p w:rsidR="009C19E2" w:rsidRPr="00262B6E" w:rsidRDefault="009C19E2" w:rsidP="00262B6E">
      <w:pPr>
        <w:spacing w:line="276" w:lineRule="auto"/>
        <w:jc w:val="both"/>
        <w:rPr>
          <w:rFonts w:ascii="Times New Roman" w:hAnsi="Times New Roman" w:cs="Times New Roman"/>
        </w:rPr>
      </w:pPr>
      <w:r w:rsidRPr="00262B6E">
        <w:rPr>
          <w:rFonts w:ascii="Times New Roman" w:hAnsi="Times New Roman" w:cs="Times New Roman"/>
        </w:rPr>
        <w:t>b)</w:t>
      </w:r>
    </w:p>
    <w:p w:rsidR="009C19E2" w:rsidRPr="000E053A" w:rsidRDefault="009C19E2" w:rsidP="000E053A">
      <w:pPr>
        <w:pStyle w:val="Heading1"/>
      </w:pPr>
      <w:bookmarkStart w:id="6" w:name="_Toc8468408"/>
      <w:r w:rsidRPr="000E053A">
        <w:t>IPO is a costly way for listing</w:t>
      </w:r>
      <w:bookmarkEnd w:id="6"/>
    </w:p>
    <w:p w:rsidR="00B74AC4" w:rsidRPr="00262B6E" w:rsidRDefault="009C19E2" w:rsidP="00262B6E">
      <w:pPr>
        <w:spacing w:line="276" w:lineRule="auto"/>
        <w:jc w:val="both"/>
        <w:rPr>
          <w:rFonts w:ascii="Times New Roman" w:hAnsi="Times New Roman" w:cs="Times New Roman"/>
        </w:rPr>
      </w:pPr>
      <w:r w:rsidRPr="00262B6E">
        <w:rPr>
          <w:rFonts w:ascii="Times New Roman" w:hAnsi="Times New Roman" w:cs="Times New Roman"/>
        </w:rPr>
        <w:t xml:space="preserve">Companies went into IPO for the collection of capital from </w:t>
      </w:r>
      <w:r w:rsidR="000E053A">
        <w:rPr>
          <w:rFonts w:ascii="Times New Roman" w:hAnsi="Times New Roman" w:cs="Times New Roman"/>
        </w:rPr>
        <w:t xml:space="preserve">the </w:t>
      </w:r>
      <w:r w:rsidRPr="00262B6E">
        <w:rPr>
          <w:rFonts w:ascii="Times New Roman" w:hAnsi="Times New Roman" w:cs="Times New Roman"/>
        </w:rPr>
        <w:t xml:space="preserve">general public, as long as IPO has benefits there might be some </w:t>
      </w:r>
      <w:r w:rsidR="003F3083" w:rsidRPr="00262B6E">
        <w:rPr>
          <w:rFonts w:ascii="Times New Roman" w:hAnsi="Times New Roman" w:cs="Times New Roman"/>
        </w:rPr>
        <w:t xml:space="preserve">drawback such as ownership is dilute into </w:t>
      </w:r>
      <w:r w:rsidR="000E053A">
        <w:rPr>
          <w:rFonts w:ascii="Times New Roman" w:hAnsi="Times New Roman" w:cs="Times New Roman"/>
        </w:rPr>
        <w:t xml:space="preserve">the </w:t>
      </w:r>
      <w:r w:rsidR="003F3083" w:rsidRPr="00262B6E">
        <w:rPr>
          <w:rFonts w:ascii="Times New Roman" w:hAnsi="Times New Roman" w:cs="Times New Roman"/>
        </w:rPr>
        <w:t>general public, cost of equity increase. Companies collect cash by selling their shares (Ordinary) to meet their long term and short term objectives. Shareholder invest</w:t>
      </w:r>
      <w:r w:rsidR="000E053A">
        <w:rPr>
          <w:rFonts w:ascii="Times New Roman" w:hAnsi="Times New Roman" w:cs="Times New Roman"/>
        </w:rPr>
        <w:t>s</w:t>
      </w:r>
      <w:r w:rsidR="003F3083" w:rsidRPr="00262B6E">
        <w:rPr>
          <w:rFonts w:ascii="Times New Roman" w:hAnsi="Times New Roman" w:cs="Times New Roman"/>
        </w:rPr>
        <w:t xml:space="preserve"> for long term with the intention of good return in the shape of </w:t>
      </w:r>
      <w:r w:rsidR="000E053A">
        <w:rPr>
          <w:rFonts w:ascii="Times New Roman" w:hAnsi="Times New Roman" w:cs="Times New Roman"/>
        </w:rPr>
        <w:t xml:space="preserve">the </w:t>
      </w:r>
      <w:r w:rsidR="003F3083" w:rsidRPr="00262B6E">
        <w:rPr>
          <w:rFonts w:ascii="Times New Roman" w:hAnsi="Times New Roman" w:cs="Times New Roman"/>
        </w:rPr>
        <w:t>dividend, as they are sagacious and want to increase their wealth</w:t>
      </w:r>
      <w:r w:rsidR="000E053A">
        <w:rPr>
          <w:rFonts w:ascii="Times New Roman" w:hAnsi="Times New Roman" w:cs="Times New Roman"/>
        </w:rPr>
        <w:t>,</w:t>
      </w:r>
      <w:sdt>
        <w:sdtPr>
          <w:rPr>
            <w:rFonts w:ascii="Times New Roman" w:hAnsi="Times New Roman" w:cs="Times New Roman"/>
          </w:rPr>
          <w:id w:val="1910268189"/>
          <w:citation/>
        </w:sdtPr>
        <w:sdtEndPr/>
        <w:sdtContent>
          <w:r w:rsidR="000E053A">
            <w:rPr>
              <w:rFonts w:ascii="Times New Roman" w:hAnsi="Times New Roman" w:cs="Times New Roman"/>
            </w:rPr>
            <w:fldChar w:fldCharType="begin"/>
          </w:r>
          <w:r w:rsidR="000E053A">
            <w:rPr>
              <w:rFonts w:ascii="Times New Roman" w:hAnsi="Times New Roman" w:cs="Times New Roman"/>
            </w:rPr>
            <w:instrText xml:space="preserve"> CITATION Oes06 \l 1033 </w:instrText>
          </w:r>
          <w:r w:rsidR="000E053A">
            <w:rPr>
              <w:rFonts w:ascii="Times New Roman" w:hAnsi="Times New Roman" w:cs="Times New Roman"/>
            </w:rPr>
            <w:fldChar w:fldCharType="separate"/>
          </w:r>
          <w:r w:rsidR="000E053A">
            <w:rPr>
              <w:rFonts w:ascii="Times New Roman" w:hAnsi="Times New Roman" w:cs="Times New Roman"/>
              <w:noProof/>
            </w:rPr>
            <w:t xml:space="preserve"> </w:t>
          </w:r>
          <w:r w:rsidR="000E053A" w:rsidRPr="000E053A">
            <w:rPr>
              <w:rFonts w:ascii="Times New Roman" w:hAnsi="Times New Roman" w:cs="Times New Roman"/>
              <w:noProof/>
            </w:rPr>
            <w:t>(Oesterle, 2006)</w:t>
          </w:r>
          <w:r w:rsidR="000E053A">
            <w:rPr>
              <w:rFonts w:ascii="Times New Roman" w:hAnsi="Times New Roman" w:cs="Times New Roman"/>
            </w:rPr>
            <w:fldChar w:fldCharType="end"/>
          </w:r>
        </w:sdtContent>
      </w:sdt>
      <w:r w:rsidR="003F3083" w:rsidRPr="00262B6E">
        <w:rPr>
          <w:rFonts w:ascii="Times New Roman" w:hAnsi="Times New Roman" w:cs="Times New Roman"/>
        </w:rPr>
        <w:t>.</w:t>
      </w:r>
    </w:p>
    <w:p w:rsidR="00BC094B" w:rsidRPr="00262B6E" w:rsidRDefault="00BC094B" w:rsidP="00262B6E">
      <w:pPr>
        <w:spacing w:line="276" w:lineRule="auto"/>
        <w:jc w:val="both"/>
        <w:rPr>
          <w:rFonts w:ascii="Times New Roman" w:hAnsi="Times New Roman" w:cs="Times New Roman"/>
        </w:rPr>
      </w:pPr>
      <w:r w:rsidRPr="00262B6E">
        <w:rPr>
          <w:rFonts w:ascii="Times New Roman" w:hAnsi="Times New Roman" w:cs="Times New Roman"/>
          <w:noProof/>
        </w:rPr>
        <w:lastRenderedPageBreak/>
        <w:drawing>
          <wp:inline distT="0" distB="0" distL="0" distR="0">
            <wp:extent cx="5748020" cy="3006969"/>
            <wp:effectExtent l="171450" t="171450" r="176530" b="1746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O.jpg"/>
                    <pic:cNvPicPr/>
                  </pic:nvPicPr>
                  <pic:blipFill>
                    <a:blip r:embed="rId8">
                      <a:extLst>
                        <a:ext uri="{28A0092B-C50C-407E-A947-70E740481C1C}">
                          <a14:useLocalDpi xmlns:a14="http://schemas.microsoft.com/office/drawing/2010/main" val="0"/>
                        </a:ext>
                      </a:extLst>
                    </a:blip>
                    <a:stretch>
                      <a:fillRect/>
                    </a:stretch>
                  </pic:blipFill>
                  <pic:spPr>
                    <a:xfrm>
                      <a:off x="0" y="0"/>
                      <a:ext cx="5784440" cy="3026022"/>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BC094B" w:rsidRPr="00262B6E" w:rsidRDefault="00BC094B" w:rsidP="00262B6E">
      <w:pPr>
        <w:spacing w:line="276" w:lineRule="auto"/>
        <w:jc w:val="both"/>
        <w:rPr>
          <w:rFonts w:ascii="Times New Roman" w:hAnsi="Times New Roman" w:cs="Times New Roman"/>
        </w:rPr>
      </w:pPr>
      <w:r w:rsidRPr="00262B6E">
        <w:rPr>
          <w:rFonts w:ascii="Times New Roman" w:hAnsi="Times New Roman" w:cs="Times New Roman"/>
        </w:rPr>
        <w:t>IPO is a process, which involve</w:t>
      </w:r>
      <w:r w:rsidR="000E053A">
        <w:rPr>
          <w:rFonts w:ascii="Times New Roman" w:hAnsi="Times New Roman" w:cs="Times New Roman"/>
        </w:rPr>
        <w:t>s</w:t>
      </w:r>
      <w:r w:rsidRPr="00262B6E">
        <w:rPr>
          <w:rFonts w:ascii="Times New Roman" w:hAnsi="Times New Roman" w:cs="Times New Roman"/>
        </w:rPr>
        <w:t xml:space="preserve"> different steps. A details pre</w:t>
      </w:r>
      <w:r w:rsidR="000E053A">
        <w:rPr>
          <w:rFonts w:ascii="Times New Roman" w:hAnsi="Times New Roman" w:cs="Times New Roman"/>
        </w:rPr>
        <w:t>-</w:t>
      </w:r>
      <w:r w:rsidRPr="00262B6E">
        <w:rPr>
          <w:rFonts w:ascii="Times New Roman" w:hAnsi="Times New Roman" w:cs="Times New Roman"/>
        </w:rPr>
        <w:t xml:space="preserve">planning is required and documentation for IPO, which will consume human force as well as huge legal and processing cost. Once the IPO is completed then shareholder demands are very hard to fulfill such as their objectives and management goals should be inline by </w:t>
      </w:r>
      <w:r w:rsidR="000E053A">
        <w:rPr>
          <w:rFonts w:ascii="Times New Roman" w:hAnsi="Times New Roman" w:cs="Times New Roman"/>
        </w:rPr>
        <w:t xml:space="preserve">the </w:t>
      </w:r>
      <w:r w:rsidRPr="00262B6E">
        <w:rPr>
          <w:rFonts w:ascii="Times New Roman" w:hAnsi="Times New Roman" w:cs="Times New Roman"/>
        </w:rPr>
        <w:t>following stewardship.</w:t>
      </w:r>
    </w:p>
    <w:p w:rsidR="00AD3F1C" w:rsidRPr="00262B6E" w:rsidRDefault="00BC094B" w:rsidP="00262B6E">
      <w:pPr>
        <w:spacing w:line="276" w:lineRule="auto"/>
        <w:jc w:val="both"/>
        <w:rPr>
          <w:rFonts w:ascii="Times New Roman" w:hAnsi="Times New Roman" w:cs="Times New Roman"/>
        </w:rPr>
      </w:pPr>
      <w:r w:rsidRPr="00262B6E">
        <w:rPr>
          <w:rFonts w:ascii="Times New Roman" w:hAnsi="Times New Roman" w:cs="Times New Roman"/>
        </w:rPr>
        <w:t xml:space="preserve">Debt is a cheaper source of finance than equity as it is for the limited period of time and loan providers does not have any post loan approval concerns with the company performance, </w:t>
      </w:r>
      <w:r w:rsidR="000E053A">
        <w:rPr>
          <w:rFonts w:ascii="Times New Roman" w:hAnsi="Times New Roman" w:cs="Times New Roman"/>
        </w:rPr>
        <w:t xml:space="preserve">the </w:t>
      </w:r>
      <w:r w:rsidRPr="00262B6E">
        <w:rPr>
          <w:rFonts w:ascii="Times New Roman" w:hAnsi="Times New Roman" w:cs="Times New Roman"/>
        </w:rPr>
        <w:t xml:space="preserve">organization is doing well or not, they don’t have any concern as there loan as secured against </w:t>
      </w:r>
      <w:r w:rsidR="000E053A">
        <w:rPr>
          <w:rFonts w:ascii="Times New Roman" w:hAnsi="Times New Roman" w:cs="Times New Roman"/>
        </w:rPr>
        <w:t xml:space="preserve">the </w:t>
      </w:r>
      <w:r w:rsidRPr="00262B6E">
        <w:rPr>
          <w:rFonts w:ascii="Times New Roman" w:hAnsi="Times New Roman" w:cs="Times New Roman"/>
        </w:rPr>
        <w:t>covenant</w:t>
      </w:r>
      <w:r w:rsidR="000E053A">
        <w:rPr>
          <w:rFonts w:ascii="Times New Roman" w:hAnsi="Times New Roman" w:cs="Times New Roman"/>
        </w:rPr>
        <w:t>,</w:t>
      </w:r>
      <w:sdt>
        <w:sdtPr>
          <w:rPr>
            <w:rFonts w:ascii="Times New Roman" w:hAnsi="Times New Roman" w:cs="Times New Roman"/>
          </w:rPr>
          <w:id w:val="-1491866560"/>
          <w:citation/>
        </w:sdtPr>
        <w:sdtEndPr/>
        <w:sdtContent>
          <w:r w:rsidR="000E053A">
            <w:rPr>
              <w:rFonts w:ascii="Times New Roman" w:hAnsi="Times New Roman" w:cs="Times New Roman"/>
            </w:rPr>
            <w:fldChar w:fldCharType="begin"/>
          </w:r>
          <w:r w:rsidR="000E053A">
            <w:rPr>
              <w:rFonts w:ascii="Times New Roman" w:hAnsi="Times New Roman" w:cs="Times New Roman"/>
            </w:rPr>
            <w:instrText xml:space="preserve"> CITATION Min99 \l 1033 </w:instrText>
          </w:r>
          <w:r w:rsidR="000E053A">
            <w:rPr>
              <w:rFonts w:ascii="Times New Roman" w:hAnsi="Times New Roman" w:cs="Times New Roman"/>
            </w:rPr>
            <w:fldChar w:fldCharType="separate"/>
          </w:r>
          <w:r w:rsidR="000E053A">
            <w:rPr>
              <w:rFonts w:ascii="Times New Roman" w:hAnsi="Times New Roman" w:cs="Times New Roman"/>
              <w:noProof/>
            </w:rPr>
            <w:t xml:space="preserve"> </w:t>
          </w:r>
          <w:r w:rsidR="000E053A" w:rsidRPr="000E053A">
            <w:rPr>
              <w:rFonts w:ascii="Times New Roman" w:hAnsi="Times New Roman" w:cs="Times New Roman"/>
              <w:noProof/>
            </w:rPr>
            <w:t>(Minton, 1999)</w:t>
          </w:r>
          <w:r w:rsidR="000E053A">
            <w:rPr>
              <w:rFonts w:ascii="Times New Roman" w:hAnsi="Times New Roman" w:cs="Times New Roman"/>
            </w:rPr>
            <w:fldChar w:fldCharType="end"/>
          </w:r>
        </w:sdtContent>
      </w:sdt>
      <w:r w:rsidRPr="00262B6E">
        <w:rPr>
          <w:rFonts w:ascii="Times New Roman" w:hAnsi="Times New Roman" w:cs="Times New Roman"/>
        </w:rPr>
        <w:t>.</w:t>
      </w:r>
    </w:p>
    <w:p w:rsidR="00B74AC4" w:rsidRPr="000E053A" w:rsidRDefault="00AD3F1C" w:rsidP="000E053A">
      <w:pPr>
        <w:pStyle w:val="Heading1"/>
        <w:spacing w:line="276" w:lineRule="auto"/>
      </w:pPr>
      <w:bookmarkStart w:id="7" w:name="_Toc8468409"/>
      <w:r w:rsidRPr="000E053A">
        <w:t>Equity raised from IPO change cost of Capital</w:t>
      </w:r>
      <w:bookmarkEnd w:id="7"/>
      <w:r w:rsidR="00BC094B" w:rsidRPr="000E053A">
        <w:t xml:space="preserve"> </w:t>
      </w:r>
    </w:p>
    <w:p w:rsidR="00AD3F1C" w:rsidRPr="00262B6E" w:rsidRDefault="00AD3F1C" w:rsidP="000E053A">
      <w:pPr>
        <w:spacing w:line="276" w:lineRule="auto"/>
        <w:jc w:val="both"/>
        <w:rPr>
          <w:rFonts w:ascii="Times New Roman" w:hAnsi="Times New Roman" w:cs="Times New Roman"/>
        </w:rPr>
      </w:pPr>
      <w:r w:rsidRPr="00262B6E">
        <w:rPr>
          <w:rFonts w:ascii="Times New Roman" w:hAnsi="Times New Roman" w:cs="Times New Roman"/>
        </w:rPr>
        <w:t xml:space="preserve">Equity finance is </w:t>
      </w:r>
      <w:r w:rsidR="000E053A">
        <w:rPr>
          <w:rFonts w:ascii="Times New Roman" w:hAnsi="Times New Roman" w:cs="Times New Roman"/>
        </w:rPr>
        <w:t xml:space="preserve">an </w:t>
      </w:r>
      <w:r w:rsidRPr="00262B6E">
        <w:rPr>
          <w:rFonts w:ascii="Times New Roman" w:hAnsi="Times New Roman" w:cs="Times New Roman"/>
        </w:rPr>
        <w:t xml:space="preserve">expensive </w:t>
      </w:r>
      <w:r w:rsidR="000E053A">
        <w:rPr>
          <w:rFonts w:ascii="Times New Roman" w:hAnsi="Times New Roman" w:cs="Times New Roman"/>
        </w:rPr>
        <w:t xml:space="preserve">to </w:t>
      </w:r>
      <w:r w:rsidRPr="00262B6E">
        <w:rPr>
          <w:rFonts w:ascii="Times New Roman" w:hAnsi="Times New Roman" w:cs="Times New Roman"/>
        </w:rPr>
        <w:t>source of finance tha</w:t>
      </w:r>
      <w:r w:rsidR="000E053A">
        <w:rPr>
          <w:rFonts w:ascii="Times New Roman" w:hAnsi="Times New Roman" w:cs="Times New Roman"/>
        </w:rPr>
        <w:t>t</w:t>
      </w:r>
      <w:r w:rsidRPr="00262B6E">
        <w:rPr>
          <w:rFonts w:ascii="Times New Roman" w:hAnsi="Times New Roman" w:cs="Times New Roman"/>
        </w:rPr>
        <w:t xml:space="preserve"> debt because debt is secured against the fixed assets of the company but the Equity is not secured against any assets, if </w:t>
      </w:r>
      <w:r w:rsidR="000E053A">
        <w:rPr>
          <w:rFonts w:ascii="Times New Roman" w:hAnsi="Times New Roman" w:cs="Times New Roman"/>
        </w:rPr>
        <w:t xml:space="preserve">the </w:t>
      </w:r>
      <w:r w:rsidRPr="00262B6E">
        <w:rPr>
          <w:rFonts w:ascii="Times New Roman" w:hAnsi="Times New Roman" w:cs="Times New Roman"/>
        </w:rPr>
        <w:t xml:space="preserve">company goes into liquidation first debt finance holder receive their investment as they are secured. Equity holders will get the residual amount at the end. </w:t>
      </w:r>
    </w:p>
    <w:p w:rsidR="00AD3F1C" w:rsidRPr="00262B6E" w:rsidRDefault="00AD3F1C" w:rsidP="000E053A">
      <w:pPr>
        <w:spacing w:line="276" w:lineRule="auto"/>
        <w:jc w:val="both"/>
        <w:rPr>
          <w:rFonts w:ascii="Times New Roman" w:hAnsi="Times New Roman" w:cs="Times New Roman"/>
        </w:rPr>
      </w:pPr>
      <w:r w:rsidRPr="00262B6E">
        <w:rPr>
          <w:rFonts w:ascii="Times New Roman" w:hAnsi="Times New Roman" w:cs="Times New Roman"/>
        </w:rPr>
        <w:t xml:space="preserve">Companies cost of capital </w:t>
      </w:r>
      <w:r w:rsidR="000E053A">
        <w:rPr>
          <w:rFonts w:ascii="Times New Roman" w:hAnsi="Times New Roman" w:cs="Times New Roman"/>
        </w:rPr>
        <w:t>consists</w:t>
      </w:r>
      <w:r w:rsidRPr="00262B6E">
        <w:rPr>
          <w:rFonts w:ascii="Times New Roman" w:hAnsi="Times New Roman" w:cs="Times New Roman"/>
        </w:rPr>
        <w:t xml:space="preserve"> o</w:t>
      </w:r>
      <w:r w:rsidR="000E053A">
        <w:rPr>
          <w:rFonts w:ascii="Times New Roman" w:hAnsi="Times New Roman" w:cs="Times New Roman"/>
        </w:rPr>
        <w:t>f</w:t>
      </w:r>
      <w:r w:rsidRPr="00262B6E">
        <w:rPr>
          <w:rFonts w:ascii="Times New Roman" w:hAnsi="Times New Roman" w:cs="Times New Roman"/>
        </w:rPr>
        <w:t xml:space="preserve"> two factor</w:t>
      </w:r>
      <w:r w:rsidR="000E053A">
        <w:rPr>
          <w:rFonts w:ascii="Times New Roman" w:hAnsi="Times New Roman" w:cs="Times New Roman"/>
        </w:rPr>
        <w:t>s</w:t>
      </w:r>
      <w:r w:rsidRPr="00262B6E">
        <w:rPr>
          <w:rFonts w:ascii="Times New Roman" w:hAnsi="Times New Roman" w:cs="Times New Roman"/>
        </w:rPr>
        <w:t>, debt finance</w:t>
      </w:r>
      <w:r w:rsidR="000E053A">
        <w:rPr>
          <w:rFonts w:ascii="Times New Roman" w:hAnsi="Times New Roman" w:cs="Times New Roman"/>
        </w:rPr>
        <w:t>,</w:t>
      </w:r>
      <w:r w:rsidRPr="00262B6E">
        <w:rPr>
          <w:rFonts w:ascii="Times New Roman" w:hAnsi="Times New Roman" w:cs="Times New Roman"/>
        </w:rPr>
        <w:t xml:space="preserve"> and equity finance. Which calculate the weighted average cost of capital. But changing the one side of the cost of capital will affect the other side of </w:t>
      </w:r>
      <w:r w:rsidR="000E053A">
        <w:rPr>
          <w:rFonts w:ascii="Times New Roman" w:hAnsi="Times New Roman" w:cs="Times New Roman"/>
        </w:rPr>
        <w:t xml:space="preserve">the </w:t>
      </w:r>
      <w:r w:rsidRPr="00262B6E">
        <w:rPr>
          <w:rFonts w:ascii="Times New Roman" w:hAnsi="Times New Roman" w:cs="Times New Roman"/>
        </w:rPr>
        <w:t>cost of capital</w:t>
      </w:r>
      <w:r w:rsidR="000E053A">
        <w:rPr>
          <w:rFonts w:ascii="Times New Roman" w:hAnsi="Times New Roman" w:cs="Times New Roman"/>
        </w:rPr>
        <w:t>,</w:t>
      </w:r>
      <w:sdt>
        <w:sdtPr>
          <w:rPr>
            <w:rFonts w:ascii="Times New Roman" w:hAnsi="Times New Roman" w:cs="Times New Roman"/>
          </w:rPr>
          <w:id w:val="-120233456"/>
          <w:citation/>
        </w:sdtPr>
        <w:sdtEndPr/>
        <w:sdtContent>
          <w:r w:rsidR="000E053A">
            <w:rPr>
              <w:rFonts w:ascii="Times New Roman" w:hAnsi="Times New Roman" w:cs="Times New Roman"/>
            </w:rPr>
            <w:fldChar w:fldCharType="begin"/>
          </w:r>
          <w:r w:rsidR="000E053A">
            <w:rPr>
              <w:rFonts w:ascii="Times New Roman" w:hAnsi="Times New Roman" w:cs="Times New Roman"/>
            </w:rPr>
            <w:instrText xml:space="preserve"> CITATION Car02 \l 1033 </w:instrText>
          </w:r>
          <w:r w:rsidR="000E053A">
            <w:rPr>
              <w:rFonts w:ascii="Times New Roman" w:hAnsi="Times New Roman" w:cs="Times New Roman"/>
            </w:rPr>
            <w:fldChar w:fldCharType="separate"/>
          </w:r>
          <w:r w:rsidR="000E053A">
            <w:rPr>
              <w:rFonts w:ascii="Times New Roman" w:hAnsi="Times New Roman" w:cs="Times New Roman"/>
              <w:noProof/>
            </w:rPr>
            <w:t xml:space="preserve"> </w:t>
          </w:r>
          <w:r w:rsidR="000E053A" w:rsidRPr="000E053A">
            <w:rPr>
              <w:rFonts w:ascii="Times New Roman" w:hAnsi="Times New Roman" w:cs="Times New Roman"/>
              <w:noProof/>
            </w:rPr>
            <w:t>(Carpenter, 2002)</w:t>
          </w:r>
          <w:r w:rsidR="000E053A">
            <w:rPr>
              <w:rFonts w:ascii="Times New Roman" w:hAnsi="Times New Roman" w:cs="Times New Roman"/>
            </w:rPr>
            <w:fldChar w:fldCharType="end"/>
          </w:r>
        </w:sdtContent>
      </w:sdt>
      <w:r w:rsidRPr="00262B6E">
        <w:rPr>
          <w:rFonts w:ascii="Times New Roman" w:hAnsi="Times New Roman" w:cs="Times New Roman"/>
        </w:rPr>
        <w:t>.</w:t>
      </w:r>
    </w:p>
    <w:p w:rsidR="004B1CBD" w:rsidRPr="00262B6E" w:rsidRDefault="004B1CBD" w:rsidP="00262B6E">
      <w:pPr>
        <w:spacing w:line="276" w:lineRule="auto"/>
        <w:jc w:val="both"/>
        <w:rPr>
          <w:rFonts w:ascii="Times New Roman" w:hAnsi="Times New Roman" w:cs="Times New Roman"/>
        </w:rPr>
      </w:pPr>
      <w:r w:rsidRPr="00262B6E">
        <w:rPr>
          <w:rFonts w:ascii="Times New Roman" w:hAnsi="Times New Roman" w:cs="Times New Roman"/>
          <w:noProof/>
        </w:rPr>
        <w:lastRenderedPageBreak/>
        <w:drawing>
          <wp:inline distT="0" distB="0" distL="0" distR="0">
            <wp:extent cx="5943600" cy="3207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bt-equity.png"/>
                    <pic:cNvPicPr/>
                  </pic:nvPicPr>
                  <pic:blipFill>
                    <a:blip r:embed="rId9">
                      <a:extLst>
                        <a:ext uri="{28A0092B-C50C-407E-A947-70E740481C1C}">
                          <a14:useLocalDpi xmlns:a14="http://schemas.microsoft.com/office/drawing/2010/main" val="0"/>
                        </a:ext>
                      </a:extLst>
                    </a:blip>
                    <a:stretch>
                      <a:fillRect/>
                    </a:stretch>
                  </pic:blipFill>
                  <pic:spPr>
                    <a:xfrm>
                      <a:off x="0" y="0"/>
                      <a:ext cx="5943600" cy="3207385"/>
                    </a:xfrm>
                    <a:prstGeom prst="rect">
                      <a:avLst/>
                    </a:prstGeom>
                  </pic:spPr>
                </pic:pic>
              </a:graphicData>
            </a:graphic>
          </wp:inline>
        </w:drawing>
      </w:r>
    </w:p>
    <w:p w:rsidR="00FC2852" w:rsidRPr="00262B6E" w:rsidRDefault="00FC2852" w:rsidP="00262B6E">
      <w:pPr>
        <w:spacing w:line="276" w:lineRule="auto"/>
        <w:jc w:val="both"/>
        <w:rPr>
          <w:rFonts w:ascii="Times New Roman" w:hAnsi="Times New Roman" w:cs="Times New Roman"/>
        </w:rPr>
      </w:pPr>
      <w:r w:rsidRPr="00262B6E">
        <w:rPr>
          <w:rFonts w:ascii="Times New Roman" w:hAnsi="Times New Roman" w:cs="Times New Roman"/>
        </w:rPr>
        <w:t>c)</w:t>
      </w:r>
    </w:p>
    <w:p w:rsidR="002D5B7F" w:rsidRDefault="00827FD0" w:rsidP="00262B6E">
      <w:pPr>
        <w:spacing w:line="276" w:lineRule="auto"/>
        <w:jc w:val="both"/>
        <w:rPr>
          <w:rFonts w:ascii="Times New Roman" w:hAnsi="Times New Roman" w:cs="Times New Roman"/>
        </w:rPr>
      </w:pPr>
      <w:r w:rsidRPr="00262B6E">
        <w:rPr>
          <w:rFonts w:ascii="Times New Roman" w:hAnsi="Times New Roman" w:cs="Times New Roman"/>
        </w:rPr>
        <w:t>Underpricing is method in which companies offer their shares price less than the value of the company which they have actually, for example</w:t>
      </w:r>
      <w:r w:rsidR="000E053A">
        <w:rPr>
          <w:rFonts w:ascii="Times New Roman" w:hAnsi="Times New Roman" w:cs="Times New Roman"/>
        </w:rPr>
        <w:t>,</w:t>
      </w:r>
      <w:r w:rsidRPr="00262B6E">
        <w:rPr>
          <w:rFonts w:ascii="Times New Roman" w:hAnsi="Times New Roman" w:cs="Times New Roman"/>
        </w:rPr>
        <w:t xml:space="preserve"> a company has </w:t>
      </w:r>
      <w:r w:rsidR="000E053A">
        <w:rPr>
          <w:rFonts w:ascii="Times New Roman" w:hAnsi="Times New Roman" w:cs="Times New Roman"/>
        </w:rPr>
        <w:t xml:space="preserve">a </w:t>
      </w:r>
      <w:r w:rsidRPr="00262B6E">
        <w:rPr>
          <w:rFonts w:ascii="Times New Roman" w:hAnsi="Times New Roman" w:cs="Times New Roman"/>
        </w:rPr>
        <w:t>total worth of its shares $850,000 and they offer the price $5 for 150,000 shares. With this price</w:t>
      </w:r>
      <w:r w:rsidR="000E053A">
        <w:rPr>
          <w:rFonts w:ascii="Times New Roman" w:hAnsi="Times New Roman" w:cs="Times New Roman"/>
        </w:rPr>
        <w:t>,</w:t>
      </w:r>
      <w:r w:rsidRPr="00262B6E">
        <w:rPr>
          <w:rFonts w:ascii="Times New Roman" w:hAnsi="Times New Roman" w:cs="Times New Roman"/>
        </w:rPr>
        <w:t xml:space="preserve"> the company has </w:t>
      </w:r>
      <w:r w:rsidR="000E053A">
        <w:rPr>
          <w:rFonts w:ascii="Times New Roman" w:hAnsi="Times New Roman" w:cs="Times New Roman"/>
        </w:rPr>
        <w:t xml:space="preserve">a </w:t>
      </w:r>
      <w:r w:rsidRPr="00262B6E">
        <w:rPr>
          <w:rFonts w:ascii="Times New Roman" w:hAnsi="Times New Roman" w:cs="Times New Roman"/>
        </w:rPr>
        <w:t>total worth $100,000. So the company follow</w:t>
      </w:r>
      <w:r w:rsidR="000E053A">
        <w:rPr>
          <w:rFonts w:ascii="Times New Roman" w:hAnsi="Times New Roman" w:cs="Times New Roman"/>
        </w:rPr>
        <w:t>s</w:t>
      </w:r>
      <w:r w:rsidRPr="00262B6E">
        <w:rPr>
          <w:rFonts w:ascii="Times New Roman" w:hAnsi="Times New Roman" w:cs="Times New Roman"/>
        </w:rPr>
        <w:t xml:space="preserve"> the policy to attract the customer on the day of IPO. As long as the companies are older they will perform outclass after the IPO as they know how to operate or if they have already experience</w:t>
      </w:r>
      <w:r w:rsidR="000E053A">
        <w:rPr>
          <w:rFonts w:ascii="Times New Roman" w:hAnsi="Times New Roman" w:cs="Times New Roman"/>
        </w:rPr>
        <w:t>d</w:t>
      </w:r>
      <w:r w:rsidRPr="00262B6E">
        <w:rPr>
          <w:rFonts w:ascii="Times New Roman" w:hAnsi="Times New Roman" w:cs="Times New Roman"/>
        </w:rPr>
        <w:t xml:space="preserve"> in other companies which is already listed on the stock exchange. </w:t>
      </w:r>
    </w:p>
    <w:p w:rsidR="00FC2852" w:rsidRPr="00262B6E" w:rsidRDefault="002D5B7F" w:rsidP="00262B6E">
      <w:pPr>
        <w:spacing w:line="276" w:lineRule="auto"/>
        <w:jc w:val="both"/>
        <w:rPr>
          <w:rFonts w:ascii="Times New Roman" w:hAnsi="Times New Roman" w:cs="Times New Roman"/>
        </w:rPr>
      </w:pPr>
      <w:r>
        <w:rPr>
          <w:rFonts w:ascii="Times New Roman" w:hAnsi="Times New Roman" w:cs="Times New Roman"/>
        </w:rPr>
        <w:t xml:space="preserve">It is assessed that the ASX market IPO are underprice 25.47%. Similarly it is also observed some IPO are overpriced which are 1.55%. </w:t>
      </w:r>
      <w:r w:rsidR="00726FAB">
        <w:rPr>
          <w:rFonts w:ascii="Times New Roman" w:hAnsi="Times New Roman" w:cs="Times New Roman"/>
        </w:rPr>
        <w:t xml:space="preserve"> These</w:t>
      </w:r>
      <w:r>
        <w:rPr>
          <w:rFonts w:ascii="Times New Roman" w:hAnsi="Times New Roman" w:cs="Times New Roman"/>
        </w:rPr>
        <w:t xml:space="preserve"> assessment are concluded on the basis of market adjusted abnormal return and primary market assessment. </w:t>
      </w:r>
      <w:sdt>
        <w:sdtPr>
          <w:rPr>
            <w:rFonts w:ascii="Times New Roman" w:hAnsi="Times New Roman" w:cs="Times New Roman"/>
          </w:rPr>
          <w:id w:val="259570958"/>
          <w:citation/>
        </w:sdtPr>
        <w:sdtEndPr/>
        <w:sdtContent>
          <w:r w:rsidR="000E053A">
            <w:rPr>
              <w:rFonts w:ascii="Times New Roman" w:hAnsi="Times New Roman" w:cs="Times New Roman"/>
            </w:rPr>
            <w:fldChar w:fldCharType="begin"/>
          </w:r>
          <w:r w:rsidR="000E053A">
            <w:rPr>
              <w:rFonts w:ascii="Times New Roman" w:hAnsi="Times New Roman" w:cs="Times New Roman"/>
            </w:rPr>
            <w:instrText xml:space="preserve"> CITATION Lou04 \l 1033 </w:instrText>
          </w:r>
          <w:r w:rsidR="000E053A">
            <w:rPr>
              <w:rFonts w:ascii="Times New Roman" w:hAnsi="Times New Roman" w:cs="Times New Roman"/>
            </w:rPr>
            <w:fldChar w:fldCharType="separate"/>
          </w:r>
          <w:r w:rsidR="000E053A">
            <w:rPr>
              <w:rFonts w:ascii="Times New Roman" w:hAnsi="Times New Roman" w:cs="Times New Roman"/>
              <w:noProof/>
            </w:rPr>
            <w:t xml:space="preserve"> </w:t>
          </w:r>
          <w:r w:rsidR="000E053A" w:rsidRPr="000E053A">
            <w:rPr>
              <w:rFonts w:ascii="Times New Roman" w:hAnsi="Times New Roman" w:cs="Times New Roman"/>
              <w:noProof/>
            </w:rPr>
            <w:t>(Loughran, 2004)</w:t>
          </w:r>
          <w:r w:rsidR="000E053A">
            <w:rPr>
              <w:rFonts w:ascii="Times New Roman" w:hAnsi="Times New Roman" w:cs="Times New Roman"/>
            </w:rPr>
            <w:fldChar w:fldCharType="end"/>
          </w:r>
        </w:sdtContent>
      </w:sdt>
      <w:r w:rsidR="00827FD0" w:rsidRPr="00262B6E">
        <w:rPr>
          <w:rFonts w:ascii="Times New Roman" w:hAnsi="Times New Roman" w:cs="Times New Roman"/>
        </w:rPr>
        <w:t xml:space="preserve">. </w:t>
      </w:r>
    </w:p>
    <w:p w:rsidR="00635410" w:rsidRPr="00262B6E" w:rsidRDefault="00635410" w:rsidP="00262B6E">
      <w:pPr>
        <w:spacing w:line="276" w:lineRule="auto"/>
        <w:jc w:val="both"/>
        <w:rPr>
          <w:rFonts w:ascii="Times New Roman" w:hAnsi="Times New Roman" w:cs="Times New Roman"/>
        </w:rPr>
      </w:pPr>
      <w:r w:rsidRPr="00262B6E">
        <w:rPr>
          <w:rFonts w:ascii="Times New Roman" w:hAnsi="Times New Roman" w:cs="Times New Roman"/>
        </w:rPr>
        <w:t>Empirical studies provide the issues which are relevant to the company performance during IPO, the size of the organization, offer size, subscription rate and the age of the firm. As long as the company is old and well expert they have the good knowledge and skills to perform.</w:t>
      </w:r>
      <w:r w:rsidR="005E7714" w:rsidRPr="00262B6E">
        <w:rPr>
          <w:rFonts w:ascii="Times New Roman" w:hAnsi="Times New Roman" w:cs="Times New Roman"/>
        </w:rPr>
        <w:t xml:space="preserve"> Asymmetry and signaling these two theories explain the pricing of IPO. It describe</w:t>
      </w:r>
      <w:r w:rsidR="000E053A">
        <w:rPr>
          <w:rFonts w:ascii="Times New Roman" w:hAnsi="Times New Roman" w:cs="Times New Roman"/>
        </w:rPr>
        <w:t>s</w:t>
      </w:r>
      <w:r w:rsidR="005E7714" w:rsidRPr="00262B6E">
        <w:rPr>
          <w:rFonts w:ascii="Times New Roman" w:hAnsi="Times New Roman" w:cs="Times New Roman"/>
        </w:rPr>
        <w:t xml:space="preserve"> the timing of the IPO which is very important for </w:t>
      </w:r>
      <w:r w:rsidR="000E053A">
        <w:rPr>
          <w:rFonts w:ascii="Times New Roman" w:hAnsi="Times New Roman" w:cs="Times New Roman"/>
        </w:rPr>
        <w:t xml:space="preserve">the </w:t>
      </w:r>
      <w:r w:rsidR="005E7714" w:rsidRPr="00262B6E">
        <w:rPr>
          <w:rFonts w:ascii="Times New Roman" w:hAnsi="Times New Roman" w:cs="Times New Roman"/>
        </w:rPr>
        <w:t>success of the company. For example</w:t>
      </w:r>
      <w:r w:rsidR="000E053A">
        <w:rPr>
          <w:rFonts w:ascii="Times New Roman" w:hAnsi="Times New Roman" w:cs="Times New Roman"/>
        </w:rPr>
        <w:t>,</w:t>
      </w:r>
      <w:r w:rsidR="005E7714" w:rsidRPr="00262B6E">
        <w:rPr>
          <w:rFonts w:ascii="Times New Roman" w:hAnsi="Times New Roman" w:cs="Times New Roman"/>
        </w:rPr>
        <w:t xml:space="preserve"> if the company is going into IPO before the election, the political situation definitely effect</w:t>
      </w:r>
      <w:r w:rsidR="000E053A">
        <w:rPr>
          <w:rFonts w:ascii="Times New Roman" w:hAnsi="Times New Roman" w:cs="Times New Roman"/>
        </w:rPr>
        <w:t>s</w:t>
      </w:r>
      <w:r w:rsidR="005E7714" w:rsidRPr="00262B6E">
        <w:rPr>
          <w:rFonts w:ascii="Times New Roman" w:hAnsi="Times New Roman" w:cs="Times New Roman"/>
        </w:rPr>
        <w:t xml:space="preserve"> the success because in these days investors are little hesitant to invest. </w:t>
      </w:r>
    </w:p>
    <w:p w:rsidR="001770F3" w:rsidRPr="00262B6E" w:rsidRDefault="001770F3" w:rsidP="00262B6E">
      <w:pPr>
        <w:spacing w:line="276" w:lineRule="auto"/>
        <w:jc w:val="both"/>
        <w:rPr>
          <w:rFonts w:ascii="Times New Roman" w:hAnsi="Times New Roman" w:cs="Times New Roman"/>
        </w:rPr>
      </w:pPr>
      <w:r w:rsidRPr="00262B6E">
        <w:rPr>
          <w:rFonts w:ascii="Times New Roman" w:hAnsi="Times New Roman" w:cs="Times New Roman"/>
          <w:noProof/>
        </w:rPr>
        <w:lastRenderedPageBreak/>
        <w:drawing>
          <wp:inline distT="0" distB="0" distL="0" distR="0" wp14:anchorId="31D4C787" wp14:editId="4AF764E7">
            <wp:extent cx="5943600" cy="37934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X&amp;USD.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793412"/>
                    </a:xfrm>
                    <a:prstGeom prst="rect">
                      <a:avLst/>
                    </a:prstGeom>
                  </pic:spPr>
                </pic:pic>
              </a:graphicData>
            </a:graphic>
          </wp:inline>
        </w:drawing>
      </w:r>
    </w:p>
    <w:p w:rsidR="003756BE" w:rsidRPr="00262B6E" w:rsidRDefault="003756BE" w:rsidP="00262B6E">
      <w:pPr>
        <w:spacing w:line="276" w:lineRule="auto"/>
        <w:jc w:val="both"/>
        <w:rPr>
          <w:rFonts w:ascii="Times New Roman" w:hAnsi="Times New Roman" w:cs="Times New Roman"/>
        </w:rPr>
      </w:pPr>
    </w:p>
    <w:p w:rsidR="001770F3" w:rsidRPr="00262B6E" w:rsidRDefault="001770F3" w:rsidP="00262B6E">
      <w:pPr>
        <w:pStyle w:val="Heading1"/>
        <w:spacing w:line="276" w:lineRule="auto"/>
        <w:jc w:val="both"/>
        <w:rPr>
          <w:rFonts w:ascii="Times New Roman" w:hAnsi="Times New Roman" w:cs="Times New Roman"/>
          <w:sz w:val="22"/>
          <w:szCs w:val="22"/>
        </w:rPr>
      </w:pPr>
      <w:bookmarkStart w:id="8" w:name="_Toc7834195"/>
      <w:bookmarkStart w:id="9" w:name="_Toc8468410"/>
      <w:r w:rsidRPr="00262B6E">
        <w:rPr>
          <w:rFonts w:ascii="Times New Roman" w:hAnsi="Times New Roman" w:cs="Times New Roman"/>
          <w:sz w:val="22"/>
          <w:szCs w:val="22"/>
        </w:rPr>
        <w:t>(d)</w:t>
      </w:r>
      <w:bookmarkEnd w:id="8"/>
      <w:bookmarkEnd w:id="9"/>
    </w:p>
    <w:p w:rsidR="001770F3" w:rsidRPr="000E053A" w:rsidRDefault="001770F3" w:rsidP="000E053A">
      <w:pPr>
        <w:pStyle w:val="Heading1"/>
      </w:pPr>
      <w:bookmarkStart w:id="10" w:name="_Toc7834196"/>
      <w:bookmarkStart w:id="11" w:name="_Toc8468411"/>
      <w:r w:rsidRPr="000E053A">
        <w:t xml:space="preserve">IPO </w:t>
      </w:r>
      <w:r w:rsidR="002D5B7F">
        <w:t xml:space="preserve">analysis </w:t>
      </w:r>
      <w:r w:rsidRPr="000E053A">
        <w:t>during period 2007 to 2017</w:t>
      </w:r>
      <w:bookmarkEnd w:id="10"/>
      <w:bookmarkEnd w:id="11"/>
    </w:p>
    <w:p w:rsidR="00917DF5" w:rsidRPr="00262B6E" w:rsidRDefault="00BB1EEB" w:rsidP="00262B6E">
      <w:pPr>
        <w:spacing w:line="276" w:lineRule="auto"/>
        <w:jc w:val="both"/>
        <w:rPr>
          <w:rFonts w:ascii="Times New Roman" w:hAnsi="Times New Roman" w:cs="Times New Roman"/>
        </w:rPr>
      </w:pPr>
      <w:r w:rsidRPr="00262B6E">
        <w:rPr>
          <w:rFonts w:ascii="Times New Roman" w:hAnsi="Times New Roman" w:cs="Times New Roman"/>
          <w:noProof/>
          <w:color w:val="000000"/>
          <w:shd w:val="clear" w:color="auto" w:fill="FFFFFF"/>
        </w:rPr>
        <w:drawing>
          <wp:anchor distT="0" distB="0" distL="114300" distR="114300" simplePos="0" relativeHeight="251658240" behindDoc="0" locked="0" layoutInCell="1" allowOverlap="1">
            <wp:simplePos x="914400" y="1591408"/>
            <wp:positionH relativeFrom="column">
              <wp:align>left</wp:align>
            </wp:positionH>
            <wp:positionV relativeFrom="paragraph">
              <wp:align>top</wp:align>
            </wp:positionV>
            <wp:extent cx="2400300" cy="2716530"/>
            <wp:effectExtent l="0" t="0" r="0" b="7620"/>
            <wp:wrapSquare wrapText="bothSides"/>
            <wp:docPr id="4" name="Picture 4" descr="D:\WRITING\RAMSHA WORK\IPO\Kate-Galpin-Graph1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WRITING\RAMSHA WORK\IPO\Kate-Galpin-Graph1V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0300" cy="2716530"/>
                    </a:xfrm>
                    <a:prstGeom prst="rect">
                      <a:avLst/>
                    </a:prstGeom>
                    <a:noFill/>
                    <a:ln>
                      <a:noFill/>
                    </a:ln>
                  </pic:spPr>
                </pic:pic>
              </a:graphicData>
            </a:graphic>
          </wp:anchor>
        </w:drawing>
      </w:r>
      <w:r w:rsidRPr="00262B6E">
        <w:rPr>
          <w:rFonts w:ascii="Times New Roman" w:hAnsi="Times New Roman" w:cs="Times New Roman"/>
        </w:rPr>
        <w:t xml:space="preserve">The performance of </w:t>
      </w:r>
      <w:r w:rsidR="000E053A">
        <w:rPr>
          <w:rFonts w:ascii="Times New Roman" w:hAnsi="Times New Roman" w:cs="Times New Roman"/>
        </w:rPr>
        <w:t xml:space="preserve">the </w:t>
      </w:r>
      <w:r w:rsidRPr="00262B6E">
        <w:rPr>
          <w:rFonts w:ascii="Times New Roman" w:hAnsi="Times New Roman" w:cs="Times New Roman"/>
        </w:rPr>
        <w:t xml:space="preserve">Australian Stock Exchange was outperformed during the year 2016 and 2017.  The </w:t>
      </w:r>
      <w:r w:rsidR="00917DF5" w:rsidRPr="00262B6E">
        <w:rPr>
          <w:rFonts w:ascii="Times New Roman" w:hAnsi="Times New Roman" w:cs="Times New Roman"/>
        </w:rPr>
        <w:t>worth</w:t>
      </w:r>
      <w:r w:rsidRPr="00262B6E">
        <w:rPr>
          <w:rFonts w:ascii="Times New Roman" w:hAnsi="Times New Roman" w:cs="Times New Roman"/>
        </w:rPr>
        <w:t xml:space="preserve"> of the ASX in 2016 was about to $1.8 trillion in </w:t>
      </w:r>
      <w:r w:rsidR="00917DF5" w:rsidRPr="00262B6E">
        <w:rPr>
          <w:rFonts w:ascii="Times New Roman" w:hAnsi="Times New Roman" w:cs="Times New Roman"/>
        </w:rPr>
        <w:t>March</w:t>
      </w:r>
      <w:r w:rsidRPr="00262B6E">
        <w:rPr>
          <w:rFonts w:ascii="Times New Roman" w:hAnsi="Times New Roman" w:cs="Times New Roman"/>
        </w:rPr>
        <w:t>.</w:t>
      </w:r>
      <w:r w:rsidR="00917DF5" w:rsidRPr="00262B6E">
        <w:rPr>
          <w:rFonts w:ascii="Times New Roman" w:hAnsi="Times New Roman" w:cs="Times New Roman"/>
        </w:rPr>
        <w:t xml:space="preserve"> Trading volume has increased</w:t>
      </w:r>
      <w:r w:rsidR="000E053A">
        <w:rPr>
          <w:rFonts w:ascii="Times New Roman" w:hAnsi="Times New Roman" w:cs="Times New Roman"/>
        </w:rPr>
        <w:t xml:space="preserve"> by</w:t>
      </w:r>
      <w:r w:rsidR="00917DF5" w:rsidRPr="00262B6E">
        <w:rPr>
          <w:rFonts w:ascii="Times New Roman" w:hAnsi="Times New Roman" w:cs="Times New Roman"/>
        </w:rPr>
        <w:t xml:space="preserve"> about 23% with respect to </w:t>
      </w:r>
      <w:r w:rsidR="000E053A">
        <w:rPr>
          <w:rFonts w:ascii="Times New Roman" w:hAnsi="Times New Roman" w:cs="Times New Roman"/>
        </w:rPr>
        <w:t xml:space="preserve">the </w:t>
      </w:r>
      <w:r w:rsidR="00917DF5" w:rsidRPr="00262B6E">
        <w:rPr>
          <w:rFonts w:ascii="Times New Roman" w:hAnsi="Times New Roman" w:cs="Times New Roman"/>
        </w:rPr>
        <w:t xml:space="preserve">previous year. This was the domestic equity market of ASX. The global decision has also </w:t>
      </w:r>
      <w:r w:rsidR="000E053A">
        <w:rPr>
          <w:rFonts w:ascii="Times New Roman" w:hAnsi="Times New Roman" w:cs="Times New Roman"/>
        </w:rPr>
        <w:t>a</w:t>
      </w:r>
      <w:r w:rsidR="00917DF5" w:rsidRPr="00262B6E">
        <w:rPr>
          <w:rFonts w:ascii="Times New Roman" w:hAnsi="Times New Roman" w:cs="Times New Roman"/>
        </w:rPr>
        <w:t xml:space="preserve">ffect the ASX such as Trump is elected and the separation of </w:t>
      </w:r>
      <w:r w:rsidR="000E053A">
        <w:rPr>
          <w:rFonts w:ascii="Times New Roman" w:hAnsi="Times New Roman" w:cs="Times New Roman"/>
        </w:rPr>
        <w:t xml:space="preserve">the </w:t>
      </w:r>
      <w:r w:rsidR="00917DF5" w:rsidRPr="00262B6E">
        <w:rPr>
          <w:rFonts w:ascii="Times New Roman" w:hAnsi="Times New Roman" w:cs="Times New Roman"/>
        </w:rPr>
        <w:t>United Kingdom f</w:t>
      </w:r>
      <w:r w:rsidR="000E053A">
        <w:rPr>
          <w:rFonts w:ascii="Times New Roman" w:hAnsi="Times New Roman" w:cs="Times New Roman"/>
        </w:rPr>
        <w:t>ro</w:t>
      </w:r>
      <w:r w:rsidR="00917DF5" w:rsidRPr="00262B6E">
        <w:rPr>
          <w:rFonts w:ascii="Times New Roman" w:hAnsi="Times New Roman" w:cs="Times New Roman"/>
        </w:rPr>
        <w:t xml:space="preserve">m European Union </w:t>
      </w:r>
      <w:r w:rsidR="000E053A">
        <w:rPr>
          <w:rFonts w:ascii="Times New Roman" w:hAnsi="Times New Roman" w:cs="Times New Roman"/>
        </w:rPr>
        <w:t>a</w:t>
      </w:r>
      <w:r w:rsidR="00917DF5" w:rsidRPr="00262B6E">
        <w:rPr>
          <w:rFonts w:ascii="Times New Roman" w:hAnsi="Times New Roman" w:cs="Times New Roman"/>
        </w:rPr>
        <w:t>ffect the stock exchange. So investors manage their risk t</w:t>
      </w:r>
      <w:r w:rsidR="000E053A">
        <w:rPr>
          <w:rFonts w:ascii="Times New Roman" w:hAnsi="Times New Roman" w:cs="Times New Roman"/>
        </w:rPr>
        <w:t>h</w:t>
      </w:r>
      <w:r w:rsidR="00917DF5" w:rsidRPr="00262B6E">
        <w:rPr>
          <w:rFonts w:ascii="Times New Roman" w:hAnsi="Times New Roman" w:cs="Times New Roman"/>
        </w:rPr>
        <w:t>rough geo-political effects and bring their investment to ASX</w:t>
      </w:r>
      <w:r w:rsidR="000E053A">
        <w:rPr>
          <w:rFonts w:ascii="Times New Roman" w:hAnsi="Times New Roman" w:cs="Times New Roman"/>
        </w:rPr>
        <w:t xml:space="preserve">, </w:t>
      </w:r>
      <w:sdt>
        <w:sdtPr>
          <w:rPr>
            <w:rFonts w:ascii="Times New Roman" w:hAnsi="Times New Roman" w:cs="Times New Roman"/>
          </w:rPr>
          <w:id w:val="-785577852"/>
          <w:citation/>
        </w:sdtPr>
        <w:sdtEndPr/>
        <w:sdtContent>
          <w:r w:rsidR="000E053A">
            <w:rPr>
              <w:rFonts w:ascii="Times New Roman" w:hAnsi="Times New Roman" w:cs="Times New Roman"/>
            </w:rPr>
            <w:fldChar w:fldCharType="begin"/>
          </w:r>
          <w:r w:rsidR="000E053A">
            <w:rPr>
              <w:rFonts w:ascii="Times New Roman" w:hAnsi="Times New Roman" w:cs="Times New Roman"/>
            </w:rPr>
            <w:instrText xml:space="preserve"> CITATION Bak07 \l 1033 </w:instrText>
          </w:r>
          <w:r w:rsidR="000E053A">
            <w:rPr>
              <w:rFonts w:ascii="Times New Roman" w:hAnsi="Times New Roman" w:cs="Times New Roman"/>
            </w:rPr>
            <w:fldChar w:fldCharType="separate"/>
          </w:r>
          <w:r w:rsidR="000E053A" w:rsidRPr="000E053A">
            <w:rPr>
              <w:rFonts w:ascii="Times New Roman" w:hAnsi="Times New Roman" w:cs="Times New Roman"/>
              <w:noProof/>
            </w:rPr>
            <w:t>(Baker, 2007)</w:t>
          </w:r>
          <w:r w:rsidR="000E053A">
            <w:rPr>
              <w:rFonts w:ascii="Times New Roman" w:hAnsi="Times New Roman" w:cs="Times New Roman"/>
            </w:rPr>
            <w:fldChar w:fldCharType="end"/>
          </w:r>
        </w:sdtContent>
      </w:sdt>
      <w:r w:rsidR="00917DF5" w:rsidRPr="00262B6E">
        <w:rPr>
          <w:rFonts w:ascii="Times New Roman" w:hAnsi="Times New Roman" w:cs="Times New Roman"/>
        </w:rPr>
        <w:t>.</w:t>
      </w:r>
    </w:p>
    <w:p w:rsidR="00146ADD" w:rsidRPr="00262B6E" w:rsidRDefault="00917DF5" w:rsidP="00262B6E">
      <w:pPr>
        <w:spacing w:line="276" w:lineRule="auto"/>
        <w:jc w:val="both"/>
        <w:rPr>
          <w:rFonts w:ascii="Times New Roman" w:hAnsi="Times New Roman" w:cs="Times New Roman"/>
          <w:color w:val="000000"/>
          <w:shd w:val="clear" w:color="auto" w:fill="FFFFFF"/>
        </w:rPr>
      </w:pPr>
      <w:r w:rsidRPr="00262B6E">
        <w:rPr>
          <w:rFonts w:ascii="Times New Roman" w:hAnsi="Times New Roman" w:cs="Times New Roman"/>
        </w:rPr>
        <w:t xml:space="preserve">2017 was also a good year with respect to the whole decades, two companies were on the stock exchange “supermarket chain Coles and </w:t>
      </w:r>
      <w:proofErr w:type="spellStart"/>
      <w:r w:rsidRPr="00262B6E">
        <w:rPr>
          <w:rFonts w:ascii="Times New Roman" w:hAnsi="Times New Roman" w:cs="Times New Roman"/>
          <w:color w:val="000000"/>
          <w:shd w:val="clear" w:color="auto" w:fill="FFFFFF"/>
        </w:rPr>
        <w:t>Unibail</w:t>
      </w:r>
      <w:proofErr w:type="spellEnd"/>
      <w:r w:rsidRPr="00262B6E">
        <w:rPr>
          <w:rFonts w:ascii="Times New Roman" w:hAnsi="Times New Roman" w:cs="Times New Roman"/>
          <w:color w:val="000000"/>
          <w:shd w:val="clear" w:color="auto" w:fill="FFFFFF"/>
        </w:rPr>
        <w:t xml:space="preserve"> </w:t>
      </w:r>
      <w:proofErr w:type="spellStart"/>
      <w:r w:rsidRPr="00262B6E">
        <w:rPr>
          <w:rFonts w:ascii="Times New Roman" w:hAnsi="Times New Roman" w:cs="Times New Roman"/>
          <w:color w:val="000000"/>
          <w:shd w:val="clear" w:color="auto" w:fill="FFFFFF"/>
        </w:rPr>
        <w:t>Rodamco</w:t>
      </w:r>
      <w:proofErr w:type="spellEnd"/>
      <w:r w:rsidRPr="00262B6E">
        <w:rPr>
          <w:rFonts w:ascii="Times New Roman" w:hAnsi="Times New Roman" w:cs="Times New Roman"/>
          <w:color w:val="000000"/>
          <w:shd w:val="clear" w:color="auto" w:fill="FFFFFF"/>
        </w:rPr>
        <w:t xml:space="preserve">”. In this year almost 132 companies list of </w:t>
      </w:r>
      <w:r w:rsidR="000E053A">
        <w:rPr>
          <w:rFonts w:ascii="Times New Roman" w:hAnsi="Times New Roman" w:cs="Times New Roman"/>
          <w:color w:val="000000"/>
          <w:shd w:val="clear" w:color="auto" w:fill="FFFFFF"/>
        </w:rPr>
        <w:t xml:space="preserve">the </w:t>
      </w:r>
      <w:r w:rsidRPr="00262B6E">
        <w:rPr>
          <w:rFonts w:ascii="Times New Roman" w:hAnsi="Times New Roman" w:cs="Times New Roman"/>
          <w:color w:val="000000"/>
          <w:shd w:val="clear" w:color="auto" w:fill="FFFFFF"/>
        </w:rPr>
        <w:t xml:space="preserve">stock exchange and increase the ranking of the ASX on </w:t>
      </w:r>
      <w:r w:rsidR="000E053A">
        <w:rPr>
          <w:rFonts w:ascii="Times New Roman" w:hAnsi="Times New Roman" w:cs="Times New Roman"/>
          <w:color w:val="000000"/>
          <w:shd w:val="clear" w:color="auto" w:fill="FFFFFF"/>
        </w:rPr>
        <w:t xml:space="preserve">the </w:t>
      </w:r>
      <w:r w:rsidRPr="00262B6E">
        <w:rPr>
          <w:rFonts w:ascii="Times New Roman" w:hAnsi="Times New Roman" w:cs="Times New Roman"/>
          <w:color w:val="000000"/>
          <w:shd w:val="clear" w:color="auto" w:fill="FFFFFF"/>
        </w:rPr>
        <w:t>18</w:t>
      </w:r>
      <w:r w:rsidRPr="00262B6E">
        <w:rPr>
          <w:rFonts w:ascii="Times New Roman" w:hAnsi="Times New Roman" w:cs="Times New Roman"/>
          <w:color w:val="000000"/>
          <w:shd w:val="clear" w:color="auto" w:fill="FFFFFF"/>
          <w:vertAlign w:val="superscript"/>
        </w:rPr>
        <w:t>th</w:t>
      </w:r>
      <w:r w:rsidRPr="00262B6E">
        <w:rPr>
          <w:rFonts w:ascii="Times New Roman" w:hAnsi="Times New Roman" w:cs="Times New Roman"/>
          <w:color w:val="000000"/>
          <w:shd w:val="clear" w:color="auto" w:fill="FFFFFF"/>
        </w:rPr>
        <w:t xml:space="preserve"> level. A successful example of Listing is VIVA energies during this year.</w:t>
      </w:r>
    </w:p>
    <w:p w:rsidR="002D5B7F" w:rsidRDefault="002D5B7F" w:rsidP="000E053A">
      <w:pPr>
        <w:pStyle w:val="NormalWeb"/>
        <w:shd w:val="clear" w:color="auto" w:fill="FFFFFF"/>
        <w:spacing w:before="0" w:beforeAutospacing="0" w:after="150" w:afterAutospacing="0" w:line="276" w:lineRule="auto"/>
        <w:rPr>
          <w:rStyle w:val="Heading1Char"/>
          <w:rFonts w:ascii="Times New Roman" w:hAnsi="Times New Roman" w:cs="Times New Roman"/>
          <w:sz w:val="22"/>
          <w:szCs w:val="22"/>
        </w:rPr>
      </w:pPr>
    </w:p>
    <w:p w:rsidR="00456D3F" w:rsidRDefault="004B1CBD" w:rsidP="000E053A">
      <w:pPr>
        <w:pStyle w:val="NormalWeb"/>
        <w:shd w:val="clear" w:color="auto" w:fill="FFFFFF"/>
        <w:spacing w:before="0" w:beforeAutospacing="0" w:after="150" w:afterAutospacing="0" w:line="276" w:lineRule="auto"/>
        <w:rPr>
          <w:rStyle w:val="Heading1Char"/>
          <w:rFonts w:ascii="Times New Roman" w:hAnsi="Times New Roman" w:cs="Times New Roman"/>
          <w:sz w:val="22"/>
          <w:szCs w:val="22"/>
        </w:rPr>
      </w:pPr>
      <w:bookmarkStart w:id="12" w:name="_Toc8468412"/>
      <w:r w:rsidRPr="00262B6E">
        <w:rPr>
          <w:rStyle w:val="Heading1Char"/>
          <w:rFonts w:ascii="Times New Roman" w:hAnsi="Times New Roman" w:cs="Times New Roman"/>
          <w:sz w:val="22"/>
          <w:szCs w:val="22"/>
        </w:rPr>
        <w:lastRenderedPageBreak/>
        <w:t>XERO on ASX</w:t>
      </w:r>
      <w:bookmarkEnd w:id="12"/>
    </w:p>
    <w:p w:rsidR="00146ADD" w:rsidRPr="002D5B7F" w:rsidRDefault="00456D3F" w:rsidP="002D5B7F">
      <w:pPr>
        <w:rPr>
          <w:rFonts w:ascii="Times New Roman" w:eastAsia="Times New Roman" w:hAnsi="Times New Roman" w:cs="Times New Roman"/>
          <w:color w:val="000000"/>
        </w:rPr>
      </w:pPr>
      <w:r w:rsidRPr="002D5B7F">
        <w:rPr>
          <w:rFonts w:ascii="Times New Roman" w:eastAsia="Times New Roman" w:hAnsi="Times New Roman" w:cs="Times New Roman"/>
          <w:color w:val="000000"/>
        </w:rPr>
        <w:t xml:space="preserve">In February ASX got another milestone, </w:t>
      </w:r>
      <w:proofErr w:type="spellStart"/>
      <w:r w:rsidRPr="002D5B7F">
        <w:rPr>
          <w:rFonts w:ascii="Times New Roman" w:eastAsia="Times New Roman" w:hAnsi="Times New Roman" w:cs="Times New Roman"/>
          <w:color w:val="000000"/>
        </w:rPr>
        <w:t>Xero’s</w:t>
      </w:r>
      <w:proofErr w:type="spellEnd"/>
      <w:r w:rsidRPr="002D5B7F">
        <w:rPr>
          <w:rFonts w:ascii="Times New Roman" w:eastAsia="Times New Roman" w:hAnsi="Times New Roman" w:cs="Times New Roman"/>
          <w:color w:val="000000"/>
        </w:rPr>
        <w:t xml:space="preserve"> Consolidation as a sole listing. This attract the international investors to invest into ASX. </w:t>
      </w:r>
      <w:proofErr w:type="spellStart"/>
      <w:r w:rsidRPr="002D5B7F">
        <w:rPr>
          <w:rFonts w:ascii="Times New Roman" w:eastAsia="Times New Roman" w:hAnsi="Times New Roman" w:cs="Times New Roman"/>
          <w:color w:val="000000"/>
        </w:rPr>
        <w:t>Xero</w:t>
      </w:r>
      <w:proofErr w:type="spellEnd"/>
      <w:r w:rsidRPr="002D5B7F">
        <w:rPr>
          <w:rFonts w:ascii="Times New Roman" w:eastAsia="Times New Roman" w:hAnsi="Times New Roman" w:cs="Times New Roman"/>
          <w:color w:val="000000"/>
        </w:rPr>
        <w:t xml:space="preserve"> has good name in accounting software, the company is also listed in new </w:t>
      </w:r>
      <w:proofErr w:type="spellStart"/>
      <w:r w:rsidRPr="002D5B7F">
        <w:rPr>
          <w:rFonts w:ascii="Times New Roman" w:eastAsia="Times New Roman" w:hAnsi="Times New Roman" w:cs="Times New Roman"/>
          <w:color w:val="000000"/>
        </w:rPr>
        <w:t>zeland</w:t>
      </w:r>
      <w:proofErr w:type="spellEnd"/>
      <w:r w:rsidRPr="002D5B7F">
        <w:rPr>
          <w:rFonts w:ascii="Times New Roman" w:eastAsia="Times New Roman" w:hAnsi="Times New Roman" w:cs="Times New Roman"/>
          <w:color w:val="000000"/>
        </w:rPr>
        <w:t xml:space="preserve"> stock exchange in 2007. The company fall into 100 index as a sole listing. </w:t>
      </w:r>
      <w:proofErr w:type="spellStart"/>
      <w:r w:rsidRPr="002D5B7F">
        <w:rPr>
          <w:rFonts w:ascii="Times New Roman" w:eastAsia="Times New Roman" w:hAnsi="Times New Roman" w:cs="Times New Roman"/>
          <w:color w:val="000000"/>
        </w:rPr>
        <w:t>Xero</w:t>
      </w:r>
      <w:proofErr w:type="spellEnd"/>
      <w:r w:rsidRPr="002D5B7F">
        <w:rPr>
          <w:rFonts w:ascii="Times New Roman" w:eastAsia="Times New Roman" w:hAnsi="Times New Roman" w:cs="Times New Roman"/>
          <w:color w:val="000000"/>
        </w:rPr>
        <w:t xml:space="preserve"> is a multibillion dollar software company, after the consolidation company show their satisfaction in ASX as a</w:t>
      </w:r>
      <w:r w:rsidR="002D5B7F" w:rsidRPr="002D5B7F">
        <w:rPr>
          <w:rFonts w:ascii="Times New Roman" w:eastAsia="Times New Roman" w:hAnsi="Times New Roman" w:cs="Times New Roman"/>
          <w:color w:val="000000"/>
        </w:rPr>
        <w:t xml:space="preserve"> listing and investors </w:t>
      </w:r>
      <w:r w:rsidRPr="002D5B7F">
        <w:rPr>
          <w:rFonts w:ascii="Times New Roman" w:eastAsia="Times New Roman" w:hAnsi="Times New Roman" w:cs="Times New Roman"/>
          <w:color w:val="000000"/>
        </w:rPr>
        <w:t>interest.</w:t>
      </w:r>
    </w:p>
    <w:p w:rsidR="00632690" w:rsidRPr="00262B6E" w:rsidRDefault="00632690" w:rsidP="00262B6E">
      <w:pPr>
        <w:pStyle w:val="NormalWeb"/>
        <w:shd w:val="clear" w:color="auto" w:fill="FFFFFF"/>
        <w:spacing w:before="0" w:beforeAutospacing="0" w:after="150" w:afterAutospacing="0" w:line="276" w:lineRule="auto"/>
        <w:jc w:val="both"/>
        <w:rPr>
          <w:color w:val="000000"/>
          <w:sz w:val="22"/>
          <w:szCs w:val="22"/>
        </w:rPr>
      </w:pPr>
      <w:r w:rsidRPr="00262B6E">
        <w:rPr>
          <w:color w:val="000000"/>
          <w:sz w:val="22"/>
          <w:szCs w:val="22"/>
        </w:rPr>
        <w:t>Growth of pre-IPO funding is very popular now</w:t>
      </w:r>
      <w:r w:rsidR="004B1CBD" w:rsidRPr="00262B6E">
        <w:rPr>
          <w:color w:val="000000"/>
          <w:sz w:val="22"/>
          <w:szCs w:val="22"/>
        </w:rPr>
        <w:t>a</w:t>
      </w:r>
      <w:r w:rsidRPr="00262B6E">
        <w:rPr>
          <w:color w:val="000000"/>
          <w:sz w:val="22"/>
          <w:szCs w:val="22"/>
        </w:rPr>
        <w:t xml:space="preserve">days, cross boarding companies follow this policy for the success of the IPO. </w:t>
      </w:r>
      <w:r w:rsidR="00072766" w:rsidRPr="00262B6E">
        <w:rPr>
          <w:color w:val="000000"/>
          <w:sz w:val="22"/>
          <w:szCs w:val="22"/>
        </w:rPr>
        <w:t>Where</w:t>
      </w:r>
      <w:r w:rsidRPr="00262B6E">
        <w:rPr>
          <w:color w:val="000000"/>
          <w:sz w:val="22"/>
          <w:szCs w:val="22"/>
        </w:rPr>
        <w:t xml:space="preserve"> </w:t>
      </w:r>
      <w:proofErr w:type="spellStart"/>
      <w:r w:rsidRPr="00262B6E">
        <w:rPr>
          <w:color w:val="000000"/>
          <w:sz w:val="22"/>
          <w:szCs w:val="22"/>
        </w:rPr>
        <w:t>Revasum</w:t>
      </w:r>
      <w:proofErr w:type="spellEnd"/>
      <w:r w:rsidRPr="00262B6E">
        <w:rPr>
          <w:color w:val="000000"/>
          <w:sz w:val="22"/>
          <w:szCs w:val="22"/>
        </w:rPr>
        <w:t xml:space="preserve">, which completed a $10-million pre-IPO round in August, and New Zealand </w:t>
      </w:r>
      <w:r w:rsidR="00072766" w:rsidRPr="00262B6E">
        <w:rPr>
          <w:color w:val="000000"/>
          <w:sz w:val="22"/>
          <w:szCs w:val="22"/>
        </w:rPr>
        <w:t>Company</w:t>
      </w:r>
      <w:r w:rsidRPr="00262B6E">
        <w:rPr>
          <w:color w:val="000000"/>
          <w:sz w:val="22"/>
          <w:szCs w:val="22"/>
        </w:rPr>
        <w:t xml:space="preserve"> </w:t>
      </w:r>
      <w:proofErr w:type="spellStart"/>
      <w:r w:rsidRPr="00262B6E">
        <w:rPr>
          <w:color w:val="000000"/>
          <w:sz w:val="22"/>
          <w:szCs w:val="22"/>
        </w:rPr>
        <w:t>Straker</w:t>
      </w:r>
      <w:proofErr w:type="spellEnd"/>
      <w:r w:rsidRPr="00262B6E">
        <w:rPr>
          <w:color w:val="000000"/>
          <w:sz w:val="22"/>
          <w:szCs w:val="22"/>
        </w:rPr>
        <w:t xml:space="preserve"> Translations are the best example of pre-IPO funding.</w:t>
      </w:r>
    </w:p>
    <w:tbl>
      <w:tblPr>
        <w:tblW w:w="7060" w:type="dxa"/>
        <w:tblLook w:val="04A0" w:firstRow="1" w:lastRow="0" w:firstColumn="1" w:lastColumn="0" w:noHBand="0" w:noVBand="1"/>
      </w:tblPr>
      <w:tblGrid>
        <w:gridCol w:w="3530"/>
        <w:gridCol w:w="3530"/>
      </w:tblGrid>
      <w:tr w:rsidR="000E1235" w:rsidRPr="000E1235" w:rsidTr="000E1235">
        <w:trPr>
          <w:trHeight w:val="571"/>
        </w:trPr>
        <w:tc>
          <w:tcPr>
            <w:tcW w:w="3530" w:type="dxa"/>
            <w:tcBorders>
              <w:top w:val="nil"/>
              <w:left w:val="nil"/>
              <w:bottom w:val="nil"/>
              <w:right w:val="nil"/>
            </w:tcBorders>
            <w:shd w:val="clear" w:color="auto" w:fill="auto"/>
            <w:vAlign w:val="center"/>
            <w:hideMark/>
          </w:tcPr>
          <w:p w:rsidR="000E1235" w:rsidRPr="000E1235" w:rsidRDefault="000E1235" w:rsidP="00262B6E">
            <w:pPr>
              <w:spacing w:after="0" w:line="276" w:lineRule="auto"/>
              <w:jc w:val="both"/>
              <w:rPr>
                <w:rFonts w:ascii="Times New Roman" w:eastAsia="Times New Roman" w:hAnsi="Times New Roman" w:cs="Times New Roman"/>
                <w:color w:val="000000"/>
              </w:rPr>
            </w:pPr>
            <w:r w:rsidRPr="00262B6E">
              <w:rPr>
                <w:rFonts w:ascii="Times New Roman" w:eastAsia="Times New Roman" w:hAnsi="Times New Roman" w:cs="Times New Roman"/>
                <w:color w:val="000000"/>
                <w:lang w:val="en-AU"/>
              </w:rPr>
              <w:t xml:space="preserve">                                                  </w:t>
            </w:r>
            <w:r w:rsidRPr="000E1235">
              <w:rPr>
                <w:rFonts w:ascii="Times New Roman" w:eastAsia="Times New Roman" w:hAnsi="Times New Roman" w:cs="Times New Roman"/>
                <w:color w:val="000000"/>
                <w:lang w:val="en-AU"/>
              </w:rPr>
              <w:t>Year</w:t>
            </w:r>
          </w:p>
        </w:tc>
        <w:tc>
          <w:tcPr>
            <w:tcW w:w="3530" w:type="dxa"/>
            <w:tcBorders>
              <w:top w:val="nil"/>
              <w:left w:val="nil"/>
              <w:bottom w:val="nil"/>
              <w:right w:val="nil"/>
            </w:tcBorders>
            <w:shd w:val="clear" w:color="auto" w:fill="auto"/>
            <w:vAlign w:val="center"/>
            <w:hideMark/>
          </w:tcPr>
          <w:p w:rsidR="000E1235" w:rsidRPr="000E1235" w:rsidRDefault="000E1235" w:rsidP="00262B6E">
            <w:pPr>
              <w:spacing w:after="0" w:line="276" w:lineRule="auto"/>
              <w:jc w:val="both"/>
              <w:rPr>
                <w:rFonts w:ascii="Times New Roman" w:eastAsia="Times New Roman" w:hAnsi="Times New Roman" w:cs="Times New Roman"/>
                <w:color w:val="000000"/>
              </w:rPr>
            </w:pPr>
            <w:r w:rsidRPr="000E1235">
              <w:rPr>
                <w:rFonts w:ascii="Times New Roman" w:eastAsia="Times New Roman" w:hAnsi="Times New Roman" w:cs="Times New Roman"/>
                <w:color w:val="000000"/>
                <w:lang w:val="en-AU"/>
              </w:rPr>
              <w:t>IPO activity</w:t>
            </w:r>
          </w:p>
        </w:tc>
      </w:tr>
      <w:tr w:rsidR="000E1235" w:rsidRPr="000E1235" w:rsidTr="000E1235">
        <w:trPr>
          <w:trHeight w:val="285"/>
        </w:trPr>
        <w:tc>
          <w:tcPr>
            <w:tcW w:w="3530" w:type="dxa"/>
            <w:tcBorders>
              <w:top w:val="nil"/>
              <w:left w:val="nil"/>
              <w:bottom w:val="nil"/>
              <w:right w:val="nil"/>
            </w:tcBorders>
            <w:shd w:val="clear" w:color="auto" w:fill="auto"/>
            <w:vAlign w:val="center"/>
            <w:hideMark/>
          </w:tcPr>
          <w:p w:rsidR="000E1235" w:rsidRPr="000E1235" w:rsidRDefault="000E1235" w:rsidP="00262B6E">
            <w:pPr>
              <w:spacing w:after="0" w:line="276" w:lineRule="auto"/>
              <w:jc w:val="both"/>
              <w:rPr>
                <w:rFonts w:ascii="Times New Roman" w:eastAsia="Times New Roman" w:hAnsi="Times New Roman" w:cs="Times New Roman"/>
                <w:color w:val="000000"/>
              </w:rPr>
            </w:pPr>
            <w:r w:rsidRPr="000E1235">
              <w:rPr>
                <w:rFonts w:ascii="Times New Roman" w:eastAsia="Times New Roman" w:hAnsi="Times New Roman" w:cs="Times New Roman"/>
                <w:color w:val="000000"/>
                <w:lang w:val="en-AU"/>
              </w:rPr>
              <w:t>2007</w:t>
            </w:r>
          </w:p>
        </w:tc>
        <w:tc>
          <w:tcPr>
            <w:tcW w:w="3530" w:type="dxa"/>
            <w:tcBorders>
              <w:top w:val="nil"/>
              <w:left w:val="nil"/>
              <w:bottom w:val="nil"/>
              <w:right w:val="nil"/>
            </w:tcBorders>
            <w:shd w:val="clear" w:color="auto" w:fill="auto"/>
            <w:vAlign w:val="center"/>
            <w:hideMark/>
          </w:tcPr>
          <w:p w:rsidR="000E1235" w:rsidRPr="000E1235" w:rsidRDefault="000E1235" w:rsidP="00262B6E">
            <w:pPr>
              <w:spacing w:after="0" w:line="276" w:lineRule="auto"/>
              <w:jc w:val="both"/>
              <w:rPr>
                <w:rFonts w:ascii="Times New Roman" w:eastAsia="Times New Roman" w:hAnsi="Times New Roman" w:cs="Times New Roman"/>
                <w:color w:val="000000"/>
              </w:rPr>
            </w:pPr>
            <w:r w:rsidRPr="000E1235">
              <w:rPr>
                <w:rFonts w:ascii="Times New Roman" w:eastAsia="Times New Roman" w:hAnsi="Times New Roman" w:cs="Times New Roman"/>
                <w:color w:val="000000"/>
                <w:lang w:val="en-AU"/>
              </w:rPr>
              <w:t>85</w:t>
            </w:r>
          </w:p>
        </w:tc>
      </w:tr>
      <w:tr w:rsidR="000E1235" w:rsidRPr="000E1235" w:rsidTr="000E1235">
        <w:trPr>
          <w:trHeight w:val="285"/>
        </w:trPr>
        <w:tc>
          <w:tcPr>
            <w:tcW w:w="3530" w:type="dxa"/>
            <w:tcBorders>
              <w:top w:val="nil"/>
              <w:left w:val="nil"/>
              <w:bottom w:val="nil"/>
              <w:right w:val="nil"/>
            </w:tcBorders>
            <w:shd w:val="clear" w:color="auto" w:fill="auto"/>
            <w:vAlign w:val="center"/>
            <w:hideMark/>
          </w:tcPr>
          <w:p w:rsidR="000E1235" w:rsidRPr="000E1235" w:rsidRDefault="000E1235" w:rsidP="00262B6E">
            <w:pPr>
              <w:spacing w:after="0" w:line="276" w:lineRule="auto"/>
              <w:jc w:val="both"/>
              <w:rPr>
                <w:rFonts w:ascii="Times New Roman" w:eastAsia="Times New Roman" w:hAnsi="Times New Roman" w:cs="Times New Roman"/>
                <w:color w:val="000000"/>
              </w:rPr>
            </w:pPr>
            <w:r w:rsidRPr="000E1235">
              <w:rPr>
                <w:rFonts w:ascii="Times New Roman" w:eastAsia="Times New Roman" w:hAnsi="Times New Roman" w:cs="Times New Roman"/>
                <w:color w:val="000000"/>
                <w:lang w:val="en-AU"/>
              </w:rPr>
              <w:t>2008</w:t>
            </w:r>
          </w:p>
        </w:tc>
        <w:tc>
          <w:tcPr>
            <w:tcW w:w="3530" w:type="dxa"/>
            <w:tcBorders>
              <w:top w:val="nil"/>
              <w:left w:val="nil"/>
              <w:bottom w:val="nil"/>
              <w:right w:val="nil"/>
            </w:tcBorders>
            <w:shd w:val="clear" w:color="auto" w:fill="auto"/>
            <w:vAlign w:val="center"/>
            <w:hideMark/>
          </w:tcPr>
          <w:p w:rsidR="000E1235" w:rsidRPr="000E1235" w:rsidRDefault="000E1235" w:rsidP="00262B6E">
            <w:pPr>
              <w:spacing w:after="0" w:line="276" w:lineRule="auto"/>
              <w:jc w:val="both"/>
              <w:rPr>
                <w:rFonts w:ascii="Times New Roman" w:eastAsia="Times New Roman" w:hAnsi="Times New Roman" w:cs="Times New Roman"/>
                <w:color w:val="000000"/>
              </w:rPr>
            </w:pPr>
            <w:r w:rsidRPr="000E1235">
              <w:rPr>
                <w:rFonts w:ascii="Times New Roman" w:eastAsia="Times New Roman" w:hAnsi="Times New Roman" w:cs="Times New Roman"/>
                <w:color w:val="000000"/>
                <w:lang w:val="en-AU"/>
              </w:rPr>
              <w:t>93</w:t>
            </w:r>
          </w:p>
        </w:tc>
      </w:tr>
      <w:tr w:rsidR="000E1235" w:rsidRPr="000E1235" w:rsidTr="000E1235">
        <w:trPr>
          <w:trHeight w:val="285"/>
        </w:trPr>
        <w:tc>
          <w:tcPr>
            <w:tcW w:w="3530" w:type="dxa"/>
            <w:tcBorders>
              <w:top w:val="nil"/>
              <w:left w:val="nil"/>
              <w:bottom w:val="nil"/>
              <w:right w:val="nil"/>
            </w:tcBorders>
            <w:shd w:val="clear" w:color="auto" w:fill="auto"/>
            <w:vAlign w:val="center"/>
            <w:hideMark/>
          </w:tcPr>
          <w:p w:rsidR="000E1235" w:rsidRPr="000E1235" w:rsidRDefault="000E1235" w:rsidP="00262B6E">
            <w:pPr>
              <w:spacing w:after="0" w:line="276" w:lineRule="auto"/>
              <w:jc w:val="both"/>
              <w:rPr>
                <w:rFonts w:ascii="Times New Roman" w:eastAsia="Times New Roman" w:hAnsi="Times New Roman" w:cs="Times New Roman"/>
                <w:color w:val="000000"/>
              </w:rPr>
            </w:pPr>
            <w:r w:rsidRPr="000E1235">
              <w:rPr>
                <w:rFonts w:ascii="Times New Roman" w:eastAsia="Times New Roman" w:hAnsi="Times New Roman" w:cs="Times New Roman"/>
                <w:color w:val="000000"/>
                <w:lang w:val="en-AU"/>
              </w:rPr>
              <w:t>2009</w:t>
            </w:r>
          </w:p>
        </w:tc>
        <w:tc>
          <w:tcPr>
            <w:tcW w:w="3530" w:type="dxa"/>
            <w:tcBorders>
              <w:top w:val="nil"/>
              <w:left w:val="nil"/>
              <w:bottom w:val="nil"/>
              <w:right w:val="nil"/>
            </w:tcBorders>
            <w:shd w:val="clear" w:color="auto" w:fill="auto"/>
            <w:vAlign w:val="center"/>
            <w:hideMark/>
          </w:tcPr>
          <w:p w:rsidR="000E1235" w:rsidRPr="000E1235" w:rsidRDefault="000E1235" w:rsidP="00262B6E">
            <w:pPr>
              <w:spacing w:after="0" w:line="276" w:lineRule="auto"/>
              <w:jc w:val="both"/>
              <w:rPr>
                <w:rFonts w:ascii="Times New Roman" w:eastAsia="Times New Roman" w:hAnsi="Times New Roman" w:cs="Times New Roman"/>
                <w:color w:val="000000"/>
              </w:rPr>
            </w:pPr>
            <w:r w:rsidRPr="000E1235">
              <w:rPr>
                <w:rFonts w:ascii="Times New Roman" w:eastAsia="Times New Roman" w:hAnsi="Times New Roman" w:cs="Times New Roman"/>
                <w:color w:val="000000"/>
                <w:lang w:val="en-AU"/>
              </w:rPr>
              <w:t>59</w:t>
            </w:r>
          </w:p>
        </w:tc>
      </w:tr>
      <w:tr w:rsidR="000E1235" w:rsidRPr="000E1235" w:rsidTr="000E1235">
        <w:trPr>
          <w:trHeight w:val="285"/>
        </w:trPr>
        <w:tc>
          <w:tcPr>
            <w:tcW w:w="3530" w:type="dxa"/>
            <w:tcBorders>
              <w:top w:val="nil"/>
              <w:left w:val="nil"/>
              <w:bottom w:val="nil"/>
              <w:right w:val="nil"/>
            </w:tcBorders>
            <w:shd w:val="clear" w:color="auto" w:fill="auto"/>
            <w:vAlign w:val="center"/>
            <w:hideMark/>
          </w:tcPr>
          <w:p w:rsidR="000E1235" w:rsidRPr="000E1235" w:rsidRDefault="000E1235" w:rsidP="00262B6E">
            <w:pPr>
              <w:spacing w:after="0" w:line="276" w:lineRule="auto"/>
              <w:jc w:val="both"/>
              <w:rPr>
                <w:rFonts w:ascii="Times New Roman" w:eastAsia="Times New Roman" w:hAnsi="Times New Roman" w:cs="Times New Roman"/>
                <w:color w:val="000000"/>
              </w:rPr>
            </w:pPr>
            <w:r w:rsidRPr="000E1235">
              <w:rPr>
                <w:rFonts w:ascii="Times New Roman" w:eastAsia="Times New Roman" w:hAnsi="Times New Roman" w:cs="Times New Roman"/>
                <w:color w:val="000000"/>
                <w:lang w:val="en-AU"/>
              </w:rPr>
              <w:t>2010</w:t>
            </w:r>
          </w:p>
        </w:tc>
        <w:tc>
          <w:tcPr>
            <w:tcW w:w="3530" w:type="dxa"/>
            <w:tcBorders>
              <w:top w:val="nil"/>
              <w:left w:val="nil"/>
              <w:bottom w:val="nil"/>
              <w:right w:val="nil"/>
            </w:tcBorders>
            <w:shd w:val="clear" w:color="auto" w:fill="auto"/>
            <w:vAlign w:val="center"/>
            <w:hideMark/>
          </w:tcPr>
          <w:p w:rsidR="000E1235" w:rsidRPr="000E1235" w:rsidRDefault="000E1235" w:rsidP="00262B6E">
            <w:pPr>
              <w:spacing w:after="0" w:line="276" w:lineRule="auto"/>
              <w:jc w:val="both"/>
              <w:rPr>
                <w:rFonts w:ascii="Times New Roman" w:eastAsia="Times New Roman" w:hAnsi="Times New Roman" w:cs="Times New Roman"/>
                <w:color w:val="000000"/>
              </w:rPr>
            </w:pPr>
            <w:r w:rsidRPr="000E1235">
              <w:rPr>
                <w:rFonts w:ascii="Times New Roman" w:eastAsia="Times New Roman" w:hAnsi="Times New Roman" w:cs="Times New Roman"/>
                <w:color w:val="000000"/>
                <w:lang w:val="en-AU"/>
              </w:rPr>
              <w:t>126</w:t>
            </w:r>
          </w:p>
        </w:tc>
      </w:tr>
      <w:tr w:rsidR="000E1235" w:rsidRPr="000E1235" w:rsidTr="000E1235">
        <w:trPr>
          <w:trHeight w:val="285"/>
        </w:trPr>
        <w:tc>
          <w:tcPr>
            <w:tcW w:w="3530" w:type="dxa"/>
            <w:tcBorders>
              <w:top w:val="nil"/>
              <w:left w:val="nil"/>
              <w:bottom w:val="nil"/>
              <w:right w:val="nil"/>
            </w:tcBorders>
            <w:shd w:val="clear" w:color="auto" w:fill="auto"/>
            <w:vAlign w:val="center"/>
            <w:hideMark/>
          </w:tcPr>
          <w:p w:rsidR="000E1235" w:rsidRPr="000E1235" w:rsidRDefault="000E1235" w:rsidP="00262B6E">
            <w:pPr>
              <w:spacing w:after="0" w:line="276" w:lineRule="auto"/>
              <w:jc w:val="both"/>
              <w:rPr>
                <w:rFonts w:ascii="Times New Roman" w:eastAsia="Times New Roman" w:hAnsi="Times New Roman" w:cs="Times New Roman"/>
                <w:color w:val="000000"/>
              </w:rPr>
            </w:pPr>
            <w:r w:rsidRPr="000E1235">
              <w:rPr>
                <w:rFonts w:ascii="Times New Roman" w:eastAsia="Times New Roman" w:hAnsi="Times New Roman" w:cs="Times New Roman"/>
                <w:color w:val="000000"/>
                <w:lang w:val="en-AU"/>
              </w:rPr>
              <w:t>2011</w:t>
            </w:r>
          </w:p>
        </w:tc>
        <w:tc>
          <w:tcPr>
            <w:tcW w:w="3530" w:type="dxa"/>
            <w:tcBorders>
              <w:top w:val="nil"/>
              <w:left w:val="nil"/>
              <w:bottom w:val="nil"/>
              <w:right w:val="nil"/>
            </w:tcBorders>
            <w:shd w:val="clear" w:color="auto" w:fill="auto"/>
            <w:vAlign w:val="center"/>
            <w:hideMark/>
          </w:tcPr>
          <w:p w:rsidR="000E1235" w:rsidRPr="000E1235" w:rsidRDefault="000E1235" w:rsidP="00262B6E">
            <w:pPr>
              <w:spacing w:after="0" w:line="276" w:lineRule="auto"/>
              <w:jc w:val="both"/>
              <w:rPr>
                <w:rFonts w:ascii="Times New Roman" w:eastAsia="Times New Roman" w:hAnsi="Times New Roman" w:cs="Times New Roman"/>
                <w:color w:val="000000"/>
              </w:rPr>
            </w:pPr>
            <w:r w:rsidRPr="000E1235">
              <w:rPr>
                <w:rFonts w:ascii="Times New Roman" w:eastAsia="Times New Roman" w:hAnsi="Times New Roman" w:cs="Times New Roman"/>
                <w:color w:val="000000"/>
                <w:lang w:val="en-AU"/>
              </w:rPr>
              <w:t>134</w:t>
            </w:r>
          </w:p>
        </w:tc>
      </w:tr>
      <w:tr w:rsidR="000E1235" w:rsidRPr="000E1235" w:rsidTr="000E1235">
        <w:trPr>
          <w:trHeight w:val="285"/>
        </w:trPr>
        <w:tc>
          <w:tcPr>
            <w:tcW w:w="3530" w:type="dxa"/>
            <w:tcBorders>
              <w:top w:val="nil"/>
              <w:left w:val="nil"/>
              <w:bottom w:val="nil"/>
              <w:right w:val="nil"/>
            </w:tcBorders>
            <w:shd w:val="clear" w:color="auto" w:fill="auto"/>
            <w:vAlign w:val="center"/>
            <w:hideMark/>
          </w:tcPr>
          <w:p w:rsidR="000E1235" w:rsidRPr="000E1235" w:rsidRDefault="000E1235" w:rsidP="00262B6E">
            <w:pPr>
              <w:spacing w:after="0" w:line="276" w:lineRule="auto"/>
              <w:jc w:val="both"/>
              <w:rPr>
                <w:rFonts w:ascii="Times New Roman" w:eastAsia="Times New Roman" w:hAnsi="Times New Roman" w:cs="Times New Roman"/>
                <w:color w:val="000000"/>
              </w:rPr>
            </w:pPr>
            <w:r w:rsidRPr="000E1235">
              <w:rPr>
                <w:rFonts w:ascii="Times New Roman" w:eastAsia="Times New Roman" w:hAnsi="Times New Roman" w:cs="Times New Roman"/>
                <w:color w:val="000000"/>
                <w:lang w:val="en-AU"/>
              </w:rPr>
              <w:t>2012</w:t>
            </w:r>
          </w:p>
        </w:tc>
        <w:tc>
          <w:tcPr>
            <w:tcW w:w="3530" w:type="dxa"/>
            <w:tcBorders>
              <w:top w:val="nil"/>
              <w:left w:val="nil"/>
              <w:bottom w:val="nil"/>
              <w:right w:val="nil"/>
            </w:tcBorders>
            <w:shd w:val="clear" w:color="auto" w:fill="auto"/>
            <w:vAlign w:val="center"/>
            <w:hideMark/>
          </w:tcPr>
          <w:p w:rsidR="000E1235" w:rsidRPr="000E1235" w:rsidRDefault="000E1235" w:rsidP="00262B6E">
            <w:pPr>
              <w:spacing w:after="0" w:line="276" w:lineRule="auto"/>
              <w:jc w:val="both"/>
              <w:rPr>
                <w:rFonts w:ascii="Times New Roman" w:eastAsia="Times New Roman" w:hAnsi="Times New Roman" w:cs="Times New Roman"/>
                <w:color w:val="000000"/>
              </w:rPr>
            </w:pPr>
            <w:r w:rsidRPr="000E1235">
              <w:rPr>
                <w:rFonts w:ascii="Times New Roman" w:eastAsia="Times New Roman" w:hAnsi="Times New Roman" w:cs="Times New Roman"/>
                <w:color w:val="000000"/>
                <w:lang w:val="en-AU"/>
              </w:rPr>
              <w:t>83</w:t>
            </w:r>
          </w:p>
        </w:tc>
      </w:tr>
      <w:tr w:rsidR="000E1235" w:rsidRPr="000E1235" w:rsidTr="000E1235">
        <w:trPr>
          <w:trHeight w:val="285"/>
        </w:trPr>
        <w:tc>
          <w:tcPr>
            <w:tcW w:w="3530" w:type="dxa"/>
            <w:tcBorders>
              <w:top w:val="nil"/>
              <w:left w:val="nil"/>
              <w:bottom w:val="nil"/>
              <w:right w:val="nil"/>
            </w:tcBorders>
            <w:shd w:val="clear" w:color="auto" w:fill="auto"/>
            <w:vAlign w:val="center"/>
            <w:hideMark/>
          </w:tcPr>
          <w:p w:rsidR="000E1235" w:rsidRPr="000E1235" w:rsidRDefault="000E1235" w:rsidP="00262B6E">
            <w:pPr>
              <w:spacing w:after="0" w:line="276" w:lineRule="auto"/>
              <w:jc w:val="both"/>
              <w:rPr>
                <w:rFonts w:ascii="Times New Roman" w:eastAsia="Times New Roman" w:hAnsi="Times New Roman" w:cs="Times New Roman"/>
                <w:color w:val="000000"/>
              </w:rPr>
            </w:pPr>
            <w:r w:rsidRPr="000E1235">
              <w:rPr>
                <w:rFonts w:ascii="Times New Roman" w:eastAsia="Times New Roman" w:hAnsi="Times New Roman" w:cs="Times New Roman"/>
                <w:color w:val="000000"/>
                <w:lang w:val="en-AU"/>
              </w:rPr>
              <w:t>2013</w:t>
            </w:r>
          </w:p>
        </w:tc>
        <w:tc>
          <w:tcPr>
            <w:tcW w:w="3530" w:type="dxa"/>
            <w:tcBorders>
              <w:top w:val="nil"/>
              <w:left w:val="nil"/>
              <w:bottom w:val="nil"/>
              <w:right w:val="nil"/>
            </w:tcBorders>
            <w:shd w:val="clear" w:color="auto" w:fill="auto"/>
            <w:vAlign w:val="center"/>
            <w:hideMark/>
          </w:tcPr>
          <w:p w:rsidR="000E1235" w:rsidRPr="000E1235" w:rsidRDefault="000E1235" w:rsidP="00262B6E">
            <w:pPr>
              <w:spacing w:after="0" w:line="276" w:lineRule="auto"/>
              <w:jc w:val="both"/>
              <w:rPr>
                <w:rFonts w:ascii="Times New Roman" w:eastAsia="Times New Roman" w:hAnsi="Times New Roman" w:cs="Times New Roman"/>
                <w:color w:val="000000"/>
              </w:rPr>
            </w:pPr>
            <w:r w:rsidRPr="000E1235">
              <w:rPr>
                <w:rFonts w:ascii="Times New Roman" w:eastAsia="Times New Roman" w:hAnsi="Times New Roman" w:cs="Times New Roman"/>
                <w:color w:val="000000"/>
                <w:lang w:val="en-AU"/>
              </w:rPr>
              <w:t>110</w:t>
            </w:r>
          </w:p>
        </w:tc>
      </w:tr>
      <w:tr w:rsidR="000E1235" w:rsidRPr="000E1235" w:rsidTr="000E1235">
        <w:trPr>
          <w:trHeight w:val="285"/>
        </w:trPr>
        <w:tc>
          <w:tcPr>
            <w:tcW w:w="3530" w:type="dxa"/>
            <w:tcBorders>
              <w:top w:val="nil"/>
              <w:left w:val="nil"/>
              <w:bottom w:val="nil"/>
              <w:right w:val="nil"/>
            </w:tcBorders>
            <w:shd w:val="clear" w:color="auto" w:fill="auto"/>
            <w:vAlign w:val="center"/>
            <w:hideMark/>
          </w:tcPr>
          <w:p w:rsidR="000E1235" w:rsidRPr="000E1235" w:rsidRDefault="000E1235" w:rsidP="00262B6E">
            <w:pPr>
              <w:spacing w:after="0" w:line="276" w:lineRule="auto"/>
              <w:jc w:val="both"/>
              <w:rPr>
                <w:rFonts w:ascii="Times New Roman" w:eastAsia="Times New Roman" w:hAnsi="Times New Roman" w:cs="Times New Roman"/>
                <w:color w:val="000000"/>
              </w:rPr>
            </w:pPr>
            <w:r w:rsidRPr="000E1235">
              <w:rPr>
                <w:rFonts w:ascii="Times New Roman" w:eastAsia="Times New Roman" w:hAnsi="Times New Roman" w:cs="Times New Roman"/>
                <w:color w:val="000000"/>
                <w:lang w:val="en-AU"/>
              </w:rPr>
              <w:t>2014</w:t>
            </w:r>
          </w:p>
        </w:tc>
        <w:tc>
          <w:tcPr>
            <w:tcW w:w="3530" w:type="dxa"/>
            <w:tcBorders>
              <w:top w:val="nil"/>
              <w:left w:val="nil"/>
              <w:bottom w:val="nil"/>
              <w:right w:val="nil"/>
            </w:tcBorders>
            <w:shd w:val="clear" w:color="auto" w:fill="auto"/>
            <w:vAlign w:val="center"/>
            <w:hideMark/>
          </w:tcPr>
          <w:p w:rsidR="000E1235" w:rsidRPr="000E1235" w:rsidRDefault="000E1235" w:rsidP="00262B6E">
            <w:pPr>
              <w:spacing w:after="0" w:line="276" w:lineRule="auto"/>
              <w:jc w:val="both"/>
              <w:rPr>
                <w:rFonts w:ascii="Times New Roman" w:eastAsia="Times New Roman" w:hAnsi="Times New Roman" w:cs="Times New Roman"/>
                <w:color w:val="000000"/>
              </w:rPr>
            </w:pPr>
            <w:r w:rsidRPr="000E1235">
              <w:rPr>
                <w:rFonts w:ascii="Times New Roman" w:eastAsia="Times New Roman" w:hAnsi="Times New Roman" w:cs="Times New Roman"/>
                <w:color w:val="000000"/>
                <w:lang w:val="en-AU"/>
              </w:rPr>
              <w:t>104</w:t>
            </w:r>
          </w:p>
        </w:tc>
      </w:tr>
      <w:tr w:rsidR="000E1235" w:rsidRPr="000E1235" w:rsidTr="000E1235">
        <w:trPr>
          <w:trHeight w:val="285"/>
        </w:trPr>
        <w:tc>
          <w:tcPr>
            <w:tcW w:w="3530" w:type="dxa"/>
            <w:tcBorders>
              <w:top w:val="nil"/>
              <w:left w:val="nil"/>
              <w:bottom w:val="nil"/>
              <w:right w:val="nil"/>
            </w:tcBorders>
            <w:shd w:val="clear" w:color="auto" w:fill="auto"/>
            <w:vAlign w:val="center"/>
            <w:hideMark/>
          </w:tcPr>
          <w:p w:rsidR="000E1235" w:rsidRPr="000E1235" w:rsidRDefault="000E1235" w:rsidP="00262B6E">
            <w:pPr>
              <w:spacing w:after="0" w:line="276" w:lineRule="auto"/>
              <w:jc w:val="both"/>
              <w:rPr>
                <w:rFonts w:ascii="Times New Roman" w:eastAsia="Times New Roman" w:hAnsi="Times New Roman" w:cs="Times New Roman"/>
                <w:color w:val="000000"/>
              </w:rPr>
            </w:pPr>
            <w:r w:rsidRPr="000E1235">
              <w:rPr>
                <w:rFonts w:ascii="Times New Roman" w:eastAsia="Times New Roman" w:hAnsi="Times New Roman" w:cs="Times New Roman"/>
                <w:color w:val="000000"/>
                <w:lang w:val="en-AU"/>
              </w:rPr>
              <w:t>2015</w:t>
            </w:r>
          </w:p>
        </w:tc>
        <w:tc>
          <w:tcPr>
            <w:tcW w:w="3530" w:type="dxa"/>
            <w:tcBorders>
              <w:top w:val="nil"/>
              <w:left w:val="nil"/>
              <w:bottom w:val="nil"/>
              <w:right w:val="nil"/>
            </w:tcBorders>
            <w:shd w:val="clear" w:color="auto" w:fill="auto"/>
            <w:vAlign w:val="center"/>
            <w:hideMark/>
          </w:tcPr>
          <w:p w:rsidR="000E1235" w:rsidRPr="000E1235" w:rsidRDefault="000E1235" w:rsidP="00262B6E">
            <w:pPr>
              <w:spacing w:after="0" w:line="276" w:lineRule="auto"/>
              <w:jc w:val="both"/>
              <w:rPr>
                <w:rFonts w:ascii="Times New Roman" w:eastAsia="Times New Roman" w:hAnsi="Times New Roman" w:cs="Times New Roman"/>
                <w:color w:val="000000"/>
              </w:rPr>
            </w:pPr>
            <w:r w:rsidRPr="000E1235">
              <w:rPr>
                <w:rFonts w:ascii="Times New Roman" w:eastAsia="Times New Roman" w:hAnsi="Times New Roman" w:cs="Times New Roman"/>
                <w:color w:val="000000"/>
                <w:lang w:val="en-AU"/>
              </w:rPr>
              <w:t>126</w:t>
            </w:r>
          </w:p>
        </w:tc>
      </w:tr>
      <w:tr w:rsidR="000E1235" w:rsidRPr="000E1235" w:rsidTr="000E1235">
        <w:trPr>
          <w:trHeight w:val="285"/>
        </w:trPr>
        <w:tc>
          <w:tcPr>
            <w:tcW w:w="3530" w:type="dxa"/>
            <w:tcBorders>
              <w:top w:val="nil"/>
              <w:left w:val="nil"/>
              <w:bottom w:val="nil"/>
              <w:right w:val="nil"/>
            </w:tcBorders>
            <w:shd w:val="clear" w:color="auto" w:fill="auto"/>
            <w:vAlign w:val="center"/>
            <w:hideMark/>
          </w:tcPr>
          <w:p w:rsidR="000E1235" w:rsidRPr="000E1235" w:rsidRDefault="000E1235" w:rsidP="00262B6E">
            <w:pPr>
              <w:spacing w:after="0" w:line="276" w:lineRule="auto"/>
              <w:jc w:val="both"/>
              <w:rPr>
                <w:rFonts w:ascii="Times New Roman" w:eastAsia="Times New Roman" w:hAnsi="Times New Roman" w:cs="Times New Roman"/>
                <w:color w:val="000000"/>
              </w:rPr>
            </w:pPr>
            <w:r w:rsidRPr="000E1235">
              <w:rPr>
                <w:rFonts w:ascii="Times New Roman" w:eastAsia="Times New Roman" w:hAnsi="Times New Roman" w:cs="Times New Roman"/>
                <w:color w:val="000000"/>
                <w:lang w:val="en-AU"/>
              </w:rPr>
              <w:t>2016</w:t>
            </w:r>
          </w:p>
        </w:tc>
        <w:tc>
          <w:tcPr>
            <w:tcW w:w="3530" w:type="dxa"/>
            <w:tcBorders>
              <w:top w:val="nil"/>
              <w:left w:val="nil"/>
              <w:bottom w:val="nil"/>
              <w:right w:val="nil"/>
            </w:tcBorders>
            <w:shd w:val="clear" w:color="auto" w:fill="auto"/>
            <w:vAlign w:val="center"/>
            <w:hideMark/>
          </w:tcPr>
          <w:p w:rsidR="000E1235" w:rsidRPr="000E1235" w:rsidRDefault="000E1235" w:rsidP="00262B6E">
            <w:pPr>
              <w:spacing w:after="0" w:line="276" w:lineRule="auto"/>
              <w:jc w:val="both"/>
              <w:rPr>
                <w:rFonts w:ascii="Times New Roman" w:eastAsia="Times New Roman" w:hAnsi="Times New Roman" w:cs="Times New Roman"/>
                <w:color w:val="000000"/>
              </w:rPr>
            </w:pPr>
            <w:r w:rsidRPr="000E1235">
              <w:rPr>
                <w:rFonts w:ascii="Times New Roman" w:eastAsia="Times New Roman" w:hAnsi="Times New Roman" w:cs="Times New Roman"/>
                <w:color w:val="000000"/>
                <w:lang w:val="en-AU"/>
              </w:rPr>
              <w:t>133</w:t>
            </w:r>
          </w:p>
        </w:tc>
      </w:tr>
      <w:tr w:rsidR="000E1235" w:rsidRPr="000E1235" w:rsidTr="000E1235">
        <w:trPr>
          <w:trHeight w:val="285"/>
        </w:trPr>
        <w:tc>
          <w:tcPr>
            <w:tcW w:w="3530" w:type="dxa"/>
            <w:tcBorders>
              <w:top w:val="nil"/>
              <w:left w:val="nil"/>
              <w:bottom w:val="nil"/>
              <w:right w:val="nil"/>
            </w:tcBorders>
            <w:shd w:val="clear" w:color="auto" w:fill="auto"/>
            <w:vAlign w:val="center"/>
            <w:hideMark/>
          </w:tcPr>
          <w:p w:rsidR="000E1235" w:rsidRPr="000E1235" w:rsidRDefault="000E1235" w:rsidP="00262B6E">
            <w:pPr>
              <w:spacing w:after="0" w:line="276" w:lineRule="auto"/>
              <w:jc w:val="both"/>
              <w:rPr>
                <w:rFonts w:ascii="Times New Roman" w:eastAsia="Times New Roman" w:hAnsi="Times New Roman" w:cs="Times New Roman"/>
                <w:color w:val="000000"/>
              </w:rPr>
            </w:pPr>
            <w:r w:rsidRPr="000E1235">
              <w:rPr>
                <w:rFonts w:ascii="Times New Roman" w:eastAsia="Times New Roman" w:hAnsi="Times New Roman" w:cs="Times New Roman"/>
                <w:color w:val="000000"/>
                <w:lang w:val="en-AU"/>
              </w:rPr>
              <w:t>2017</w:t>
            </w:r>
          </w:p>
        </w:tc>
        <w:tc>
          <w:tcPr>
            <w:tcW w:w="3530" w:type="dxa"/>
            <w:tcBorders>
              <w:top w:val="nil"/>
              <w:left w:val="nil"/>
              <w:bottom w:val="nil"/>
              <w:right w:val="nil"/>
            </w:tcBorders>
            <w:shd w:val="clear" w:color="auto" w:fill="auto"/>
            <w:vAlign w:val="center"/>
            <w:hideMark/>
          </w:tcPr>
          <w:p w:rsidR="000E1235" w:rsidRPr="000E1235" w:rsidRDefault="000E1235" w:rsidP="00262B6E">
            <w:pPr>
              <w:spacing w:after="0" w:line="276" w:lineRule="auto"/>
              <w:jc w:val="both"/>
              <w:rPr>
                <w:rFonts w:ascii="Times New Roman" w:eastAsia="Times New Roman" w:hAnsi="Times New Roman" w:cs="Times New Roman"/>
                <w:color w:val="000000"/>
              </w:rPr>
            </w:pPr>
            <w:r w:rsidRPr="000E1235">
              <w:rPr>
                <w:rFonts w:ascii="Times New Roman" w:eastAsia="Times New Roman" w:hAnsi="Times New Roman" w:cs="Times New Roman"/>
                <w:color w:val="000000"/>
                <w:lang w:val="en-AU"/>
              </w:rPr>
              <w:t>143</w:t>
            </w:r>
          </w:p>
        </w:tc>
      </w:tr>
    </w:tbl>
    <w:p w:rsidR="001770F3" w:rsidRPr="00262B6E" w:rsidRDefault="00BB1EEB" w:rsidP="00262B6E">
      <w:pPr>
        <w:spacing w:line="276" w:lineRule="auto"/>
        <w:jc w:val="both"/>
        <w:rPr>
          <w:rFonts w:ascii="Times New Roman" w:hAnsi="Times New Roman" w:cs="Times New Roman"/>
        </w:rPr>
      </w:pPr>
      <w:r w:rsidRPr="00262B6E">
        <w:rPr>
          <w:rFonts w:ascii="Times New Roman" w:hAnsi="Times New Roman" w:cs="Times New Roman"/>
        </w:rPr>
        <w:br w:type="textWrapping" w:clear="all"/>
      </w:r>
      <w:r w:rsidR="002B6EFE" w:rsidRPr="00262B6E">
        <w:rPr>
          <w:rFonts w:ascii="Times New Roman" w:hAnsi="Times New Roman" w:cs="Times New Roman"/>
        </w:rPr>
        <w:t>e)</w:t>
      </w:r>
    </w:p>
    <w:p w:rsidR="006815DB" w:rsidRPr="00262B6E" w:rsidRDefault="006815DB" w:rsidP="00262B6E">
      <w:pPr>
        <w:spacing w:line="276" w:lineRule="auto"/>
        <w:jc w:val="both"/>
        <w:rPr>
          <w:rFonts w:ascii="Times New Roman" w:hAnsi="Times New Roman" w:cs="Times New Roman"/>
        </w:rPr>
      </w:pPr>
      <w:r w:rsidRPr="00262B6E">
        <w:rPr>
          <w:rFonts w:ascii="Times New Roman" w:hAnsi="Times New Roman" w:cs="Times New Roman"/>
        </w:rPr>
        <w:t xml:space="preserve">The Primary purpose of listing is to collect money, the value of the private equity holder is convert into public listing. Companies has different growth during the time period such as some companies outperform after listing due to of their experience and some has bad experience, it depend on many factors. </w:t>
      </w:r>
      <w:r w:rsidR="00DC1E61" w:rsidRPr="00262B6E">
        <w:rPr>
          <w:rFonts w:ascii="Times New Roman" w:hAnsi="Times New Roman" w:cs="Times New Roman"/>
        </w:rPr>
        <w:t>Most of the companies did not perform well straight after the IPO, they need minimum3-5 years to make their position in the market. The investment they collect through IPO they invested in different projects which will take time in return. Once all the investment start maturing the return will arise which add the value in shareholder wealth. It is also difficult for the management to tackle the new rules and regulations of listing and lot of corporate governance issues. So all these things matters for the success of the companies.</w:t>
      </w:r>
    </w:p>
    <w:p w:rsidR="00DC1E61" w:rsidRPr="00262B6E" w:rsidRDefault="00DC1E61" w:rsidP="00262B6E">
      <w:pPr>
        <w:spacing w:line="276" w:lineRule="auto"/>
        <w:jc w:val="both"/>
        <w:rPr>
          <w:rFonts w:ascii="Times New Roman" w:hAnsi="Times New Roman" w:cs="Times New Roman"/>
        </w:rPr>
      </w:pPr>
      <w:r w:rsidRPr="00262B6E">
        <w:rPr>
          <w:rFonts w:ascii="Times New Roman" w:hAnsi="Times New Roman" w:cs="Times New Roman"/>
        </w:rPr>
        <w:t>In current companies scenario, virtues health perform outclass after the IPO as they issue 14% of dividend in the very next year, similarly Dick Smith distribute mid-year dividend although the company went into liquidation in span of two years due to of the imbalance of investment and loan.</w:t>
      </w:r>
      <w:r w:rsidR="00647502" w:rsidRPr="00262B6E">
        <w:rPr>
          <w:rFonts w:ascii="Times New Roman" w:hAnsi="Times New Roman" w:cs="Times New Roman"/>
        </w:rPr>
        <w:t xml:space="preserve"> The calculations are performed below in the table form the day of IPO to 2018 financial year.</w:t>
      </w:r>
    </w:p>
    <w:p w:rsidR="006815DB" w:rsidRPr="00262B6E" w:rsidRDefault="006815DB" w:rsidP="00262B6E">
      <w:pPr>
        <w:spacing w:line="276" w:lineRule="auto"/>
        <w:jc w:val="both"/>
        <w:rPr>
          <w:rFonts w:ascii="Times New Roman" w:hAnsi="Times New Roman" w:cs="Times New Roman"/>
        </w:rPr>
      </w:pPr>
    </w:p>
    <w:p w:rsidR="006815DB" w:rsidRPr="00262B6E" w:rsidRDefault="006815DB" w:rsidP="00262B6E">
      <w:pPr>
        <w:spacing w:line="276" w:lineRule="auto"/>
        <w:jc w:val="both"/>
        <w:rPr>
          <w:rFonts w:ascii="Times New Roman" w:hAnsi="Times New Roman" w:cs="Times New Roman"/>
        </w:rPr>
      </w:pPr>
    </w:p>
    <w:p w:rsidR="006815DB" w:rsidRPr="00262B6E" w:rsidRDefault="006815DB" w:rsidP="00262B6E">
      <w:pPr>
        <w:spacing w:line="276" w:lineRule="auto"/>
        <w:jc w:val="both"/>
        <w:rPr>
          <w:rFonts w:ascii="Times New Roman" w:hAnsi="Times New Roman" w:cs="Times New Roman"/>
        </w:rPr>
      </w:pPr>
    </w:p>
    <w:p w:rsidR="006815DB" w:rsidRPr="00262B6E" w:rsidRDefault="006815DB" w:rsidP="00262B6E">
      <w:pPr>
        <w:spacing w:line="276" w:lineRule="auto"/>
        <w:jc w:val="both"/>
        <w:rPr>
          <w:rFonts w:ascii="Times New Roman" w:hAnsi="Times New Roman" w:cs="Times New Roman"/>
        </w:rPr>
      </w:pPr>
    </w:p>
    <w:tbl>
      <w:tblPr>
        <w:tblW w:w="8439" w:type="dxa"/>
        <w:tblLook w:val="04A0" w:firstRow="1" w:lastRow="0" w:firstColumn="1" w:lastColumn="0" w:noHBand="0" w:noVBand="1"/>
      </w:tblPr>
      <w:tblGrid>
        <w:gridCol w:w="4440"/>
        <w:gridCol w:w="140"/>
        <w:gridCol w:w="1023"/>
        <w:gridCol w:w="771"/>
        <w:gridCol w:w="155"/>
        <w:gridCol w:w="950"/>
        <w:gridCol w:w="960"/>
      </w:tblGrid>
      <w:tr w:rsidR="006815DB" w:rsidRPr="006815DB" w:rsidTr="006815DB">
        <w:trPr>
          <w:trHeight w:val="315"/>
        </w:trPr>
        <w:tc>
          <w:tcPr>
            <w:tcW w:w="7479" w:type="dxa"/>
            <w:gridSpan w:val="6"/>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b/>
                <w:bCs/>
                <w:color w:val="000000"/>
              </w:rPr>
            </w:pPr>
            <w:r w:rsidRPr="006815DB">
              <w:rPr>
                <w:rFonts w:ascii="Times New Roman" w:eastAsia="Times New Roman" w:hAnsi="Times New Roman" w:cs="Times New Roman"/>
                <w:b/>
                <w:bCs/>
                <w:color w:val="000000"/>
              </w:rPr>
              <w:lastRenderedPageBreak/>
              <w:t>GDI PROPERTY</w:t>
            </w:r>
          </w:p>
        </w:tc>
        <w:tc>
          <w:tcPr>
            <w:tcW w:w="960"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b/>
                <w:bCs/>
                <w:color w:val="000000"/>
              </w:rPr>
            </w:pPr>
          </w:p>
        </w:tc>
      </w:tr>
      <w:tr w:rsidR="006815DB" w:rsidRPr="006815DB" w:rsidTr="006815DB">
        <w:trPr>
          <w:trHeight w:val="300"/>
        </w:trPr>
        <w:tc>
          <w:tcPr>
            <w:tcW w:w="4440" w:type="dxa"/>
            <w:tcBorders>
              <w:top w:val="nil"/>
              <w:left w:val="nil"/>
              <w:bottom w:val="nil"/>
              <w:right w:val="nil"/>
            </w:tcBorders>
            <w:shd w:val="clear" w:color="auto" w:fill="auto"/>
            <w:noWrap/>
            <w:vAlign w:val="center"/>
            <w:hideMark/>
          </w:tcPr>
          <w:p w:rsidR="006815DB" w:rsidRPr="006815DB" w:rsidRDefault="006815DB" w:rsidP="00262B6E">
            <w:pPr>
              <w:spacing w:after="0" w:line="276" w:lineRule="auto"/>
              <w:jc w:val="both"/>
              <w:rPr>
                <w:rFonts w:ascii="Times New Roman" w:eastAsia="Times New Roman" w:hAnsi="Times New Roman" w:cs="Times New Roman"/>
                <w:b/>
                <w:bCs/>
                <w:color w:val="000000"/>
              </w:rPr>
            </w:pPr>
            <w:r w:rsidRPr="006815DB">
              <w:rPr>
                <w:rFonts w:ascii="Times New Roman" w:eastAsia="Times New Roman" w:hAnsi="Times New Roman" w:cs="Times New Roman"/>
                <w:b/>
                <w:bCs/>
                <w:color w:val="000000"/>
              </w:rPr>
              <w:t>Year</w:t>
            </w:r>
          </w:p>
        </w:tc>
        <w:tc>
          <w:tcPr>
            <w:tcW w:w="1934" w:type="dxa"/>
            <w:gridSpan w:val="3"/>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b/>
                <w:bCs/>
                <w:color w:val="000000"/>
              </w:rPr>
            </w:pPr>
            <w:r w:rsidRPr="006815DB">
              <w:rPr>
                <w:rFonts w:ascii="Times New Roman" w:eastAsia="Times New Roman" w:hAnsi="Times New Roman" w:cs="Times New Roman"/>
                <w:b/>
                <w:bCs/>
                <w:color w:val="000000"/>
              </w:rPr>
              <w:t>Opening Price</w:t>
            </w:r>
          </w:p>
        </w:tc>
        <w:tc>
          <w:tcPr>
            <w:tcW w:w="1105" w:type="dxa"/>
            <w:gridSpan w:val="2"/>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b/>
                <w:bCs/>
                <w:color w:val="000000"/>
              </w:rPr>
            </w:pPr>
            <w:r w:rsidRPr="006815DB">
              <w:rPr>
                <w:rFonts w:ascii="Times New Roman" w:eastAsia="Times New Roman" w:hAnsi="Times New Roman" w:cs="Times New Roman"/>
                <w:b/>
                <w:bCs/>
                <w:color w:val="000000"/>
              </w:rPr>
              <w:t>Closing Price</w:t>
            </w:r>
          </w:p>
        </w:tc>
        <w:tc>
          <w:tcPr>
            <w:tcW w:w="960"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b/>
                <w:bCs/>
                <w:color w:val="000000"/>
              </w:rPr>
            </w:pPr>
            <w:r w:rsidRPr="006815DB">
              <w:rPr>
                <w:rFonts w:ascii="Times New Roman" w:eastAsia="Times New Roman" w:hAnsi="Times New Roman" w:cs="Times New Roman"/>
                <w:b/>
                <w:bCs/>
                <w:color w:val="000000"/>
              </w:rPr>
              <w:t>Growth</w:t>
            </w:r>
          </w:p>
        </w:tc>
      </w:tr>
      <w:tr w:rsidR="006815DB" w:rsidRPr="006815DB" w:rsidTr="006815DB">
        <w:trPr>
          <w:trHeight w:val="300"/>
        </w:trPr>
        <w:tc>
          <w:tcPr>
            <w:tcW w:w="4440" w:type="dxa"/>
            <w:tcBorders>
              <w:top w:val="nil"/>
              <w:left w:val="nil"/>
              <w:bottom w:val="nil"/>
              <w:right w:val="nil"/>
            </w:tcBorders>
            <w:shd w:val="clear" w:color="auto" w:fill="auto"/>
            <w:noWrap/>
            <w:vAlign w:val="center"/>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2014-2015</w:t>
            </w:r>
          </w:p>
        </w:tc>
        <w:tc>
          <w:tcPr>
            <w:tcW w:w="1934" w:type="dxa"/>
            <w:gridSpan w:val="3"/>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0.95</w:t>
            </w:r>
          </w:p>
        </w:tc>
        <w:tc>
          <w:tcPr>
            <w:tcW w:w="1105" w:type="dxa"/>
            <w:gridSpan w:val="2"/>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0.91</w:t>
            </w:r>
          </w:p>
        </w:tc>
        <w:tc>
          <w:tcPr>
            <w:tcW w:w="960"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FF0000"/>
              </w:rPr>
            </w:pPr>
            <w:r w:rsidRPr="006815DB">
              <w:rPr>
                <w:rFonts w:ascii="Times New Roman" w:eastAsia="Times New Roman" w:hAnsi="Times New Roman" w:cs="Times New Roman"/>
                <w:color w:val="FF0000"/>
              </w:rPr>
              <w:t>-13%</w:t>
            </w:r>
          </w:p>
        </w:tc>
      </w:tr>
      <w:tr w:rsidR="006815DB" w:rsidRPr="006815DB" w:rsidTr="006815DB">
        <w:trPr>
          <w:trHeight w:val="300"/>
        </w:trPr>
        <w:tc>
          <w:tcPr>
            <w:tcW w:w="4440" w:type="dxa"/>
            <w:tcBorders>
              <w:top w:val="nil"/>
              <w:left w:val="nil"/>
              <w:bottom w:val="nil"/>
              <w:right w:val="nil"/>
            </w:tcBorders>
            <w:shd w:val="clear" w:color="auto" w:fill="auto"/>
            <w:noWrap/>
            <w:vAlign w:val="center"/>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2015-2016</w:t>
            </w:r>
          </w:p>
        </w:tc>
        <w:tc>
          <w:tcPr>
            <w:tcW w:w="1934" w:type="dxa"/>
            <w:gridSpan w:val="3"/>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0.91</w:t>
            </w:r>
          </w:p>
        </w:tc>
        <w:tc>
          <w:tcPr>
            <w:tcW w:w="1105" w:type="dxa"/>
            <w:gridSpan w:val="2"/>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0.875</w:t>
            </w:r>
          </w:p>
        </w:tc>
        <w:tc>
          <w:tcPr>
            <w:tcW w:w="960"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FF0000"/>
              </w:rPr>
            </w:pPr>
            <w:r w:rsidRPr="006815DB">
              <w:rPr>
                <w:rFonts w:ascii="Times New Roman" w:eastAsia="Times New Roman" w:hAnsi="Times New Roman" w:cs="Times New Roman"/>
                <w:color w:val="FF0000"/>
              </w:rPr>
              <w:t>-17%</w:t>
            </w:r>
          </w:p>
        </w:tc>
      </w:tr>
      <w:tr w:rsidR="006815DB" w:rsidRPr="006815DB" w:rsidTr="006815DB">
        <w:trPr>
          <w:trHeight w:val="300"/>
        </w:trPr>
        <w:tc>
          <w:tcPr>
            <w:tcW w:w="4440" w:type="dxa"/>
            <w:tcBorders>
              <w:top w:val="nil"/>
              <w:left w:val="nil"/>
              <w:bottom w:val="nil"/>
              <w:right w:val="nil"/>
            </w:tcBorders>
            <w:shd w:val="clear" w:color="auto" w:fill="auto"/>
            <w:noWrap/>
            <w:vAlign w:val="center"/>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2016-2017</w:t>
            </w:r>
          </w:p>
        </w:tc>
        <w:tc>
          <w:tcPr>
            <w:tcW w:w="1934" w:type="dxa"/>
            <w:gridSpan w:val="3"/>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0.875</w:t>
            </w:r>
          </w:p>
        </w:tc>
        <w:tc>
          <w:tcPr>
            <w:tcW w:w="1105" w:type="dxa"/>
            <w:gridSpan w:val="2"/>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0.885</w:t>
            </w:r>
          </w:p>
        </w:tc>
        <w:tc>
          <w:tcPr>
            <w:tcW w:w="960"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FF0000"/>
              </w:rPr>
            </w:pPr>
            <w:r w:rsidRPr="006815DB">
              <w:rPr>
                <w:rFonts w:ascii="Times New Roman" w:eastAsia="Times New Roman" w:hAnsi="Times New Roman" w:cs="Times New Roman"/>
                <w:color w:val="FF0000"/>
              </w:rPr>
              <w:t>-10%</w:t>
            </w:r>
          </w:p>
        </w:tc>
      </w:tr>
      <w:tr w:rsidR="006815DB" w:rsidRPr="006815DB" w:rsidTr="006815DB">
        <w:trPr>
          <w:trHeight w:val="300"/>
        </w:trPr>
        <w:tc>
          <w:tcPr>
            <w:tcW w:w="4440" w:type="dxa"/>
            <w:tcBorders>
              <w:top w:val="nil"/>
              <w:left w:val="nil"/>
              <w:bottom w:val="nil"/>
              <w:right w:val="nil"/>
            </w:tcBorders>
            <w:shd w:val="clear" w:color="auto" w:fill="auto"/>
            <w:noWrap/>
            <w:vAlign w:val="center"/>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2017-2018</w:t>
            </w:r>
          </w:p>
        </w:tc>
        <w:tc>
          <w:tcPr>
            <w:tcW w:w="1934" w:type="dxa"/>
            <w:gridSpan w:val="3"/>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0.885</w:t>
            </w:r>
          </w:p>
        </w:tc>
        <w:tc>
          <w:tcPr>
            <w:tcW w:w="1105" w:type="dxa"/>
            <w:gridSpan w:val="2"/>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1.015</w:t>
            </w:r>
          </w:p>
        </w:tc>
        <w:tc>
          <w:tcPr>
            <w:tcW w:w="960"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B050"/>
              </w:rPr>
            </w:pPr>
            <w:r w:rsidRPr="006815DB">
              <w:rPr>
                <w:rFonts w:ascii="Times New Roman" w:eastAsia="Times New Roman" w:hAnsi="Times New Roman" w:cs="Times New Roman"/>
                <w:color w:val="00B050"/>
              </w:rPr>
              <w:t>14%</w:t>
            </w:r>
          </w:p>
        </w:tc>
      </w:tr>
      <w:tr w:rsidR="006815DB" w:rsidRPr="006815DB" w:rsidTr="006815DB">
        <w:trPr>
          <w:trHeight w:val="300"/>
        </w:trPr>
        <w:tc>
          <w:tcPr>
            <w:tcW w:w="4440" w:type="dxa"/>
            <w:tcBorders>
              <w:top w:val="nil"/>
              <w:left w:val="nil"/>
              <w:bottom w:val="nil"/>
              <w:right w:val="nil"/>
            </w:tcBorders>
            <w:shd w:val="clear" w:color="auto" w:fill="auto"/>
            <w:noWrap/>
            <w:vAlign w:val="center"/>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2018-2019</w:t>
            </w:r>
          </w:p>
        </w:tc>
        <w:tc>
          <w:tcPr>
            <w:tcW w:w="1934" w:type="dxa"/>
            <w:gridSpan w:val="3"/>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1.015</w:t>
            </w:r>
          </w:p>
        </w:tc>
        <w:tc>
          <w:tcPr>
            <w:tcW w:w="1105" w:type="dxa"/>
            <w:gridSpan w:val="2"/>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1.29</w:t>
            </w:r>
          </w:p>
        </w:tc>
        <w:tc>
          <w:tcPr>
            <w:tcW w:w="960"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B050"/>
              </w:rPr>
            </w:pPr>
            <w:r w:rsidRPr="006815DB">
              <w:rPr>
                <w:rFonts w:ascii="Times New Roman" w:eastAsia="Times New Roman" w:hAnsi="Times New Roman" w:cs="Times New Roman"/>
                <w:color w:val="00B050"/>
              </w:rPr>
              <w:t>50%</w:t>
            </w:r>
          </w:p>
        </w:tc>
      </w:tr>
      <w:tr w:rsidR="006815DB" w:rsidRPr="006815DB" w:rsidTr="006815DB">
        <w:trPr>
          <w:gridAfter w:val="1"/>
          <w:wAfter w:w="960" w:type="dxa"/>
          <w:trHeight w:val="315"/>
        </w:trPr>
        <w:tc>
          <w:tcPr>
            <w:tcW w:w="7479" w:type="dxa"/>
            <w:gridSpan w:val="6"/>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b/>
                <w:bCs/>
                <w:color w:val="000000"/>
              </w:rPr>
            </w:pPr>
            <w:r w:rsidRPr="006815DB">
              <w:rPr>
                <w:rFonts w:ascii="Times New Roman" w:eastAsia="Times New Roman" w:hAnsi="Times New Roman" w:cs="Times New Roman"/>
                <w:b/>
                <w:bCs/>
                <w:color w:val="000000"/>
              </w:rPr>
              <w:t>Dick Smith</w:t>
            </w:r>
          </w:p>
        </w:tc>
      </w:tr>
      <w:tr w:rsidR="006815DB" w:rsidRPr="006815DB" w:rsidTr="006815DB">
        <w:trPr>
          <w:gridAfter w:val="1"/>
          <w:wAfter w:w="960" w:type="dxa"/>
          <w:trHeight w:val="300"/>
        </w:trPr>
        <w:tc>
          <w:tcPr>
            <w:tcW w:w="4580" w:type="dxa"/>
            <w:gridSpan w:val="2"/>
            <w:tcBorders>
              <w:top w:val="nil"/>
              <w:left w:val="nil"/>
              <w:bottom w:val="nil"/>
              <w:right w:val="nil"/>
            </w:tcBorders>
            <w:shd w:val="clear" w:color="auto" w:fill="auto"/>
            <w:noWrap/>
            <w:vAlign w:val="center"/>
            <w:hideMark/>
          </w:tcPr>
          <w:p w:rsidR="006815DB" w:rsidRPr="006815DB" w:rsidRDefault="006815DB" w:rsidP="00262B6E">
            <w:pPr>
              <w:spacing w:after="0" w:line="276" w:lineRule="auto"/>
              <w:jc w:val="both"/>
              <w:rPr>
                <w:rFonts w:ascii="Times New Roman" w:eastAsia="Times New Roman" w:hAnsi="Times New Roman" w:cs="Times New Roman"/>
                <w:b/>
                <w:bCs/>
                <w:color w:val="000000"/>
              </w:rPr>
            </w:pPr>
            <w:r w:rsidRPr="006815DB">
              <w:rPr>
                <w:rFonts w:ascii="Times New Roman" w:eastAsia="Times New Roman" w:hAnsi="Times New Roman" w:cs="Times New Roman"/>
                <w:b/>
                <w:bCs/>
                <w:color w:val="000000"/>
              </w:rPr>
              <w:t>Year</w:t>
            </w:r>
          </w:p>
        </w:tc>
        <w:tc>
          <w:tcPr>
            <w:tcW w:w="1023"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b/>
                <w:bCs/>
                <w:color w:val="000000"/>
              </w:rPr>
            </w:pPr>
            <w:r w:rsidRPr="006815DB">
              <w:rPr>
                <w:rFonts w:ascii="Times New Roman" w:eastAsia="Times New Roman" w:hAnsi="Times New Roman" w:cs="Times New Roman"/>
                <w:b/>
                <w:bCs/>
                <w:color w:val="000000"/>
              </w:rPr>
              <w:t>Opening Price</w:t>
            </w:r>
          </w:p>
        </w:tc>
        <w:tc>
          <w:tcPr>
            <w:tcW w:w="926" w:type="dxa"/>
            <w:gridSpan w:val="2"/>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b/>
                <w:bCs/>
                <w:color w:val="000000"/>
              </w:rPr>
            </w:pPr>
            <w:r w:rsidRPr="006815DB">
              <w:rPr>
                <w:rFonts w:ascii="Times New Roman" w:eastAsia="Times New Roman" w:hAnsi="Times New Roman" w:cs="Times New Roman"/>
                <w:b/>
                <w:bCs/>
                <w:color w:val="000000"/>
              </w:rPr>
              <w:t>Closing Price</w:t>
            </w:r>
          </w:p>
        </w:tc>
        <w:tc>
          <w:tcPr>
            <w:tcW w:w="950"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b/>
                <w:bCs/>
                <w:color w:val="000000"/>
              </w:rPr>
            </w:pPr>
            <w:r w:rsidRPr="006815DB">
              <w:rPr>
                <w:rFonts w:ascii="Times New Roman" w:eastAsia="Times New Roman" w:hAnsi="Times New Roman" w:cs="Times New Roman"/>
                <w:b/>
                <w:bCs/>
                <w:color w:val="000000"/>
              </w:rPr>
              <w:t>Growth</w:t>
            </w:r>
          </w:p>
        </w:tc>
      </w:tr>
      <w:tr w:rsidR="006815DB" w:rsidRPr="006815DB" w:rsidTr="006815DB">
        <w:trPr>
          <w:gridAfter w:val="1"/>
          <w:wAfter w:w="960" w:type="dxa"/>
          <w:trHeight w:val="300"/>
        </w:trPr>
        <w:tc>
          <w:tcPr>
            <w:tcW w:w="4580" w:type="dxa"/>
            <w:gridSpan w:val="2"/>
            <w:tcBorders>
              <w:top w:val="nil"/>
              <w:left w:val="nil"/>
              <w:bottom w:val="nil"/>
              <w:right w:val="nil"/>
            </w:tcBorders>
            <w:shd w:val="clear" w:color="auto" w:fill="auto"/>
            <w:noWrap/>
            <w:vAlign w:val="center"/>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2014-2015</w:t>
            </w:r>
          </w:p>
        </w:tc>
        <w:tc>
          <w:tcPr>
            <w:tcW w:w="1023"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2.2</w:t>
            </w:r>
          </w:p>
        </w:tc>
        <w:tc>
          <w:tcPr>
            <w:tcW w:w="926" w:type="dxa"/>
            <w:gridSpan w:val="2"/>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2</w:t>
            </w:r>
          </w:p>
        </w:tc>
        <w:tc>
          <w:tcPr>
            <w:tcW w:w="950"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FF0000"/>
              </w:rPr>
            </w:pPr>
            <w:r w:rsidRPr="006815DB">
              <w:rPr>
                <w:rFonts w:ascii="Times New Roman" w:eastAsia="Times New Roman" w:hAnsi="Times New Roman" w:cs="Times New Roman"/>
                <w:color w:val="FF0000"/>
              </w:rPr>
              <w:t>-9%</w:t>
            </w:r>
          </w:p>
        </w:tc>
      </w:tr>
      <w:tr w:rsidR="006815DB" w:rsidRPr="006815DB" w:rsidTr="006815DB">
        <w:trPr>
          <w:gridAfter w:val="1"/>
          <w:wAfter w:w="960" w:type="dxa"/>
          <w:trHeight w:val="300"/>
        </w:trPr>
        <w:tc>
          <w:tcPr>
            <w:tcW w:w="4580" w:type="dxa"/>
            <w:gridSpan w:val="2"/>
            <w:tcBorders>
              <w:top w:val="nil"/>
              <w:left w:val="nil"/>
              <w:bottom w:val="nil"/>
              <w:right w:val="nil"/>
            </w:tcBorders>
            <w:shd w:val="clear" w:color="auto" w:fill="auto"/>
            <w:noWrap/>
            <w:vAlign w:val="center"/>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2015-2016</w:t>
            </w:r>
          </w:p>
        </w:tc>
        <w:tc>
          <w:tcPr>
            <w:tcW w:w="1023"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2</w:t>
            </w:r>
          </w:p>
        </w:tc>
        <w:tc>
          <w:tcPr>
            <w:tcW w:w="926" w:type="dxa"/>
            <w:gridSpan w:val="2"/>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0.35</w:t>
            </w:r>
          </w:p>
        </w:tc>
        <w:tc>
          <w:tcPr>
            <w:tcW w:w="950"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B050"/>
              </w:rPr>
            </w:pPr>
            <w:r w:rsidRPr="006815DB">
              <w:rPr>
                <w:rFonts w:ascii="Times New Roman" w:eastAsia="Times New Roman" w:hAnsi="Times New Roman" w:cs="Times New Roman"/>
                <w:color w:val="FF0000"/>
              </w:rPr>
              <w:t>-83%</w:t>
            </w:r>
          </w:p>
        </w:tc>
      </w:tr>
      <w:tr w:rsidR="006815DB" w:rsidRPr="006815DB" w:rsidTr="006815DB">
        <w:trPr>
          <w:gridAfter w:val="1"/>
          <w:wAfter w:w="960" w:type="dxa"/>
          <w:trHeight w:val="300"/>
        </w:trPr>
        <w:tc>
          <w:tcPr>
            <w:tcW w:w="4580" w:type="dxa"/>
            <w:gridSpan w:val="2"/>
            <w:tcBorders>
              <w:top w:val="nil"/>
              <w:left w:val="nil"/>
              <w:bottom w:val="nil"/>
              <w:right w:val="nil"/>
            </w:tcBorders>
            <w:shd w:val="clear" w:color="auto" w:fill="auto"/>
            <w:noWrap/>
            <w:vAlign w:val="center"/>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2016-2017</w:t>
            </w:r>
          </w:p>
        </w:tc>
        <w:tc>
          <w:tcPr>
            <w:tcW w:w="1949" w:type="dxa"/>
            <w:gridSpan w:val="3"/>
            <w:tcBorders>
              <w:top w:val="nil"/>
              <w:left w:val="nil"/>
              <w:bottom w:val="nil"/>
              <w:right w:val="nil"/>
            </w:tcBorders>
            <w:shd w:val="clear" w:color="auto" w:fill="auto"/>
            <w:noWrap/>
            <w:vAlign w:val="bottom"/>
            <w:hideMark/>
          </w:tcPr>
          <w:p w:rsidR="006815DB" w:rsidRPr="006815DB" w:rsidRDefault="00647502" w:rsidP="00262B6E">
            <w:pPr>
              <w:spacing w:after="0" w:line="276" w:lineRule="auto"/>
              <w:jc w:val="both"/>
              <w:rPr>
                <w:rFonts w:ascii="Times New Roman" w:eastAsia="Times New Roman" w:hAnsi="Times New Roman" w:cs="Times New Roman"/>
                <w:color w:val="000000"/>
              </w:rPr>
            </w:pPr>
            <w:r w:rsidRPr="00262B6E">
              <w:rPr>
                <w:rFonts w:ascii="Times New Roman" w:eastAsia="Times New Roman" w:hAnsi="Times New Roman" w:cs="Times New Roman"/>
                <w:color w:val="000000"/>
              </w:rPr>
              <w:t>Discontinue</w:t>
            </w:r>
            <w:r w:rsidR="006815DB" w:rsidRPr="006815DB">
              <w:rPr>
                <w:rFonts w:ascii="Times New Roman" w:eastAsia="Times New Roman" w:hAnsi="Times New Roman" w:cs="Times New Roman"/>
                <w:color w:val="000000"/>
              </w:rPr>
              <w:t xml:space="preserve"> Operations </w:t>
            </w:r>
          </w:p>
        </w:tc>
        <w:tc>
          <w:tcPr>
            <w:tcW w:w="950"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0000"/>
              </w:rPr>
            </w:pPr>
          </w:p>
        </w:tc>
      </w:tr>
      <w:tr w:rsidR="006815DB" w:rsidRPr="006815DB" w:rsidTr="006815DB">
        <w:trPr>
          <w:gridAfter w:val="1"/>
          <w:wAfter w:w="960" w:type="dxa"/>
          <w:trHeight w:val="300"/>
        </w:trPr>
        <w:tc>
          <w:tcPr>
            <w:tcW w:w="4580" w:type="dxa"/>
            <w:gridSpan w:val="2"/>
            <w:tcBorders>
              <w:top w:val="nil"/>
              <w:left w:val="nil"/>
              <w:bottom w:val="nil"/>
              <w:right w:val="nil"/>
            </w:tcBorders>
            <w:shd w:val="clear" w:color="auto" w:fill="auto"/>
            <w:noWrap/>
            <w:vAlign w:val="center"/>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2017-2018</w:t>
            </w:r>
          </w:p>
        </w:tc>
        <w:tc>
          <w:tcPr>
            <w:tcW w:w="1949" w:type="dxa"/>
            <w:gridSpan w:val="3"/>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 xml:space="preserve">due to of Liquidation </w:t>
            </w:r>
          </w:p>
        </w:tc>
        <w:tc>
          <w:tcPr>
            <w:tcW w:w="950"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0000"/>
              </w:rPr>
            </w:pPr>
          </w:p>
        </w:tc>
      </w:tr>
      <w:tr w:rsidR="006815DB" w:rsidRPr="006815DB" w:rsidTr="006815DB">
        <w:trPr>
          <w:gridAfter w:val="1"/>
          <w:wAfter w:w="960" w:type="dxa"/>
          <w:trHeight w:val="300"/>
        </w:trPr>
        <w:tc>
          <w:tcPr>
            <w:tcW w:w="4580" w:type="dxa"/>
            <w:gridSpan w:val="2"/>
            <w:tcBorders>
              <w:top w:val="nil"/>
              <w:left w:val="nil"/>
              <w:bottom w:val="nil"/>
              <w:right w:val="nil"/>
            </w:tcBorders>
            <w:shd w:val="clear" w:color="auto" w:fill="auto"/>
            <w:noWrap/>
            <w:vAlign w:val="center"/>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2018-2019</w:t>
            </w:r>
          </w:p>
        </w:tc>
        <w:tc>
          <w:tcPr>
            <w:tcW w:w="1023"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0000"/>
              </w:rPr>
            </w:pPr>
          </w:p>
        </w:tc>
        <w:tc>
          <w:tcPr>
            <w:tcW w:w="926" w:type="dxa"/>
            <w:gridSpan w:val="2"/>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rPr>
            </w:pPr>
          </w:p>
        </w:tc>
        <w:tc>
          <w:tcPr>
            <w:tcW w:w="950"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rPr>
            </w:pPr>
          </w:p>
        </w:tc>
      </w:tr>
      <w:tr w:rsidR="006815DB" w:rsidRPr="00262B6E" w:rsidTr="006815DB">
        <w:trPr>
          <w:gridAfter w:val="1"/>
          <w:wAfter w:w="960" w:type="dxa"/>
          <w:trHeight w:val="300"/>
        </w:trPr>
        <w:tc>
          <w:tcPr>
            <w:tcW w:w="4580" w:type="dxa"/>
            <w:gridSpan w:val="2"/>
            <w:tcBorders>
              <w:top w:val="nil"/>
              <w:left w:val="nil"/>
              <w:bottom w:val="nil"/>
              <w:right w:val="nil"/>
            </w:tcBorders>
            <w:shd w:val="clear" w:color="auto" w:fill="auto"/>
            <w:noWrap/>
            <w:vAlign w:val="center"/>
          </w:tcPr>
          <w:p w:rsidR="006815DB" w:rsidRPr="00262B6E" w:rsidRDefault="006815DB" w:rsidP="00262B6E">
            <w:pPr>
              <w:spacing w:after="0" w:line="276" w:lineRule="auto"/>
              <w:jc w:val="both"/>
              <w:rPr>
                <w:rFonts w:ascii="Times New Roman" w:eastAsia="Times New Roman" w:hAnsi="Times New Roman" w:cs="Times New Roman"/>
                <w:color w:val="000000"/>
              </w:rPr>
            </w:pPr>
          </w:p>
          <w:p w:rsidR="006815DB" w:rsidRPr="00262B6E" w:rsidRDefault="006815DB" w:rsidP="00262B6E">
            <w:pPr>
              <w:spacing w:after="0" w:line="276" w:lineRule="auto"/>
              <w:jc w:val="both"/>
              <w:rPr>
                <w:rFonts w:ascii="Times New Roman" w:eastAsia="Times New Roman" w:hAnsi="Times New Roman" w:cs="Times New Roman"/>
                <w:color w:val="000000"/>
              </w:rPr>
            </w:pPr>
          </w:p>
          <w:p w:rsidR="006815DB" w:rsidRPr="00262B6E" w:rsidRDefault="006815DB" w:rsidP="00262B6E">
            <w:pPr>
              <w:spacing w:after="0" w:line="276" w:lineRule="auto"/>
              <w:jc w:val="both"/>
              <w:rPr>
                <w:rFonts w:ascii="Times New Roman" w:eastAsia="Times New Roman" w:hAnsi="Times New Roman" w:cs="Times New Roman"/>
                <w:color w:val="000000"/>
              </w:rPr>
            </w:pPr>
          </w:p>
          <w:p w:rsidR="006815DB" w:rsidRPr="00262B6E" w:rsidRDefault="006815DB" w:rsidP="00262B6E">
            <w:pPr>
              <w:spacing w:after="0" w:line="276" w:lineRule="auto"/>
              <w:jc w:val="both"/>
              <w:rPr>
                <w:rFonts w:ascii="Times New Roman" w:eastAsia="Times New Roman" w:hAnsi="Times New Roman" w:cs="Times New Roman"/>
                <w:color w:val="000000"/>
              </w:rPr>
            </w:pPr>
          </w:p>
        </w:tc>
        <w:tc>
          <w:tcPr>
            <w:tcW w:w="1023" w:type="dxa"/>
            <w:tcBorders>
              <w:top w:val="nil"/>
              <w:left w:val="nil"/>
              <w:bottom w:val="nil"/>
              <w:right w:val="nil"/>
            </w:tcBorders>
            <w:shd w:val="clear" w:color="auto" w:fill="auto"/>
            <w:noWrap/>
            <w:vAlign w:val="bottom"/>
          </w:tcPr>
          <w:p w:rsidR="006815DB" w:rsidRPr="00262B6E" w:rsidRDefault="006815DB" w:rsidP="00262B6E">
            <w:pPr>
              <w:spacing w:after="0" w:line="276" w:lineRule="auto"/>
              <w:jc w:val="both"/>
              <w:rPr>
                <w:rFonts w:ascii="Times New Roman" w:eastAsia="Times New Roman" w:hAnsi="Times New Roman" w:cs="Times New Roman"/>
                <w:color w:val="000000"/>
              </w:rPr>
            </w:pPr>
          </w:p>
        </w:tc>
        <w:tc>
          <w:tcPr>
            <w:tcW w:w="926" w:type="dxa"/>
            <w:gridSpan w:val="2"/>
            <w:tcBorders>
              <w:top w:val="nil"/>
              <w:left w:val="nil"/>
              <w:bottom w:val="nil"/>
              <w:right w:val="nil"/>
            </w:tcBorders>
            <w:shd w:val="clear" w:color="auto" w:fill="auto"/>
            <w:noWrap/>
            <w:vAlign w:val="bottom"/>
          </w:tcPr>
          <w:p w:rsidR="006815DB" w:rsidRPr="00262B6E" w:rsidRDefault="006815DB" w:rsidP="00262B6E">
            <w:pPr>
              <w:spacing w:after="0" w:line="276" w:lineRule="auto"/>
              <w:jc w:val="both"/>
              <w:rPr>
                <w:rFonts w:ascii="Times New Roman" w:eastAsia="Times New Roman" w:hAnsi="Times New Roman" w:cs="Times New Roman"/>
              </w:rPr>
            </w:pPr>
          </w:p>
        </w:tc>
        <w:tc>
          <w:tcPr>
            <w:tcW w:w="950" w:type="dxa"/>
            <w:tcBorders>
              <w:top w:val="nil"/>
              <w:left w:val="nil"/>
              <w:bottom w:val="nil"/>
              <w:right w:val="nil"/>
            </w:tcBorders>
            <w:shd w:val="clear" w:color="auto" w:fill="auto"/>
            <w:noWrap/>
            <w:vAlign w:val="bottom"/>
          </w:tcPr>
          <w:p w:rsidR="006815DB" w:rsidRPr="00262B6E" w:rsidRDefault="006815DB" w:rsidP="00262B6E">
            <w:pPr>
              <w:spacing w:after="0" w:line="276" w:lineRule="auto"/>
              <w:jc w:val="both"/>
              <w:rPr>
                <w:rFonts w:ascii="Times New Roman" w:eastAsia="Times New Roman" w:hAnsi="Times New Roman" w:cs="Times New Roman"/>
              </w:rPr>
            </w:pPr>
          </w:p>
        </w:tc>
      </w:tr>
    </w:tbl>
    <w:tbl>
      <w:tblPr>
        <w:tblpPr w:leftFromText="180" w:rightFromText="180" w:vertAnchor="text" w:horzAnchor="page" w:tblpX="3226" w:tblpY="62"/>
        <w:tblW w:w="6656" w:type="dxa"/>
        <w:tblLook w:val="04A0" w:firstRow="1" w:lastRow="0" w:firstColumn="1" w:lastColumn="0" w:noHBand="0" w:noVBand="1"/>
      </w:tblPr>
      <w:tblGrid>
        <w:gridCol w:w="960"/>
        <w:gridCol w:w="3820"/>
        <w:gridCol w:w="926"/>
        <w:gridCol w:w="950"/>
      </w:tblGrid>
      <w:tr w:rsidR="006815DB" w:rsidRPr="006815DB" w:rsidTr="006815DB">
        <w:trPr>
          <w:trHeight w:val="315"/>
        </w:trPr>
        <w:tc>
          <w:tcPr>
            <w:tcW w:w="960"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rPr>
            </w:pPr>
          </w:p>
        </w:tc>
        <w:tc>
          <w:tcPr>
            <w:tcW w:w="5696" w:type="dxa"/>
            <w:gridSpan w:val="3"/>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b/>
                <w:bCs/>
                <w:color w:val="000000"/>
              </w:rPr>
            </w:pPr>
            <w:proofErr w:type="spellStart"/>
            <w:r w:rsidRPr="006815DB">
              <w:rPr>
                <w:rFonts w:ascii="Times New Roman" w:eastAsia="Times New Roman" w:hAnsi="Times New Roman" w:cs="Times New Roman"/>
                <w:b/>
                <w:bCs/>
                <w:color w:val="000000"/>
              </w:rPr>
              <w:t>Virtus</w:t>
            </w:r>
            <w:proofErr w:type="spellEnd"/>
            <w:r w:rsidRPr="006815DB">
              <w:rPr>
                <w:rFonts w:ascii="Times New Roman" w:eastAsia="Times New Roman" w:hAnsi="Times New Roman" w:cs="Times New Roman"/>
                <w:b/>
                <w:bCs/>
                <w:color w:val="000000"/>
              </w:rPr>
              <w:t xml:space="preserve"> Health</w:t>
            </w:r>
          </w:p>
        </w:tc>
      </w:tr>
      <w:tr w:rsidR="006815DB" w:rsidRPr="006815DB" w:rsidTr="006815DB">
        <w:trPr>
          <w:trHeight w:val="300"/>
        </w:trPr>
        <w:tc>
          <w:tcPr>
            <w:tcW w:w="960" w:type="dxa"/>
            <w:tcBorders>
              <w:top w:val="nil"/>
              <w:left w:val="nil"/>
              <w:bottom w:val="nil"/>
              <w:right w:val="nil"/>
            </w:tcBorders>
            <w:shd w:val="clear" w:color="auto" w:fill="auto"/>
            <w:noWrap/>
            <w:vAlign w:val="center"/>
            <w:hideMark/>
          </w:tcPr>
          <w:p w:rsidR="006815DB" w:rsidRPr="006815DB" w:rsidRDefault="006815DB" w:rsidP="00262B6E">
            <w:pPr>
              <w:spacing w:after="0" w:line="276" w:lineRule="auto"/>
              <w:jc w:val="both"/>
              <w:rPr>
                <w:rFonts w:ascii="Times New Roman" w:eastAsia="Times New Roman" w:hAnsi="Times New Roman" w:cs="Times New Roman"/>
                <w:b/>
                <w:bCs/>
                <w:color w:val="000000"/>
              </w:rPr>
            </w:pPr>
            <w:r w:rsidRPr="006815DB">
              <w:rPr>
                <w:rFonts w:ascii="Times New Roman" w:eastAsia="Times New Roman" w:hAnsi="Times New Roman" w:cs="Times New Roman"/>
                <w:b/>
                <w:bCs/>
                <w:color w:val="000000"/>
              </w:rPr>
              <w:t>Year</w:t>
            </w:r>
          </w:p>
        </w:tc>
        <w:tc>
          <w:tcPr>
            <w:tcW w:w="3820"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b/>
                <w:bCs/>
                <w:color w:val="000000"/>
              </w:rPr>
            </w:pPr>
            <w:r w:rsidRPr="006815DB">
              <w:rPr>
                <w:rFonts w:ascii="Times New Roman" w:eastAsia="Times New Roman" w:hAnsi="Times New Roman" w:cs="Times New Roman"/>
                <w:b/>
                <w:bCs/>
                <w:color w:val="000000"/>
              </w:rPr>
              <w:t>Opening Price</w:t>
            </w:r>
          </w:p>
        </w:tc>
        <w:tc>
          <w:tcPr>
            <w:tcW w:w="926"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b/>
                <w:bCs/>
                <w:color w:val="000000"/>
              </w:rPr>
            </w:pPr>
            <w:r w:rsidRPr="006815DB">
              <w:rPr>
                <w:rFonts w:ascii="Times New Roman" w:eastAsia="Times New Roman" w:hAnsi="Times New Roman" w:cs="Times New Roman"/>
                <w:b/>
                <w:bCs/>
                <w:color w:val="000000"/>
              </w:rPr>
              <w:t>Closing Price</w:t>
            </w:r>
          </w:p>
        </w:tc>
        <w:tc>
          <w:tcPr>
            <w:tcW w:w="950"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b/>
                <w:bCs/>
                <w:color w:val="000000"/>
              </w:rPr>
            </w:pPr>
            <w:r w:rsidRPr="006815DB">
              <w:rPr>
                <w:rFonts w:ascii="Times New Roman" w:eastAsia="Times New Roman" w:hAnsi="Times New Roman" w:cs="Times New Roman"/>
                <w:b/>
                <w:bCs/>
                <w:color w:val="000000"/>
              </w:rPr>
              <w:t>Growth</w:t>
            </w:r>
          </w:p>
        </w:tc>
      </w:tr>
      <w:tr w:rsidR="006815DB" w:rsidRPr="006815DB" w:rsidTr="006815DB">
        <w:trPr>
          <w:trHeight w:val="300"/>
        </w:trPr>
        <w:tc>
          <w:tcPr>
            <w:tcW w:w="960" w:type="dxa"/>
            <w:tcBorders>
              <w:top w:val="nil"/>
              <w:left w:val="nil"/>
              <w:bottom w:val="nil"/>
              <w:right w:val="nil"/>
            </w:tcBorders>
            <w:shd w:val="clear" w:color="auto" w:fill="auto"/>
            <w:noWrap/>
            <w:vAlign w:val="center"/>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2014-2015</w:t>
            </w:r>
          </w:p>
        </w:tc>
        <w:tc>
          <w:tcPr>
            <w:tcW w:w="3820"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7.85</w:t>
            </w:r>
          </w:p>
        </w:tc>
        <w:tc>
          <w:tcPr>
            <w:tcW w:w="926"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5.37</w:t>
            </w:r>
          </w:p>
        </w:tc>
        <w:tc>
          <w:tcPr>
            <w:tcW w:w="950"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FF0000"/>
              </w:rPr>
            </w:pPr>
            <w:r w:rsidRPr="006815DB">
              <w:rPr>
                <w:rFonts w:ascii="Times New Roman" w:eastAsia="Times New Roman" w:hAnsi="Times New Roman" w:cs="Times New Roman"/>
                <w:color w:val="FF0000"/>
              </w:rPr>
              <w:t>-32%</w:t>
            </w:r>
          </w:p>
        </w:tc>
      </w:tr>
      <w:tr w:rsidR="006815DB" w:rsidRPr="006815DB" w:rsidTr="006815DB">
        <w:trPr>
          <w:trHeight w:val="300"/>
        </w:trPr>
        <w:tc>
          <w:tcPr>
            <w:tcW w:w="960" w:type="dxa"/>
            <w:tcBorders>
              <w:top w:val="nil"/>
              <w:left w:val="nil"/>
              <w:bottom w:val="nil"/>
              <w:right w:val="nil"/>
            </w:tcBorders>
            <w:shd w:val="clear" w:color="auto" w:fill="auto"/>
            <w:noWrap/>
            <w:vAlign w:val="center"/>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2015-2016</w:t>
            </w:r>
          </w:p>
        </w:tc>
        <w:tc>
          <w:tcPr>
            <w:tcW w:w="3820"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5.37</w:t>
            </w:r>
          </w:p>
        </w:tc>
        <w:tc>
          <w:tcPr>
            <w:tcW w:w="926"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6.87</w:t>
            </w:r>
          </w:p>
        </w:tc>
        <w:tc>
          <w:tcPr>
            <w:tcW w:w="950"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B050"/>
              </w:rPr>
            </w:pPr>
            <w:r w:rsidRPr="006815DB">
              <w:rPr>
                <w:rFonts w:ascii="Times New Roman" w:eastAsia="Times New Roman" w:hAnsi="Times New Roman" w:cs="Times New Roman"/>
                <w:color w:val="00B050"/>
              </w:rPr>
              <w:t>28%</w:t>
            </w:r>
          </w:p>
        </w:tc>
      </w:tr>
      <w:tr w:rsidR="006815DB" w:rsidRPr="006815DB" w:rsidTr="006815DB">
        <w:trPr>
          <w:trHeight w:val="300"/>
        </w:trPr>
        <w:tc>
          <w:tcPr>
            <w:tcW w:w="960" w:type="dxa"/>
            <w:tcBorders>
              <w:top w:val="nil"/>
              <w:left w:val="nil"/>
              <w:bottom w:val="nil"/>
              <w:right w:val="nil"/>
            </w:tcBorders>
            <w:shd w:val="clear" w:color="auto" w:fill="auto"/>
            <w:noWrap/>
            <w:vAlign w:val="center"/>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2016-2017</w:t>
            </w:r>
          </w:p>
        </w:tc>
        <w:tc>
          <w:tcPr>
            <w:tcW w:w="3820"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6.87</w:t>
            </w:r>
          </w:p>
        </w:tc>
        <w:tc>
          <w:tcPr>
            <w:tcW w:w="926"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5.38</w:t>
            </w:r>
          </w:p>
        </w:tc>
        <w:tc>
          <w:tcPr>
            <w:tcW w:w="950"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FF0000"/>
              </w:rPr>
            </w:pPr>
            <w:r w:rsidRPr="006815DB">
              <w:rPr>
                <w:rFonts w:ascii="Times New Roman" w:eastAsia="Times New Roman" w:hAnsi="Times New Roman" w:cs="Times New Roman"/>
                <w:color w:val="FF0000"/>
              </w:rPr>
              <w:t>-22%</w:t>
            </w:r>
          </w:p>
        </w:tc>
      </w:tr>
      <w:tr w:rsidR="006815DB" w:rsidRPr="006815DB" w:rsidTr="006815DB">
        <w:trPr>
          <w:trHeight w:val="300"/>
        </w:trPr>
        <w:tc>
          <w:tcPr>
            <w:tcW w:w="960" w:type="dxa"/>
            <w:tcBorders>
              <w:top w:val="nil"/>
              <w:left w:val="nil"/>
              <w:bottom w:val="nil"/>
              <w:right w:val="nil"/>
            </w:tcBorders>
            <w:shd w:val="clear" w:color="auto" w:fill="auto"/>
            <w:noWrap/>
            <w:vAlign w:val="center"/>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2017-2018</w:t>
            </w:r>
          </w:p>
        </w:tc>
        <w:tc>
          <w:tcPr>
            <w:tcW w:w="3820"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5.38</w:t>
            </w:r>
          </w:p>
        </w:tc>
        <w:tc>
          <w:tcPr>
            <w:tcW w:w="926"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5.75</w:t>
            </w:r>
          </w:p>
        </w:tc>
        <w:tc>
          <w:tcPr>
            <w:tcW w:w="950"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B050"/>
              </w:rPr>
            </w:pPr>
            <w:r w:rsidRPr="006815DB">
              <w:rPr>
                <w:rFonts w:ascii="Times New Roman" w:eastAsia="Times New Roman" w:hAnsi="Times New Roman" w:cs="Times New Roman"/>
                <w:color w:val="00B050"/>
              </w:rPr>
              <w:t>7%</w:t>
            </w:r>
          </w:p>
        </w:tc>
      </w:tr>
      <w:tr w:rsidR="006815DB" w:rsidRPr="006815DB" w:rsidTr="006815DB">
        <w:trPr>
          <w:trHeight w:val="300"/>
        </w:trPr>
        <w:tc>
          <w:tcPr>
            <w:tcW w:w="960" w:type="dxa"/>
            <w:tcBorders>
              <w:top w:val="nil"/>
              <w:left w:val="nil"/>
              <w:bottom w:val="nil"/>
              <w:right w:val="nil"/>
            </w:tcBorders>
            <w:shd w:val="clear" w:color="auto" w:fill="auto"/>
            <w:noWrap/>
            <w:vAlign w:val="center"/>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2018-2019</w:t>
            </w:r>
          </w:p>
        </w:tc>
        <w:tc>
          <w:tcPr>
            <w:tcW w:w="3820"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5.72</w:t>
            </w:r>
          </w:p>
        </w:tc>
        <w:tc>
          <w:tcPr>
            <w:tcW w:w="926"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000000"/>
              </w:rPr>
            </w:pPr>
            <w:r w:rsidRPr="006815DB">
              <w:rPr>
                <w:rFonts w:ascii="Times New Roman" w:eastAsia="Times New Roman" w:hAnsi="Times New Roman" w:cs="Times New Roman"/>
                <w:color w:val="000000"/>
              </w:rPr>
              <w:t>3.94</w:t>
            </w:r>
          </w:p>
        </w:tc>
        <w:tc>
          <w:tcPr>
            <w:tcW w:w="950" w:type="dxa"/>
            <w:tcBorders>
              <w:top w:val="nil"/>
              <w:left w:val="nil"/>
              <w:bottom w:val="nil"/>
              <w:right w:val="nil"/>
            </w:tcBorders>
            <w:shd w:val="clear" w:color="auto" w:fill="auto"/>
            <w:noWrap/>
            <w:vAlign w:val="bottom"/>
            <w:hideMark/>
          </w:tcPr>
          <w:p w:rsidR="006815DB" w:rsidRPr="006815DB" w:rsidRDefault="006815DB" w:rsidP="00262B6E">
            <w:pPr>
              <w:spacing w:after="0" w:line="276" w:lineRule="auto"/>
              <w:jc w:val="both"/>
              <w:rPr>
                <w:rFonts w:ascii="Times New Roman" w:eastAsia="Times New Roman" w:hAnsi="Times New Roman" w:cs="Times New Roman"/>
                <w:color w:val="FF0000"/>
              </w:rPr>
            </w:pPr>
            <w:r w:rsidRPr="006815DB">
              <w:rPr>
                <w:rFonts w:ascii="Times New Roman" w:eastAsia="Times New Roman" w:hAnsi="Times New Roman" w:cs="Times New Roman"/>
                <w:color w:val="FF0000"/>
              </w:rPr>
              <w:t>-31%</w:t>
            </w:r>
          </w:p>
        </w:tc>
      </w:tr>
    </w:tbl>
    <w:p w:rsidR="006815DB" w:rsidRPr="00262B6E" w:rsidRDefault="006815DB" w:rsidP="00262B6E">
      <w:pPr>
        <w:spacing w:line="276" w:lineRule="auto"/>
        <w:jc w:val="both"/>
        <w:rPr>
          <w:rFonts w:ascii="Times New Roman" w:hAnsi="Times New Roman" w:cs="Times New Roman"/>
        </w:rPr>
      </w:pPr>
    </w:p>
    <w:p w:rsidR="002A08F9" w:rsidRPr="00262B6E" w:rsidRDefault="002A08F9" w:rsidP="00262B6E">
      <w:pPr>
        <w:spacing w:line="276" w:lineRule="auto"/>
        <w:jc w:val="both"/>
        <w:rPr>
          <w:rFonts w:ascii="Times New Roman" w:hAnsi="Times New Roman" w:cs="Times New Roman"/>
        </w:rPr>
      </w:pPr>
    </w:p>
    <w:p w:rsidR="00E136B9" w:rsidRDefault="00E136B9" w:rsidP="00262B6E">
      <w:pPr>
        <w:spacing w:line="276" w:lineRule="auto"/>
        <w:jc w:val="both"/>
        <w:rPr>
          <w:rFonts w:ascii="Times New Roman" w:hAnsi="Times New Roman" w:cs="Times New Roman"/>
        </w:rPr>
      </w:pPr>
    </w:p>
    <w:p w:rsidR="00262B6E" w:rsidRDefault="00262B6E" w:rsidP="00262B6E">
      <w:pPr>
        <w:spacing w:line="276" w:lineRule="auto"/>
        <w:jc w:val="both"/>
        <w:rPr>
          <w:rFonts w:ascii="Times New Roman" w:hAnsi="Times New Roman" w:cs="Times New Roman"/>
        </w:rPr>
      </w:pPr>
    </w:p>
    <w:p w:rsidR="00262B6E" w:rsidRDefault="00262B6E" w:rsidP="00262B6E">
      <w:pPr>
        <w:spacing w:line="276" w:lineRule="auto"/>
        <w:jc w:val="both"/>
        <w:rPr>
          <w:rFonts w:ascii="Times New Roman" w:hAnsi="Times New Roman" w:cs="Times New Roman"/>
        </w:rPr>
      </w:pPr>
    </w:p>
    <w:p w:rsidR="00262B6E" w:rsidRDefault="00262B6E" w:rsidP="00262B6E">
      <w:pPr>
        <w:spacing w:line="276" w:lineRule="auto"/>
        <w:jc w:val="both"/>
        <w:rPr>
          <w:rFonts w:ascii="Times New Roman" w:hAnsi="Times New Roman" w:cs="Times New Roman"/>
        </w:rPr>
      </w:pPr>
    </w:p>
    <w:p w:rsidR="00262B6E" w:rsidRDefault="00262B6E" w:rsidP="00262B6E">
      <w:pPr>
        <w:spacing w:line="276" w:lineRule="auto"/>
        <w:jc w:val="both"/>
        <w:rPr>
          <w:rFonts w:ascii="Times New Roman" w:hAnsi="Times New Roman" w:cs="Times New Roman"/>
        </w:rPr>
      </w:pPr>
    </w:p>
    <w:p w:rsidR="00262B6E" w:rsidRDefault="00262B6E" w:rsidP="00262B6E">
      <w:pPr>
        <w:spacing w:line="276" w:lineRule="auto"/>
        <w:jc w:val="both"/>
        <w:rPr>
          <w:rFonts w:ascii="Times New Roman" w:hAnsi="Times New Roman" w:cs="Times New Roman"/>
        </w:rPr>
      </w:pPr>
    </w:p>
    <w:p w:rsidR="00262B6E" w:rsidRDefault="00262B6E" w:rsidP="00262B6E">
      <w:pPr>
        <w:spacing w:line="276" w:lineRule="auto"/>
        <w:jc w:val="both"/>
        <w:rPr>
          <w:rFonts w:ascii="Times New Roman" w:hAnsi="Times New Roman" w:cs="Times New Roman"/>
        </w:rPr>
      </w:pPr>
    </w:p>
    <w:p w:rsidR="00262B6E" w:rsidRDefault="00262B6E" w:rsidP="00262B6E">
      <w:pPr>
        <w:spacing w:line="276" w:lineRule="auto"/>
        <w:jc w:val="both"/>
        <w:rPr>
          <w:rFonts w:ascii="Times New Roman" w:hAnsi="Times New Roman" w:cs="Times New Roman"/>
        </w:rPr>
      </w:pPr>
    </w:p>
    <w:p w:rsidR="00262B6E" w:rsidRDefault="00262B6E" w:rsidP="00262B6E">
      <w:pPr>
        <w:spacing w:line="276" w:lineRule="auto"/>
        <w:jc w:val="both"/>
        <w:rPr>
          <w:rFonts w:ascii="Times New Roman" w:hAnsi="Times New Roman" w:cs="Times New Roman"/>
        </w:rPr>
      </w:pPr>
    </w:p>
    <w:p w:rsidR="00262B6E" w:rsidRDefault="00262B6E" w:rsidP="00262B6E">
      <w:pPr>
        <w:spacing w:line="276" w:lineRule="auto"/>
        <w:jc w:val="both"/>
        <w:rPr>
          <w:rFonts w:ascii="Times New Roman" w:hAnsi="Times New Roman" w:cs="Times New Roman"/>
        </w:rPr>
      </w:pPr>
      <w:r>
        <w:rPr>
          <w:rFonts w:ascii="Times New Roman" w:hAnsi="Times New Roman" w:cs="Times New Roman"/>
        </w:rPr>
        <w:t>f)</w:t>
      </w:r>
    </w:p>
    <w:p w:rsidR="00262B6E" w:rsidRDefault="000A09AD" w:rsidP="00262B6E">
      <w:pPr>
        <w:spacing w:line="276" w:lineRule="auto"/>
        <w:jc w:val="both"/>
        <w:rPr>
          <w:rFonts w:ascii="Times New Roman" w:hAnsi="Times New Roman" w:cs="Times New Roman"/>
        </w:rPr>
      </w:pPr>
      <w:r>
        <w:rPr>
          <w:rFonts w:ascii="Times New Roman" w:hAnsi="Times New Roman" w:cs="Times New Roman"/>
        </w:rPr>
        <w:t>companies decision will change if the shareholders will demand more dividend in the current period as the share price of all three companies is already is not outclass during the period.</w:t>
      </w:r>
    </w:p>
    <w:bookmarkStart w:id="13" w:name="_Toc8468413" w:displacedByCustomXml="next"/>
    <w:sdt>
      <w:sdtPr>
        <w:rPr>
          <w:rFonts w:asciiTheme="minorHAnsi" w:eastAsiaTheme="minorHAnsi" w:hAnsiTheme="minorHAnsi" w:cstheme="minorBidi"/>
          <w:color w:val="auto"/>
          <w:sz w:val="22"/>
          <w:szCs w:val="22"/>
        </w:rPr>
        <w:id w:val="-960499679"/>
        <w:docPartObj>
          <w:docPartGallery w:val="Bibliographies"/>
          <w:docPartUnique/>
        </w:docPartObj>
      </w:sdtPr>
      <w:sdtEndPr/>
      <w:sdtContent>
        <w:p w:rsidR="000E053A" w:rsidRDefault="000E053A">
          <w:pPr>
            <w:pStyle w:val="Heading1"/>
          </w:pPr>
          <w:r>
            <w:t>References</w:t>
          </w:r>
          <w:bookmarkEnd w:id="13"/>
        </w:p>
        <w:sdt>
          <w:sdtPr>
            <w:id w:val="-573587230"/>
            <w:bibliography/>
          </w:sdtPr>
          <w:sdtEndPr/>
          <w:sdtContent>
            <w:p w:rsidR="000E053A" w:rsidRDefault="000E053A" w:rsidP="000E053A">
              <w:pPr>
                <w:pStyle w:val="Bibliography"/>
                <w:ind w:left="720" w:hanging="720"/>
                <w:rPr>
                  <w:noProof/>
                  <w:sz w:val="24"/>
                  <w:szCs w:val="24"/>
                </w:rPr>
              </w:pPr>
              <w:r>
                <w:fldChar w:fldCharType="begin"/>
              </w:r>
              <w:r>
                <w:instrText xml:space="preserve"> BIBLIOGRAPHY </w:instrText>
              </w:r>
              <w:r>
                <w:fldChar w:fldCharType="separate"/>
              </w:r>
              <w:r>
                <w:rPr>
                  <w:noProof/>
                </w:rPr>
                <w:t>Baker, M. &amp;. (2007). Investor sentiment in the stock market. Journal of economic perspectives, . 21(2), 129-152.</w:t>
              </w:r>
            </w:p>
            <w:p w:rsidR="000E053A" w:rsidRDefault="000E053A" w:rsidP="000E053A">
              <w:pPr>
                <w:pStyle w:val="Bibliography"/>
                <w:ind w:left="720" w:hanging="720"/>
                <w:rPr>
                  <w:noProof/>
                </w:rPr>
              </w:pPr>
              <w:r>
                <w:rPr>
                  <w:noProof/>
                </w:rPr>
                <w:t>Carpenter, R. E. (2002). Capital market imperfections, high‐tech investment, and new equity financing. The Economic Journal, . 112(477), F54-F72.</w:t>
              </w:r>
            </w:p>
            <w:p w:rsidR="000E053A" w:rsidRDefault="000E053A" w:rsidP="000E053A">
              <w:pPr>
                <w:pStyle w:val="Bibliography"/>
                <w:ind w:left="720" w:hanging="720"/>
                <w:rPr>
                  <w:noProof/>
                </w:rPr>
              </w:pPr>
              <w:r>
                <w:rPr>
                  <w:noProof/>
                </w:rPr>
                <w:t>Loughran, T. &amp;. (2004). Why has IPO underpricing changed over time?. Financial management, . 5-37.</w:t>
              </w:r>
            </w:p>
            <w:p w:rsidR="000E053A" w:rsidRDefault="000E053A" w:rsidP="000E053A">
              <w:pPr>
                <w:pStyle w:val="Bibliography"/>
                <w:ind w:left="720" w:hanging="720"/>
                <w:rPr>
                  <w:noProof/>
                </w:rPr>
              </w:pPr>
              <w:r>
                <w:rPr>
                  <w:noProof/>
                </w:rPr>
                <w:t>Minton, B. A. (1999). The impact of cash flow volatility on discretionary investment and the costs of debt and equity financing. Journal of Financial Economics, . 54(3), 423-460.</w:t>
              </w:r>
            </w:p>
            <w:p w:rsidR="000E053A" w:rsidRDefault="000E053A" w:rsidP="000E053A">
              <w:pPr>
                <w:pStyle w:val="Bibliography"/>
                <w:ind w:left="720" w:hanging="720"/>
                <w:rPr>
                  <w:noProof/>
                </w:rPr>
              </w:pPr>
              <w:r>
                <w:rPr>
                  <w:noProof/>
                </w:rPr>
                <w:t>Oesterle, D. A. (2006). The high cost of IPOs depresses venture capital in the United States. Entrepreneurial Bus. LJ,. 1, 369.</w:t>
              </w:r>
            </w:p>
            <w:p w:rsidR="000E053A" w:rsidRDefault="000E053A" w:rsidP="000E053A">
              <w:pPr>
                <w:pStyle w:val="Bibliography"/>
                <w:ind w:left="720" w:hanging="720"/>
                <w:rPr>
                  <w:noProof/>
                </w:rPr>
              </w:pPr>
              <w:r>
                <w:rPr>
                  <w:noProof/>
                </w:rPr>
                <w:t>Ritter, J. R. (2002). A review of IPO activity, pricing, and allocations. The journal of Finance, . 57(4), 1795-1828.</w:t>
              </w:r>
            </w:p>
            <w:p w:rsidR="000E053A" w:rsidRDefault="000E053A" w:rsidP="000E053A">
              <w:r>
                <w:rPr>
                  <w:b/>
                  <w:bCs/>
                  <w:noProof/>
                </w:rPr>
                <w:fldChar w:fldCharType="end"/>
              </w:r>
            </w:p>
          </w:sdtContent>
        </w:sdt>
      </w:sdtContent>
    </w:sdt>
    <w:p w:rsidR="000E053A" w:rsidRPr="00262B6E" w:rsidRDefault="000E053A" w:rsidP="00262B6E">
      <w:pPr>
        <w:spacing w:line="276" w:lineRule="auto"/>
        <w:jc w:val="both"/>
        <w:rPr>
          <w:rFonts w:ascii="Times New Roman" w:hAnsi="Times New Roman" w:cs="Times New Roman"/>
        </w:rPr>
      </w:pPr>
    </w:p>
    <w:sectPr w:rsidR="000E053A" w:rsidRPr="00262B6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B58" w:rsidRDefault="00B30B58" w:rsidP="00E77A3F">
      <w:pPr>
        <w:spacing w:after="0" w:line="240" w:lineRule="auto"/>
      </w:pPr>
      <w:r>
        <w:separator/>
      </w:r>
    </w:p>
  </w:endnote>
  <w:endnote w:type="continuationSeparator" w:id="0">
    <w:p w:rsidR="00B30B58" w:rsidRDefault="00B30B58" w:rsidP="00E77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130645"/>
      <w:docPartObj>
        <w:docPartGallery w:val="Page Numbers (Bottom of Page)"/>
        <w:docPartUnique/>
      </w:docPartObj>
    </w:sdtPr>
    <w:sdtEndPr/>
    <w:sdtContent>
      <w:sdt>
        <w:sdtPr>
          <w:id w:val="-1769616900"/>
          <w:docPartObj>
            <w:docPartGallery w:val="Page Numbers (Top of Page)"/>
            <w:docPartUnique/>
          </w:docPartObj>
        </w:sdtPr>
        <w:sdtEndPr/>
        <w:sdtContent>
          <w:p w:rsidR="00262B6E" w:rsidRDefault="00262B6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7D4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7D4B">
              <w:rPr>
                <w:b/>
                <w:bCs/>
                <w:noProof/>
              </w:rPr>
              <w:t>9</w:t>
            </w:r>
            <w:r>
              <w:rPr>
                <w:b/>
                <w:bCs/>
                <w:sz w:val="24"/>
                <w:szCs w:val="24"/>
              </w:rPr>
              <w:fldChar w:fldCharType="end"/>
            </w:r>
          </w:p>
        </w:sdtContent>
      </w:sdt>
    </w:sdtContent>
  </w:sdt>
  <w:p w:rsidR="00262B6E" w:rsidRDefault="00262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B58" w:rsidRDefault="00B30B58" w:rsidP="00E77A3F">
      <w:pPr>
        <w:spacing w:after="0" w:line="240" w:lineRule="auto"/>
      </w:pPr>
      <w:r>
        <w:separator/>
      </w:r>
    </w:p>
  </w:footnote>
  <w:footnote w:type="continuationSeparator" w:id="0">
    <w:p w:rsidR="00B30B58" w:rsidRDefault="00B30B58" w:rsidP="00E77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B6E" w:rsidRPr="00E77A3F" w:rsidRDefault="002D5B7F">
    <w:pPr>
      <w:pStyle w:val="Header"/>
      <w:rPr>
        <w:rFonts w:ascii="Times New Roman" w:hAnsi="Times New Roman" w:cs="Times New Roman"/>
        <w:b/>
        <w:sz w:val="24"/>
      </w:rPr>
    </w:pPr>
    <w:r>
      <w:rPr>
        <w:rFonts w:ascii="Times New Roman" w:hAnsi="Times New Roman" w:cs="Times New Roman"/>
        <w:b/>
        <w:sz w:val="24"/>
      </w:rPr>
      <w:t>IPO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7677C"/>
    <w:multiLevelType w:val="hybridMultilevel"/>
    <w:tmpl w:val="7A8CB6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27059"/>
    <w:multiLevelType w:val="hybridMultilevel"/>
    <w:tmpl w:val="C2F6D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80836"/>
    <w:multiLevelType w:val="hybridMultilevel"/>
    <w:tmpl w:val="47641B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786502"/>
    <w:multiLevelType w:val="hybridMultilevel"/>
    <w:tmpl w:val="B3069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6B5203"/>
    <w:multiLevelType w:val="hybridMultilevel"/>
    <w:tmpl w:val="083AFC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2458FE"/>
    <w:multiLevelType w:val="hybridMultilevel"/>
    <w:tmpl w:val="B6A6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S0NDAwNbQ0sTQDQiUdpeDU4uLM/DyQAqNaAF63NYosAAAA"/>
  </w:docVars>
  <w:rsids>
    <w:rsidRoot w:val="001A4EC5"/>
    <w:rsid w:val="00072766"/>
    <w:rsid w:val="000A09AD"/>
    <w:rsid w:val="000E053A"/>
    <w:rsid w:val="000E1235"/>
    <w:rsid w:val="001163AE"/>
    <w:rsid w:val="00146ADD"/>
    <w:rsid w:val="001770F3"/>
    <w:rsid w:val="00183F53"/>
    <w:rsid w:val="001A141A"/>
    <w:rsid w:val="001A4EC5"/>
    <w:rsid w:val="00262B6E"/>
    <w:rsid w:val="002A08F9"/>
    <w:rsid w:val="002B6EFE"/>
    <w:rsid w:val="002D5B7F"/>
    <w:rsid w:val="002E3162"/>
    <w:rsid w:val="003756BE"/>
    <w:rsid w:val="003838A2"/>
    <w:rsid w:val="003F3083"/>
    <w:rsid w:val="00456D3F"/>
    <w:rsid w:val="004B1CBD"/>
    <w:rsid w:val="005E7714"/>
    <w:rsid w:val="00632690"/>
    <w:rsid w:val="00635410"/>
    <w:rsid w:val="00647502"/>
    <w:rsid w:val="006815DB"/>
    <w:rsid w:val="00726FAB"/>
    <w:rsid w:val="007C7D4B"/>
    <w:rsid w:val="00827FD0"/>
    <w:rsid w:val="00841D49"/>
    <w:rsid w:val="00917DF5"/>
    <w:rsid w:val="009B4BA2"/>
    <w:rsid w:val="009C19E2"/>
    <w:rsid w:val="00A97150"/>
    <w:rsid w:val="00AD3F1C"/>
    <w:rsid w:val="00B235D7"/>
    <w:rsid w:val="00B30B58"/>
    <w:rsid w:val="00B74AC4"/>
    <w:rsid w:val="00BB1EEB"/>
    <w:rsid w:val="00BC094B"/>
    <w:rsid w:val="00C45DFB"/>
    <w:rsid w:val="00DC1E61"/>
    <w:rsid w:val="00E136B9"/>
    <w:rsid w:val="00E3348F"/>
    <w:rsid w:val="00E77A3F"/>
    <w:rsid w:val="00ED322D"/>
    <w:rsid w:val="00F13637"/>
    <w:rsid w:val="00FC2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6B6B"/>
  <w15:chartTrackingRefBased/>
  <w15:docId w15:val="{6D560944-E45B-46BE-BA6A-C5A5680D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36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08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6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A08F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756BE"/>
    <w:pPr>
      <w:ind w:left="720"/>
      <w:contextualSpacing/>
    </w:pPr>
  </w:style>
  <w:style w:type="paragraph" w:styleId="Header">
    <w:name w:val="header"/>
    <w:basedOn w:val="Normal"/>
    <w:link w:val="HeaderChar"/>
    <w:uiPriority w:val="99"/>
    <w:unhideWhenUsed/>
    <w:rsid w:val="00E77A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A3F"/>
  </w:style>
  <w:style w:type="paragraph" w:styleId="Footer">
    <w:name w:val="footer"/>
    <w:basedOn w:val="Normal"/>
    <w:link w:val="FooterChar"/>
    <w:uiPriority w:val="99"/>
    <w:unhideWhenUsed/>
    <w:rsid w:val="00E77A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A3F"/>
  </w:style>
  <w:style w:type="paragraph" w:styleId="NormalWeb">
    <w:name w:val="Normal (Web)"/>
    <w:basedOn w:val="Normal"/>
    <w:uiPriority w:val="99"/>
    <w:unhideWhenUsed/>
    <w:rsid w:val="00146AD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E1235"/>
    <w:pPr>
      <w:spacing w:after="0" w:line="240" w:lineRule="auto"/>
    </w:pPr>
    <w:rPr>
      <w:rFonts w:eastAsiaTheme="minorEastAsia"/>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A09AD"/>
    <w:pPr>
      <w:outlineLvl w:val="9"/>
    </w:pPr>
  </w:style>
  <w:style w:type="paragraph" w:styleId="TOC1">
    <w:name w:val="toc 1"/>
    <w:basedOn w:val="Normal"/>
    <w:next w:val="Normal"/>
    <w:autoRedefine/>
    <w:uiPriority w:val="39"/>
    <w:unhideWhenUsed/>
    <w:rsid w:val="000A09AD"/>
    <w:pPr>
      <w:spacing w:after="100"/>
    </w:pPr>
  </w:style>
  <w:style w:type="paragraph" w:styleId="TOC2">
    <w:name w:val="toc 2"/>
    <w:basedOn w:val="Normal"/>
    <w:next w:val="Normal"/>
    <w:autoRedefine/>
    <w:uiPriority w:val="39"/>
    <w:unhideWhenUsed/>
    <w:rsid w:val="000A09AD"/>
    <w:pPr>
      <w:spacing w:after="100"/>
      <w:ind w:left="220"/>
    </w:pPr>
  </w:style>
  <w:style w:type="character" w:styleId="Hyperlink">
    <w:name w:val="Hyperlink"/>
    <w:basedOn w:val="DefaultParagraphFont"/>
    <w:uiPriority w:val="99"/>
    <w:unhideWhenUsed/>
    <w:rsid w:val="000A09AD"/>
    <w:rPr>
      <w:color w:val="0563C1" w:themeColor="hyperlink"/>
      <w:u w:val="single"/>
    </w:rPr>
  </w:style>
  <w:style w:type="paragraph" w:styleId="Bibliography">
    <w:name w:val="Bibliography"/>
    <w:basedOn w:val="Normal"/>
    <w:next w:val="Normal"/>
    <w:uiPriority w:val="37"/>
    <w:unhideWhenUsed/>
    <w:rsid w:val="000E05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7742">
      <w:bodyDiv w:val="1"/>
      <w:marLeft w:val="0"/>
      <w:marRight w:val="0"/>
      <w:marTop w:val="0"/>
      <w:marBottom w:val="0"/>
      <w:divBdr>
        <w:top w:val="none" w:sz="0" w:space="0" w:color="auto"/>
        <w:left w:val="none" w:sz="0" w:space="0" w:color="auto"/>
        <w:bottom w:val="none" w:sz="0" w:space="0" w:color="auto"/>
        <w:right w:val="none" w:sz="0" w:space="0" w:color="auto"/>
      </w:divBdr>
    </w:div>
    <w:div w:id="33849078">
      <w:bodyDiv w:val="1"/>
      <w:marLeft w:val="0"/>
      <w:marRight w:val="0"/>
      <w:marTop w:val="0"/>
      <w:marBottom w:val="0"/>
      <w:divBdr>
        <w:top w:val="none" w:sz="0" w:space="0" w:color="auto"/>
        <w:left w:val="none" w:sz="0" w:space="0" w:color="auto"/>
        <w:bottom w:val="none" w:sz="0" w:space="0" w:color="auto"/>
        <w:right w:val="none" w:sz="0" w:space="0" w:color="auto"/>
      </w:divBdr>
    </w:div>
    <w:div w:id="351762765">
      <w:bodyDiv w:val="1"/>
      <w:marLeft w:val="0"/>
      <w:marRight w:val="0"/>
      <w:marTop w:val="0"/>
      <w:marBottom w:val="0"/>
      <w:divBdr>
        <w:top w:val="none" w:sz="0" w:space="0" w:color="auto"/>
        <w:left w:val="none" w:sz="0" w:space="0" w:color="auto"/>
        <w:bottom w:val="none" w:sz="0" w:space="0" w:color="auto"/>
        <w:right w:val="none" w:sz="0" w:space="0" w:color="auto"/>
      </w:divBdr>
    </w:div>
    <w:div w:id="441071797">
      <w:bodyDiv w:val="1"/>
      <w:marLeft w:val="0"/>
      <w:marRight w:val="0"/>
      <w:marTop w:val="0"/>
      <w:marBottom w:val="0"/>
      <w:divBdr>
        <w:top w:val="none" w:sz="0" w:space="0" w:color="auto"/>
        <w:left w:val="none" w:sz="0" w:space="0" w:color="auto"/>
        <w:bottom w:val="none" w:sz="0" w:space="0" w:color="auto"/>
        <w:right w:val="none" w:sz="0" w:space="0" w:color="auto"/>
      </w:divBdr>
    </w:div>
    <w:div w:id="444540695">
      <w:bodyDiv w:val="1"/>
      <w:marLeft w:val="0"/>
      <w:marRight w:val="0"/>
      <w:marTop w:val="0"/>
      <w:marBottom w:val="0"/>
      <w:divBdr>
        <w:top w:val="none" w:sz="0" w:space="0" w:color="auto"/>
        <w:left w:val="none" w:sz="0" w:space="0" w:color="auto"/>
        <w:bottom w:val="none" w:sz="0" w:space="0" w:color="auto"/>
        <w:right w:val="none" w:sz="0" w:space="0" w:color="auto"/>
      </w:divBdr>
    </w:div>
    <w:div w:id="719020000">
      <w:bodyDiv w:val="1"/>
      <w:marLeft w:val="0"/>
      <w:marRight w:val="0"/>
      <w:marTop w:val="0"/>
      <w:marBottom w:val="0"/>
      <w:divBdr>
        <w:top w:val="none" w:sz="0" w:space="0" w:color="auto"/>
        <w:left w:val="none" w:sz="0" w:space="0" w:color="auto"/>
        <w:bottom w:val="none" w:sz="0" w:space="0" w:color="auto"/>
        <w:right w:val="none" w:sz="0" w:space="0" w:color="auto"/>
      </w:divBdr>
    </w:div>
    <w:div w:id="725573038">
      <w:bodyDiv w:val="1"/>
      <w:marLeft w:val="0"/>
      <w:marRight w:val="0"/>
      <w:marTop w:val="0"/>
      <w:marBottom w:val="0"/>
      <w:divBdr>
        <w:top w:val="none" w:sz="0" w:space="0" w:color="auto"/>
        <w:left w:val="none" w:sz="0" w:space="0" w:color="auto"/>
        <w:bottom w:val="none" w:sz="0" w:space="0" w:color="auto"/>
        <w:right w:val="none" w:sz="0" w:space="0" w:color="auto"/>
      </w:divBdr>
    </w:div>
    <w:div w:id="842939076">
      <w:bodyDiv w:val="1"/>
      <w:marLeft w:val="0"/>
      <w:marRight w:val="0"/>
      <w:marTop w:val="0"/>
      <w:marBottom w:val="0"/>
      <w:divBdr>
        <w:top w:val="none" w:sz="0" w:space="0" w:color="auto"/>
        <w:left w:val="none" w:sz="0" w:space="0" w:color="auto"/>
        <w:bottom w:val="none" w:sz="0" w:space="0" w:color="auto"/>
        <w:right w:val="none" w:sz="0" w:space="0" w:color="auto"/>
      </w:divBdr>
    </w:div>
    <w:div w:id="934361804">
      <w:bodyDiv w:val="1"/>
      <w:marLeft w:val="0"/>
      <w:marRight w:val="0"/>
      <w:marTop w:val="0"/>
      <w:marBottom w:val="0"/>
      <w:divBdr>
        <w:top w:val="none" w:sz="0" w:space="0" w:color="auto"/>
        <w:left w:val="none" w:sz="0" w:space="0" w:color="auto"/>
        <w:bottom w:val="none" w:sz="0" w:space="0" w:color="auto"/>
        <w:right w:val="none" w:sz="0" w:space="0" w:color="auto"/>
      </w:divBdr>
    </w:div>
    <w:div w:id="992870727">
      <w:bodyDiv w:val="1"/>
      <w:marLeft w:val="0"/>
      <w:marRight w:val="0"/>
      <w:marTop w:val="0"/>
      <w:marBottom w:val="0"/>
      <w:divBdr>
        <w:top w:val="none" w:sz="0" w:space="0" w:color="auto"/>
        <w:left w:val="none" w:sz="0" w:space="0" w:color="auto"/>
        <w:bottom w:val="none" w:sz="0" w:space="0" w:color="auto"/>
        <w:right w:val="none" w:sz="0" w:space="0" w:color="auto"/>
      </w:divBdr>
    </w:div>
    <w:div w:id="1234702297">
      <w:bodyDiv w:val="1"/>
      <w:marLeft w:val="0"/>
      <w:marRight w:val="0"/>
      <w:marTop w:val="0"/>
      <w:marBottom w:val="0"/>
      <w:divBdr>
        <w:top w:val="none" w:sz="0" w:space="0" w:color="auto"/>
        <w:left w:val="none" w:sz="0" w:space="0" w:color="auto"/>
        <w:bottom w:val="none" w:sz="0" w:space="0" w:color="auto"/>
        <w:right w:val="none" w:sz="0" w:space="0" w:color="auto"/>
      </w:divBdr>
    </w:div>
    <w:div w:id="1310481116">
      <w:bodyDiv w:val="1"/>
      <w:marLeft w:val="0"/>
      <w:marRight w:val="0"/>
      <w:marTop w:val="0"/>
      <w:marBottom w:val="0"/>
      <w:divBdr>
        <w:top w:val="none" w:sz="0" w:space="0" w:color="auto"/>
        <w:left w:val="none" w:sz="0" w:space="0" w:color="auto"/>
        <w:bottom w:val="none" w:sz="0" w:space="0" w:color="auto"/>
        <w:right w:val="none" w:sz="0" w:space="0" w:color="auto"/>
      </w:divBdr>
    </w:div>
    <w:div w:id="1330602542">
      <w:bodyDiv w:val="1"/>
      <w:marLeft w:val="0"/>
      <w:marRight w:val="0"/>
      <w:marTop w:val="0"/>
      <w:marBottom w:val="0"/>
      <w:divBdr>
        <w:top w:val="none" w:sz="0" w:space="0" w:color="auto"/>
        <w:left w:val="none" w:sz="0" w:space="0" w:color="auto"/>
        <w:bottom w:val="none" w:sz="0" w:space="0" w:color="auto"/>
        <w:right w:val="none" w:sz="0" w:space="0" w:color="auto"/>
      </w:divBdr>
    </w:div>
    <w:div w:id="1561594432">
      <w:bodyDiv w:val="1"/>
      <w:marLeft w:val="0"/>
      <w:marRight w:val="0"/>
      <w:marTop w:val="0"/>
      <w:marBottom w:val="0"/>
      <w:divBdr>
        <w:top w:val="none" w:sz="0" w:space="0" w:color="auto"/>
        <w:left w:val="none" w:sz="0" w:space="0" w:color="auto"/>
        <w:bottom w:val="none" w:sz="0" w:space="0" w:color="auto"/>
        <w:right w:val="none" w:sz="0" w:space="0" w:color="auto"/>
      </w:divBdr>
    </w:div>
    <w:div w:id="1575049529">
      <w:bodyDiv w:val="1"/>
      <w:marLeft w:val="0"/>
      <w:marRight w:val="0"/>
      <w:marTop w:val="0"/>
      <w:marBottom w:val="0"/>
      <w:divBdr>
        <w:top w:val="none" w:sz="0" w:space="0" w:color="auto"/>
        <w:left w:val="none" w:sz="0" w:space="0" w:color="auto"/>
        <w:bottom w:val="none" w:sz="0" w:space="0" w:color="auto"/>
        <w:right w:val="none" w:sz="0" w:space="0" w:color="auto"/>
      </w:divBdr>
    </w:div>
    <w:div w:id="1633713262">
      <w:bodyDiv w:val="1"/>
      <w:marLeft w:val="0"/>
      <w:marRight w:val="0"/>
      <w:marTop w:val="0"/>
      <w:marBottom w:val="0"/>
      <w:divBdr>
        <w:top w:val="none" w:sz="0" w:space="0" w:color="auto"/>
        <w:left w:val="none" w:sz="0" w:space="0" w:color="auto"/>
        <w:bottom w:val="none" w:sz="0" w:space="0" w:color="auto"/>
        <w:right w:val="none" w:sz="0" w:space="0" w:color="auto"/>
      </w:divBdr>
    </w:div>
    <w:div w:id="1903827828">
      <w:bodyDiv w:val="1"/>
      <w:marLeft w:val="0"/>
      <w:marRight w:val="0"/>
      <w:marTop w:val="0"/>
      <w:marBottom w:val="0"/>
      <w:divBdr>
        <w:top w:val="none" w:sz="0" w:space="0" w:color="auto"/>
        <w:left w:val="none" w:sz="0" w:space="0" w:color="auto"/>
        <w:bottom w:val="none" w:sz="0" w:space="0" w:color="auto"/>
        <w:right w:val="none" w:sz="0" w:space="0" w:color="auto"/>
      </w:divBdr>
    </w:div>
    <w:div w:id="194965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Rit02</b:Tag>
    <b:SourceType>JournalArticle</b:SourceType>
    <b:Guid>{41F7D3CA-93BA-445C-8214-6FA9BF284CE7}</b:Guid>
    <b:Author>
      <b:Author>
        <b:NameList>
          <b:Person>
            <b:Last>Ritter</b:Last>
            <b:First>J.</b:First>
            <b:Middle>R., &amp; Welch, I.</b:Middle>
          </b:Person>
        </b:NameList>
      </b:Author>
    </b:Author>
    <b:Title> A review of IPO activity, pricing, and allocations. The journal of Finance, .</b:Title>
    <b:Year>2002</b:Year>
    <b:Pages>57(4), 1795-1828</b:Pages>
    <b:RefOrder>1</b:RefOrder>
  </b:Source>
  <b:Source>
    <b:Tag>Oes06</b:Tag>
    <b:SourceType>JournalArticle</b:SourceType>
    <b:Guid>{E3C11C7B-C833-44D3-B64C-AD49B701EC6C}</b:Guid>
    <b:Author>
      <b:Author>
        <b:NameList>
          <b:Person>
            <b:Last>Oesterle</b:Last>
            <b:First>D.</b:First>
            <b:Middle>A</b:Middle>
          </b:Person>
        </b:NameList>
      </b:Author>
    </b:Author>
    <b:Title>The high cost of IPOs depresses venture capital in the United States. Entrepreneurial Bus. LJ,</b:Title>
    <b:Year>2006</b:Year>
    <b:Pages> 1, 369.</b:Pages>
    <b:RefOrder>2</b:RefOrder>
  </b:Source>
  <b:Source>
    <b:Tag>Min99</b:Tag>
    <b:SourceType>JournalArticle</b:SourceType>
    <b:Guid>{ADF8DDDA-2F49-4DC3-9C09-860AE4DC2749}</b:Guid>
    <b:Author>
      <b:Author>
        <b:NameList>
          <b:Person>
            <b:Last>Minton</b:Last>
            <b:First>B.</b:First>
            <b:Middle>A., &amp; Schrand, C.</b:Middle>
          </b:Person>
        </b:NameList>
      </b:Author>
    </b:Author>
    <b:Title>  The impact of cash flow volatility on discretionary investment and the costs of debt and equity financing. Journal of Financial Economics, </b:Title>
    <b:Year>1999</b:Year>
    <b:Pages>54(3), 423-460.</b:Pages>
    <b:RefOrder>3</b:RefOrder>
  </b:Source>
  <b:Source>
    <b:Tag>Car02</b:Tag>
    <b:SourceType>JournalArticle</b:SourceType>
    <b:Guid>{B3FE1779-7B8F-47E7-9FE5-95B8FD610C33}</b:Guid>
    <b:Author>
      <b:Author>
        <b:NameList>
          <b:Person>
            <b:Last>Carpenter</b:Last>
            <b:First>R.</b:First>
            <b:Middle>E., &amp; Petersen, B. C.</b:Middle>
          </b:Person>
        </b:NameList>
      </b:Author>
    </b:Author>
    <b:Title>Capital market imperfections, high‐tech investment, and new equity financing. The Economic Journal, </b:Title>
    <b:Year>2002</b:Year>
    <b:Pages>112(477), F54-F72.</b:Pages>
    <b:RefOrder>4</b:RefOrder>
  </b:Source>
  <b:Source>
    <b:Tag>Lou04</b:Tag>
    <b:SourceType>JournalArticle</b:SourceType>
    <b:Guid>{7078524D-B5EE-4B2C-88B7-40E38D130455}</b:Guid>
    <b:Author>
      <b:Author>
        <b:NameList>
          <b:Person>
            <b:Last>Loughran</b:Last>
            <b:First>T.,</b:First>
            <b:Middle>&amp; Ritter, J.</b:Middle>
          </b:Person>
        </b:NameList>
      </b:Author>
    </b:Author>
    <b:Title> Why has IPO underpricing changed over time?. Financial management, </b:Title>
    <b:Year>2004</b:Year>
    <b:Pages>5-37.</b:Pages>
    <b:RefOrder>5</b:RefOrder>
  </b:Source>
  <b:Source>
    <b:Tag>Bak07</b:Tag>
    <b:SourceType>JournalArticle</b:SourceType>
    <b:Guid>{3F45F966-D366-4133-B16B-52EDD106B633}</b:Guid>
    <b:Author>
      <b:Author>
        <b:NameList>
          <b:Person>
            <b:Last>Baker</b:Last>
            <b:First>M.,</b:First>
            <b:Middle>&amp; Wurgler, J.</b:Middle>
          </b:Person>
        </b:NameList>
      </b:Author>
    </b:Author>
    <b:Title> Investor sentiment in the stock market. Journal of economic perspectives, </b:Title>
    <b:Year>2007</b:Year>
    <b:Pages>21(2), 129-152.</b:Pages>
    <b:RefOrder>6</b:RefOrder>
  </b:Source>
</b:Sources>
</file>

<file path=customXml/itemProps1.xml><?xml version="1.0" encoding="utf-8"?>
<ds:datastoreItem xmlns:ds="http://schemas.openxmlformats.org/officeDocument/2006/customXml" ds:itemID="{9A019601-758F-438A-9B67-1D85AAC1A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9</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dc:creator>
  <cp:keywords/>
  <dc:description/>
  <cp:lastModifiedBy>Adnan</cp:lastModifiedBy>
  <cp:revision>112</cp:revision>
  <dcterms:created xsi:type="dcterms:W3CDTF">2019-05-10T19:27:00Z</dcterms:created>
  <dcterms:modified xsi:type="dcterms:W3CDTF">2019-05-11T07:02:00Z</dcterms:modified>
</cp:coreProperties>
</file>