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B267FA" w:rsidRDefault="0099050D" w:rsidP="0015306E">
      <w:pPr>
        <w:spacing w:after="0" w:line="360" w:lineRule="auto"/>
        <w:jc w:val="both"/>
        <w:rPr>
          <w:rFonts w:ascii="Bookman Old Style" w:hAnsi="Bookman Old Style" w:cs="Times New Roman"/>
          <w:sz w:val="24"/>
          <w:szCs w:val="24"/>
        </w:rPr>
      </w:pPr>
    </w:p>
    <w:p w:rsidR="00C37C3A" w:rsidRPr="00B267FA" w:rsidRDefault="00C37C3A" w:rsidP="0015306E">
      <w:pPr>
        <w:spacing w:after="0" w:line="360" w:lineRule="auto"/>
        <w:jc w:val="both"/>
        <w:rPr>
          <w:rFonts w:ascii="Bookman Old Style" w:hAnsi="Bookman Old Style" w:cs="Times New Roman"/>
          <w:sz w:val="24"/>
          <w:szCs w:val="24"/>
        </w:rPr>
      </w:pPr>
    </w:p>
    <w:p w:rsidR="00C37C3A" w:rsidRPr="00B267FA" w:rsidRDefault="00C37C3A" w:rsidP="0015306E">
      <w:pPr>
        <w:spacing w:after="0" w:line="360" w:lineRule="auto"/>
        <w:jc w:val="both"/>
        <w:rPr>
          <w:rFonts w:ascii="Bookman Old Style" w:hAnsi="Bookman Old Style" w:cs="Times New Roman"/>
          <w:sz w:val="24"/>
          <w:szCs w:val="24"/>
        </w:rPr>
      </w:pPr>
    </w:p>
    <w:p w:rsidR="00C37C3A" w:rsidRPr="00B267FA" w:rsidRDefault="00C37C3A" w:rsidP="0015306E">
      <w:pPr>
        <w:spacing w:after="0" w:line="360" w:lineRule="auto"/>
        <w:jc w:val="both"/>
        <w:rPr>
          <w:rFonts w:ascii="Bookman Old Style" w:hAnsi="Bookman Old Style" w:cs="Times New Roman"/>
          <w:sz w:val="24"/>
          <w:szCs w:val="24"/>
        </w:rPr>
      </w:pPr>
    </w:p>
    <w:p w:rsidR="00C37C3A" w:rsidRPr="00B267FA" w:rsidRDefault="00C37C3A" w:rsidP="0015306E">
      <w:pPr>
        <w:spacing w:after="0" w:line="360" w:lineRule="auto"/>
        <w:jc w:val="both"/>
        <w:rPr>
          <w:rFonts w:ascii="Bookman Old Style" w:hAnsi="Bookman Old Style" w:cs="Times New Roman"/>
          <w:sz w:val="24"/>
          <w:szCs w:val="24"/>
        </w:rPr>
      </w:pPr>
    </w:p>
    <w:p w:rsidR="00C37C3A" w:rsidRPr="00B267FA" w:rsidRDefault="00C37C3A" w:rsidP="0015306E">
      <w:pPr>
        <w:spacing w:after="0" w:line="360" w:lineRule="auto"/>
        <w:jc w:val="both"/>
        <w:rPr>
          <w:rFonts w:ascii="Bookman Old Style" w:hAnsi="Bookman Old Style" w:cs="Times New Roman"/>
          <w:sz w:val="24"/>
          <w:szCs w:val="24"/>
        </w:rPr>
      </w:pPr>
    </w:p>
    <w:p w:rsidR="00C37C3A" w:rsidRPr="00B267FA" w:rsidRDefault="00C37C3A" w:rsidP="0015306E">
      <w:pPr>
        <w:spacing w:after="0" w:line="360" w:lineRule="auto"/>
        <w:jc w:val="both"/>
        <w:rPr>
          <w:rFonts w:ascii="Bookman Old Style" w:hAnsi="Bookman Old Style" w:cs="Times New Roman"/>
          <w:sz w:val="24"/>
          <w:szCs w:val="24"/>
        </w:rPr>
      </w:pPr>
    </w:p>
    <w:p w:rsidR="00C77770" w:rsidRPr="00B267FA" w:rsidRDefault="00B267FA"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Quality </w:t>
      </w:r>
      <w:r w:rsidRPr="00B267FA">
        <w:rPr>
          <w:rFonts w:ascii="Bookman Old Style" w:hAnsi="Bookman Old Style" w:cs="Times New Roman"/>
          <w:sz w:val="24"/>
          <w:szCs w:val="24"/>
        </w:rPr>
        <w:t xml:space="preserve">Improvement </w:t>
      </w:r>
      <w:r>
        <w:rPr>
          <w:rFonts w:ascii="Bookman Old Style" w:hAnsi="Bookman Old Style" w:cs="Times New Roman"/>
          <w:sz w:val="24"/>
          <w:szCs w:val="24"/>
        </w:rPr>
        <w:t xml:space="preserve">through PDSA model </w:t>
      </w:r>
    </w:p>
    <w:p w:rsidR="00C37C3A" w:rsidRPr="00B267FA" w:rsidRDefault="00965882" w:rsidP="0015306E">
      <w:pPr>
        <w:spacing w:after="0" w:line="360" w:lineRule="auto"/>
        <w:jc w:val="center"/>
        <w:rPr>
          <w:rFonts w:ascii="Bookman Old Style" w:hAnsi="Bookman Old Style" w:cs="Times New Roman"/>
          <w:sz w:val="24"/>
          <w:szCs w:val="24"/>
        </w:rPr>
      </w:pPr>
      <w:r w:rsidRPr="00B267FA">
        <w:rPr>
          <w:rFonts w:ascii="Bookman Old Style" w:hAnsi="Bookman Old Style" w:cs="Times New Roman"/>
          <w:sz w:val="24"/>
          <w:szCs w:val="24"/>
        </w:rPr>
        <w:t>Name</w:t>
      </w:r>
    </w:p>
    <w:p w:rsidR="00965882" w:rsidRPr="00B267FA" w:rsidRDefault="00965882" w:rsidP="0015306E">
      <w:pPr>
        <w:spacing w:after="0" w:line="360" w:lineRule="auto"/>
        <w:jc w:val="center"/>
        <w:rPr>
          <w:rFonts w:ascii="Bookman Old Style" w:hAnsi="Bookman Old Style" w:cs="Times New Roman"/>
          <w:sz w:val="24"/>
          <w:szCs w:val="24"/>
        </w:rPr>
      </w:pPr>
      <w:r w:rsidRPr="00B267FA">
        <w:rPr>
          <w:rFonts w:ascii="Bookman Old Style" w:hAnsi="Bookman Old Style" w:cs="Times New Roman"/>
          <w:sz w:val="24"/>
          <w:szCs w:val="24"/>
        </w:rPr>
        <w:t xml:space="preserve">Institution </w:t>
      </w:r>
    </w:p>
    <w:p w:rsidR="00D92D39" w:rsidRPr="00B267FA" w:rsidRDefault="00D92D39"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A7036E" w:rsidRPr="00B267FA" w:rsidRDefault="00A7036E" w:rsidP="0015306E">
      <w:pPr>
        <w:spacing w:after="0" w:line="360" w:lineRule="auto"/>
        <w:rPr>
          <w:rFonts w:ascii="Bookman Old Style" w:hAnsi="Bookman Old Style" w:cs="Times New Roman"/>
          <w:sz w:val="24"/>
          <w:szCs w:val="24"/>
        </w:rPr>
      </w:pPr>
    </w:p>
    <w:p w:rsidR="008B634D" w:rsidRPr="00B267FA" w:rsidRDefault="008B634D"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Pr="00B267FA"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B267FA" w:rsidRDefault="00B267FA" w:rsidP="00B267FA">
      <w:pPr>
        <w:spacing w:after="0" w:line="360" w:lineRule="auto"/>
        <w:jc w:val="center"/>
        <w:rPr>
          <w:rFonts w:ascii="Bookman Old Style" w:hAnsi="Bookman Old Style" w:cs="Times New Roman"/>
          <w:b/>
          <w:sz w:val="24"/>
          <w:szCs w:val="24"/>
        </w:rPr>
      </w:pPr>
      <w:r w:rsidRPr="00B267FA">
        <w:rPr>
          <w:rFonts w:ascii="Bookman Old Style" w:hAnsi="Bookman Old Style" w:cs="Times New Roman"/>
          <w:b/>
          <w:sz w:val="24"/>
          <w:szCs w:val="24"/>
        </w:rPr>
        <w:lastRenderedPageBreak/>
        <w:t>Plan-Do-Study-Change Model</w:t>
      </w:r>
    </w:p>
    <w:p w:rsidR="00B267FA" w:rsidRDefault="00B267FA" w:rsidP="00B267FA">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This model is simple yet powerful tool</w:t>
      </w:r>
      <w:r w:rsidR="00766821">
        <w:rPr>
          <w:rFonts w:ascii="Bookman Old Style" w:hAnsi="Bookman Old Style" w:cs="Times New Roman"/>
          <w:sz w:val="24"/>
          <w:szCs w:val="24"/>
        </w:rPr>
        <w:t xml:space="preserve"> to</w:t>
      </w:r>
      <w:r>
        <w:rPr>
          <w:rFonts w:ascii="Bookman Old Style" w:hAnsi="Bookman Old Style" w:cs="Times New Roman"/>
          <w:sz w:val="24"/>
          <w:szCs w:val="24"/>
        </w:rPr>
        <w:t xml:space="preserve"> study the effectiveness of change induced in healthcare organization aimed at </w:t>
      </w:r>
      <w:r w:rsidR="00766821">
        <w:rPr>
          <w:rFonts w:ascii="Bookman Old Style" w:hAnsi="Bookman Old Style" w:cs="Times New Roman"/>
          <w:sz w:val="24"/>
          <w:szCs w:val="24"/>
        </w:rPr>
        <w:t>improving quality</w:t>
      </w:r>
      <w:r>
        <w:rPr>
          <w:rFonts w:ascii="Bookman Old Style" w:hAnsi="Bookman Old Style" w:cs="Times New Roman"/>
          <w:sz w:val="24"/>
          <w:szCs w:val="24"/>
        </w:rPr>
        <w:t>. The first step is observation whether change will lead to the improvement or not. Planning include</w:t>
      </w:r>
      <w:r w:rsidR="00766821">
        <w:rPr>
          <w:rFonts w:ascii="Bookman Old Style" w:hAnsi="Bookman Old Style" w:cs="Times New Roman"/>
          <w:sz w:val="24"/>
          <w:szCs w:val="24"/>
        </w:rPr>
        <w:t>s</w:t>
      </w:r>
      <w:r>
        <w:rPr>
          <w:rFonts w:ascii="Bookman Old Style" w:hAnsi="Bookman Old Style" w:cs="Times New Roman"/>
          <w:sz w:val="24"/>
          <w:szCs w:val="24"/>
        </w:rPr>
        <w:t xml:space="preserve"> what, where, when, how and who of the data collection, do means carrying the testing practices, the next step—study—analyzes the effectiveness of collected data and last step is implementation</w:t>
      </w:r>
      <w:r w:rsidR="002B55BC">
        <w:rPr>
          <w:rFonts w:ascii="Bookman Old Style" w:hAnsi="Bookman Old Style" w:cs="Times New Roman"/>
          <w:sz w:val="24"/>
          <w:szCs w:val="24"/>
        </w:rPr>
        <w:t xml:space="preserve"> (ARHQ, 2016)</w:t>
      </w:r>
      <w:r>
        <w:rPr>
          <w:rFonts w:ascii="Bookman Old Style" w:hAnsi="Bookman Old Style" w:cs="Times New Roman"/>
          <w:sz w:val="24"/>
          <w:szCs w:val="24"/>
        </w:rPr>
        <w:t xml:space="preserve">. </w:t>
      </w:r>
    </w:p>
    <w:p w:rsidR="00B267FA" w:rsidRPr="00B267FA" w:rsidRDefault="00B267FA" w:rsidP="00B267FA">
      <w:pPr>
        <w:spacing w:after="0" w:line="360" w:lineRule="auto"/>
        <w:rPr>
          <w:rFonts w:ascii="Bookman Old Style" w:hAnsi="Bookman Old Style" w:cs="Times New Roman"/>
          <w:sz w:val="24"/>
          <w:szCs w:val="24"/>
        </w:rPr>
      </w:pPr>
      <w:r>
        <w:rPr>
          <w:rFonts w:ascii="Bookman Old Style" w:hAnsi="Bookman Old Style" w:cs="Times New Roman"/>
          <w:sz w:val="24"/>
          <w:szCs w:val="24"/>
        </w:rPr>
        <w:tab/>
        <w:t xml:space="preserve">The topic that I chose to study is </w:t>
      </w:r>
      <w:r w:rsidR="00151D4F">
        <w:rPr>
          <w:rFonts w:ascii="Bookman Old Style" w:hAnsi="Bookman Old Style" w:cs="Times New Roman"/>
          <w:sz w:val="24"/>
          <w:szCs w:val="24"/>
        </w:rPr>
        <w:t>the combination of Hypnosis and Cognitive Behavioral Therapy (CBT) for reducing severe depression symptoms.</w:t>
      </w:r>
    </w:p>
    <w:p w:rsidR="00151D4F" w:rsidRDefault="00B267FA" w:rsidP="0015306E">
      <w:pPr>
        <w:spacing w:after="0" w:line="360" w:lineRule="auto"/>
        <w:rPr>
          <w:rFonts w:ascii="Bookman Old Style" w:hAnsi="Bookman Old Style" w:cs="Times New Roman"/>
          <w:sz w:val="24"/>
          <w:szCs w:val="24"/>
        </w:rPr>
      </w:pPr>
      <w:r w:rsidRPr="00B267FA">
        <w:rPr>
          <w:rFonts w:ascii="Bookman Old Style" w:hAnsi="Bookman Old Style" w:cs="Times New Roman"/>
          <w:b/>
          <w:sz w:val="24"/>
          <w:szCs w:val="24"/>
        </w:rPr>
        <w:t>Plan</w:t>
      </w:r>
      <w:r w:rsidR="00151D4F">
        <w:rPr>
          <w:rFonts w:ascii="Bookman Old Style" w:hAnsi="Bookman Old Style" w:cs="Times New Roman"/>
          <w:b/>
          <w:sz w:val="24"/>
          <w:szCs w:val="24"/>
        </w:rPr>
        <w:t xml:space="preserve">: </w:t>
      </w:r>
      <w:r w:rsidR="00151D4F">
        <w:rPr>
          <w:rFonts w:ascii="Bookman Old Style" w:hAnsi="Bookman Old Style" w:cs="Times New Roman"/>
          <w:sz w:val="24"/>
          <w:szCs w:val="24"/>
        </w:rPr>
        <w:t>Patient suffering from severe depression whose score falls between 23 and 63 on Beck Depression Inventory (BDI) will be undergone both hypnosis and CBT techniques twice a week in the separate counseling cell. In order to study the effectiveness of this therapy, BDI will be administered after one month period to see whether their scores are still consistent or declined.</w:t>
      </w:r>
    </w:p>
    <w:p w:rsidR="00B267FA" w:rsidRPr="00B267FA" w:rsidRDefault="00B267FA" w:rsidP="006B55A5">
      <w:pPr>
        <w:spacing w:after="0" w:line="360" w:lineRule="auto"/>
        <w:rPr>
          <w:rFonts w:ascii="Bookman Old Style" w:hAnsi="Bookman Old Style" w:cs="Times New Roman"/>
          <w:b/>
          <w:sz w:val="24"/>
          <w:szCs w:val="24"/>
        </w:rPr>
      </w:pPr>
      <w:r w:rsidRPr="00B267FA">
        <w:rPr>
          <w:rFonts w:ascii="Bookman Old Style" w:hAnsi="Bookman Old Style" w:cs="Times New Roman"/>
          <w:b/>
          <w:sz w:val="24"/>
          <w:szCs w:val="24"/>
        </w:rPr>
        <w:t>Do</w:t>
      </w:r>
      <w:r w:rsidR="006B55A5">
        <w:rPr>
          <w:rFonts w:ascii="Bookman Old Style" w:hAnsi="Bookman Old Style" w:cs="Times New Roman"/>
          <w:b/>
          <w:sz w:val="24"/>
          <w:szCs w:val="24"/>
        </w:rPr>
        <w:t xml:space="preserve">: </w:t>
      </w:r>
      <w:r w:rsidR="006B55A5">
        <w:rPr>
          <w:rFonts w:ascii="Bookman Old Style" w:hAnsi="Bookman Old Style" w:cs="Times New Roman"/>
          <w:sz w:val="24"/>
          <w:szCs w:val="24"/>
        </w:rPr>
        <w:t xml:space="preserve">psychotherapists will take patients to the separate counseling cell; free from any distractions; procedure will be explained with its effectiveness. Session will continue for 30 minutes and will be executed twice a week. Hypnosis may give slight headache afterwards. </w:t>
      </w:r>
      <w:r w:rsidRPr="00B267FA">
        <w:rPr>
          <w:rFonts w:ascii="Bookman Old Style" w:hAnsi="Bookman Old Style" w:cs="Times New Roman"/>
          <w:b/>
          <w:sz w:val="24"/>
          <w:szCs w:val="24"/>
        </w:rPr>
        <w:t xml:space="preserve"> </w:t>
      </w:r>
    </w:p>
    <w:p w:rsidR="00B267FA" w:rsidRDefault="00B267FA" w:rsidP="006B55A5">
      <w:pPr>
        <w:spacing w:after="0" w:line="360" w:lineRule="auto"/>
        <w:rPr>
          <w:rFonts w:ascii="Bookman Old Style" w:hAnsi="Bookman Old Style" w:cs="Times New Roman"/>
          <w:sz w:val="24"/>
          <w:szCs w:val="24"/>
        </w:rPr>
      </w:pPr>
      <w:r w:rsidRPr="00B267FA">
        <w:rPr>
          <w:rFonts w:ascii="Bookman Old Style" w:hAnsi="Bookman Old Style" w:cs="Times New Roman"/>
          <w:b/>
          <w:sz w:val="24"/>
          <w:szCs w:val="24"/>
        </w:rPr>
        <w:t>Study</w:t>
      </w:r>
      <w:r w:rsidR="006B55A5">
        <w:rPr>
          <w:rFonts w:ascii="Bookman Old Style" w:hAnsi="Bookman Old Style" w:cs="Times New Roman"/>
          <w:b/>
          <w:sz w:val="24"/>
          <w:szCs w:val="24"/>
        </w:rPr>
        <w:t xml:space="preserve">: </w:t>
      </w:r>
      <w:r w:rsidR="006B55A5">
        <w:rPr>
          <w:rFonts w:ascii="Bookman Old Style" w:hAnsi="Bookman Old Style" w:cs="Times New Roman"/>
          <w:sz w:val="24"/>
          <w:szCs w:val="24"/>
        </w:rPr>
        <w:t xml:space="preserve">data analysis will be done using comparative analysis of the patients’ mean scores of Depression; their scores on BDI will be compared before and after manipulating techniques. </w:t>
      </w:r>
    </w:p>
    <w:p w:rsidR="00766821" w:rsidRDefault="006B55A5" w:rsidP="00766821">
      <w:pPr>
        <w:spacing w:after="0" w:line="360" w:lineRule="auto"/>
        <w:rPr>
          <w:rFonts w:ascii="Bookman Old Style" w:hAnsi="Bookman Old Style" w:cs="Times New Roman"/>
          <w:b/>
          <w:sz w:val="24"/>
          <w:szCs w:val="24"/>
        </w:rPr>
      </w:pPr>
      <w:r w:rsidRPr="006B55A5">
        <w:rPr>
          <w:rFonts w:ascii="Bookman Old Style" w:hAnsi="Bookman Old Style" w:cs="Times New Roman"/>
          <w:b/>
          <w:sz w:val="24"/>
          <w:szCs w:val="24"/>
        </w:rPr>
        <w:t>Table 1</w:t>
      </w:r>
    </w:p>
    <w:p w:rsidR="006B55A5" w:rsidRPr="00766821" w:rsidRDefault="006B55A5" w:rsidP="00766821">
      <w:pPr>
        <w:spacing w:after="0" w:line="360" w:lineRule="auto"/>
        <w:rPr>
          <w:rFonts w:ascii="Bookman Old Style" w:hAnsi="Bookman Old Style" w:cs="Times New Roman"/>
          <w:b/>
          <w:sz w:val="24"/>
          <w:szCs w:val="24"/>
        </w:rPr>
      </w:pPr>
      <w:r w:rsidRPr="006B55A5">
        <w:rPr>
          <w:rFonts w:ascii="Bookman Old Style" w:hAnsi="Bookman Old Style" w:cs="Times New Roman"/>
          <w:i/>
          <w:sz w:val="24"/>
          <w:szCs w:val="24"/>
        </w:rPr>
        <w:t xml:space="preserve">BDI scores indicating severity levels of Depression </w:t>
      </w:r>
      <w:r w:rsidR="002B55BC">
        <w:rPr>
          <w:rFonts w:ascii="Bookman Old Style" w:hAnsi="Bookman Old Style" w:cs="Times New Roman"/>
          <w:i/>
          <w:sz w:val="24"/>
          <w:szCs w:val="24"/>
        </w:rPr>
        <w:t>(BCBT, 2016)</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48"/>
        <w:gridCol w:w="2070"/>
        <w:gridCol w:w="1170"/>
      </w:tblGrid>
      <w:tr w:rsidR="006B55A5" w:rsidTr="003D1655">
        <w:tc>
          <w:tcPr>
            <w:tcW w:w="648" w:type="dxa"/>
            <w:tcBorders>
              <w:top w:val="single" w:sz="4" w:space="0" w:color="auto"/>
              <w:bottom w:val="single" w:sz="4" w:space="0" w:color="auto"/>
            </w:tcBorders>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Sr.</w:t>
            </w:r>
          </w:p>
        </w:tc>
        <w:tc>
          <w:tcPr>
            <w:tcW w:w="2070" w:type="dxa"/>
            <w:tcBorders>
              <w:top w:val="single" w:sz="4" w:space="0" w:color="auto"/>
              <w:bottom w:val="single" w:sz="4" w:space="0" w:color="auto"/>
            </w:tcBorders>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 xml:space="preserve">Severity Level </w:t>
            </w:r>
          </w:p>
        </w:tc>
        <w:tc>
          <w:tcPr>
            <w:tcW w:w="1170" w:type="dxa"/>
            <w:tcBorders>
              <w:top w:val="single" w:sz="4" w:space="0" w:color="auto"/>
              <w:bottom w:val="single" w:sz="4" w:space="0" w:color="auto"/>
            </w:tcBorders>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 xml:space="preserve">Scores </w:t>
            </w:r>
          </w:p>
        </w:tc>
      </w:tr>
      <w:tr w:rsidR="006B55A5" w:rsidTr="003D1655">
        <w:tc>
          <w:tcPr>
            <w:tcW w:w="648" w:type="dxa"/>
            <w:tcBorders>
              <w:top w:val="single" w:sz="4" w:space="0" w:color="auto"/>
            </w:tcBorders>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1</w:t>
            </w:r>
          </w:p>
        </w:tc>
        <w:tc>
          <w:tcPr>
            <w:tcW w:w="2070" w:type="dxa"/>
            <w:tcBorders>
              <w:top w:val="single" w:sz="4" w:space="0" w:color="auto"/>
            </w:tcBorders>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Minimal</w:t>
            </w:r>
          </w:p>
        </w:tc>
        <w:tc>
          <w:tcPr>
            <w:tcW w:w="1170" w:type="dxa"/>
            <w:tcBorders>
              <w:top w:val="single" w:sz="4" w:space="0" w:color="auto"/>
            </w:tcBorders>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0-13</w:t>
            </w:r>
          </w:p>
        </w:tc>
      </w:tr>
      <w:tr w:rsidR="006B55A5" w:rsidTr="003D1655">
        <w:tc>
          <w:tcPr>
            <w:tcW w:w="648"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2</w:t>
            </w:r>
          </w:p>
        </w:tc>
        <w:tc>
          <w:tcPr>
            <w:tcW w:w="2070"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 xml:space="preserve">Mild </w:t>
            </w:r>
          </w:p>
        </w:tc>
        <w:tc>
          <w:tcPr>
            <w:tcW w:w="1170"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14-19</w:t>
            </w:r>
          </w:p>
        </w:tc>
      </w:tr>
      <w:tr w:rsidR="006B55A5" w:rsidTr="003D1655">
        <w:tc>
          <w:tcPr>
            <w:tcW w:w="648"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3</w:t>
            </w:r>
          </w:p>
        </w:tc>
        <w:tc>
          <w:tcPr>
            <w:tcW w:w="2070"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 xml:space="preserve">Moderate </w:t>
            </w:r>
          </w:p>
        </w:tc>
        <w:tc>
          <w:tcPr>
            <w:tcW w:w="1170"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20-28</w:t>
            </w:r>
          </w:p>
        </w:tc>
      </w:tr>
      <w:tr w:rsidR="006B55A5" w:rsidTr="003D1655">
        <w:tc>
          <w:tcPr>
            <w:tcW w:w="648"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4</w:t>
            </w:r>
          </w:p>
        </w:tc>
        <w:tc>
          <w:tcPr>
            <w:tcW w:w="2070" w:type="dxa"/>
          </w:tcPr>
          <w:p w:rsidR="006B55A5" w:rsidRPr="006B55A5" w:rsidRDefault="006B55A5" w:rsidP="003D1655">
            <w:pPr>
              <w:rPr>
                <w:rFonts w:ascii="Bookman Old Style" w:hAnsi="Bookman Old Style"/>
                <w:sz w:val="24"/>
                <w:szCs w:val="24"/>
              </w:rPr>
            </w:pPr>
            <w:r w:rsidRPr="006B55A5">
              <w:rPr>
                <w:rFonts w:ascii="Bookman Old Style" w:hAnsi="Bookman Old Style"/>
                <w:sz w:val="24"/>
                <w:szCs w:val="24"/>
              </w:rPr>
              <w:t xml:space="preserve">Severe </w:t>
            </w:r>
          </w:p>
        </w:tc>
        <w:tc>
          <w:tcPr>
            <w:tcW w:w="1170" w:type="dxa"/>
          </w:tcPr>
          <w:p w:rsidR="006B55A5" w:rsidRDefault="006B55A5" w:rsidP="003D1655">
            <w:pPr>
              <w:rPr>
                <w:rFonts w:ascii="Bookman Old Style" w:hAnsi="Bookman Old Style" w:cs="Times New Roman"/>
                <w:sz w:val="24"/>
                <w:szCs w:val="24"/>
              </w:rPr>
            </w:pPr>
            <w:r>
              <w:rPr>
                <w:rFonts w:ascii="Bookman Old Style" w:hAnsi="Bookman Old Style" w:cs="Times New Roman"/>
                <w:sz w:val="24"/>
                <w:szCs w:val="24"/>
              </w:rPr>
              <w:t>29-63</w:t>
            </w:r>
          </w:p>
        </w:tc>
      </w:tr>
    </w:tbl>
    <w:p w:rsidR="00B267FA" w:rsidRDefault="00B267FA" w:rsidP="00B267FA">
      <w:pPr>
        <w:spacing w:after="0" w:line="360" w:lineRule="auto"/>
        <w:rPr>
          <w:rFonts w:ascii="Bookman Old Style" w:hAnsi="Bookman Old Style" w:cs="Times New Roman"/>
          <w:sz w:val="24"/>
          <w:szCs w:val="24"/>
        </w:rPr>
      </w:pPr>
      <w:r w:rsidRPr="00B267FA">
        <w:rPr>
          <w:rFonts w:ascii="Bookman Old Style" w:hAnsi="Bookman Old Style" w:cs="Times New Roman"/>
          <w:b/>
          <w:sz w:val="24"/>
          <w:szCs w:val="24"/>
        </w:rPr>
        <w:t>Act</w:t>
      </w:r>
      <w:r w:rsidR="006B55A5">
        <w:rPr>
          <w:rFonts w:ascii="Bookman Old Style" w:hAnsi="Bookman Old Style" w:cs="Times New Roman"/>
          <w:b/>
          <w:sz w:val="24"/>
          <w:szCs w:val="24"/>
        </w:rPr>
        <w:t xml:space="preserve">: </w:t>
      </w:r>
      <w:r w:rsidR="006B55A5">
        <w:rPr>
          <w:rFonts w:ascii="Bookman Old Style" w:hAnsi="Bookman Old Style" w:cs="Times New Roman"/>
          <w:sz w:val="24"/>
          <w:szCs w:val="24"/>
        </w:rPr>
        <w:t xml:space="preserve">for most of the patient, this technique would be effective and hence, the above mentioned practice will be continued with the help of combined hypnosis and CBT techniques. Patients will feel better because hypnosis will </w:t>
      </w:r>
      <w:r w:rsidR="00766821">
        <w:rPr>
          <w:rFonts w:ascii="Bookman Old Style" w:hAnsi="Bookman Old Style" w:cs="Times New Roman"/>
          <w:sz w:val="24"/>
          <w:szCs w:val="24"/>
        </w:rPr>
        <w:t xml:space="preserve">provide an </w:t>
      </w:r>
      <w:r w:rsidR="00766821">
        <w:rPr>
          <w:rFonts w:ascii="Bookman Old Style" w:hAnsi="Bookman Old Style" w:cs="Times New Roman"/>
          <w:sz w:val="24"/>
          <w:szCs w:val="24"/>
        </w:rPr>
        <w:lastRenderedPageBreak/>
        <w:t xml:space="preserve">access to their unconscious during which human mind becomes </w:t>
      </w:r>
      <w:r w:rsidR="002B55BC">
        <w:rPr>
          <w:rFonts w:ascii="Bookman Old Style" w:hAnsi="Bookman Old Style" w:cs="Times New Roman"/>
          <w:sz w:val="24"/>
          <w:szCs w:val="24"/>
        </w:rPr>
        <w:t>open for suggestions</w:t>
      </w:r>
      <w:r w:rsidR="00766821">
        <w:rPr>
          <w:rFonts w:ascii="Bookman Old Style" w:hAnsi="Bookman Old Style" w:cs="Times New Roman"/>
          <w:sz w:val="24"/>
          <w:szCs w:val="24"/>
        </w:rPr>
        <w:t xml:space="preserve"> where CBT will be carried out. </w:t>
      </w: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Default="002B55BC" w:rsidP="00B267FA">
      <w:pPr>
        <w:spacing w:after="0" w:line="360" w:lineRule="auto"/>
        <w:rPr>
          <w:rFonts w:ascii="Bookman Old Style" w:hAnsi="Bookman Old Style" w:cs="Times New Roman"/>
          <w:sz w:val="24"/>
          <w:szCs w:val="24"/>
        </w:rPr>
      </w:pPr>
    </w:p>
    <w:p w:rsidR="002B55BC" w:rsidRPr="002B55BC" w:rsidRDefault="002B55BC" w:rsidP="002B55BC">
      <w:pPr>
        <w:spacing w:after="0" w:line="360" w:lineRule="auto"/>
        <w:jc w:val="center"/>
        <w:rPr>
          <w:rFonts w:ascii="Bookman Old Style" w:hAnsi="Bookman Old Style" w:cs="Times New Roman"/>
          <w:b/>
          <w:sz w:val="24"/>
          <w:szCs w:val="24"/>
        </w:rPr>
      </w:pPr>
      <w:r w:rsidRPr="002B55BC">
        <w:rPr>
          <w:rFonts w:ascii="Bookman Old Style" w:hAnsi="Bookman Old Style" w:cs="Times New Roman"/>
          <w:b/>
          <w:sz w:val="24"/>
          <w:szCs w:val="24"/>
        </w:rPr>
        <w:lastRenderedPageBreak/>
        <w:t>References</w:t>
      </w:r>
    </w:p>
    <w:p w:rsidR="002B55BC" w:rsidRDefault="002B55BC" w:rsidP="002B55BC">
      <w:pPr>
        <w:spacing w:after="0" w:line="360" w:lineRule="auto"/>
        <w:ind w:left="720" w:hanging="720"/>
        <w:rPr>
          <w:rFonts w:ascii="Bookman Old Style" w:hAnsi="Bookman Old Style" w:cs="Times New Roman"/>
          <w:sz w:val="24"/>
          <w:szCs w:val="24"/>
        </w:rPr>
      </w:pPr>
      <w:r w:rsidRPr="002B55BC">
        <w:rPr>
          <w:rFonts w:ascii="Bookman Old Style" w:hAnsi="Bookman Old Style" w:cs="Times New Roman"/>
          <w:sz w:val="24"/>
          <w:szCs w:val="24"/>
        </w:rPr>
        <w:t>Unbeatable assessment tools to help patients heal</w:t>
      </w:r>
      <w:r>
        <w:rPr>
          <w:rFonts w:ascii="Bookman Old Style" w:hAnsi="Bookman Old Style" w:cs="Times New Roman"/>
          <w:sz w:val="24"/>
          <w:szCs w:val="24"/>
        </w:rPr>
        <w:t xml:space="preserve"> (2016). </w:t>
      </w:r>
      <w:r w:rsidRPr="002B55BC">
        <w:rPr>
          <w:rFonts w:ascii="Bookman Old Style" w:hAnsi="Bookman Old Style" w:cs="Times New Roman"/>
          <w:i/>
          <w:sz w:val="24"/>
          <w:szCs w:val="24"/>
        </w:rPr>
        <w:t>Beck Cognitive Behavioral Therapy.</w:t>
      </w:r>
      <w:r>
        <w:rPr>
          <w:rFonts w:ascii="Bookman Old Style" w:hAnsi="Bookman Old Style" w:cs="Times New Roman"/>
          <w:sz w:val="24"/>
          <w:szCs w:val="24"/>
        </w:rPr>
        <w:t xml:space="preserve"> Retrieved from </w:t>
      </w:r>
      <w:hyperlink r:id="rId7" w:history="1">
        <w:r w:rsidRPr="002B55BC">
          <w:rPr>
            <w:rStyle w:val="Hyperlink"/>
            <w:rFonts w:ascii="Bookman Old Style" w:hAnsi="Bookman Old Style" w:cs="Times New Roman"/>
            <w:color w:val="auto"/>
            <w:sz w:val="24"/>
            <w:szCs w:val="24"/>
            <w:u w:val="none"/>
          </w:rPr>
          <w:t>https://beckinstitute.org/get-informed/tools-and-resources/professionals/patient-assessment-tools/</w:t>
        </w:r>
      </w:hyperlink>
    </w:p>
    <w:p w:rsidR="002B55BC" w:rsidRPr="002B55BC" w:rsidRDefault="002B55BC" w:rsidP="002B55BC">
      <w:pPr>
        <w:spacing w:after="0" w:line="360" w:lineRule="auto"/>
        <w:ind w:left="720" w:hanging="720"/>
        <w:rPr>
          <w:rFonts w:ascii="Bookman Old Style" w:hAnsi="Bookman Old Style" w:cs="Times New Roman"/>
          <w:sz w:val="24"/>
          <w:szCs w:val="24"/>
        </w:rPr>
      </w:pPr>
      <w:r w:rsidRPr="002B55BC">
        <w:rPr>
          <w:rFonts w:ascii="Bookman Old Style" w:hAnsi="Bookman Old Style" w:cs="Times New Roman"/>
          <w:sz w:val="24"/>
          <w:szCs w:val="24"/>
        </w:rPr>
        <w:t>Plan-Do-Study-Act (PDSA) Cycle</w:t>
      </w:r>
      <w:r>
        <w:rPr>
          <w:rFonts w:ascii="Bookman Old Style" w:hAnsi="Bookman Old Style" w:cs="Times New Roman"/>
          <w:sz w:val="24"/>
          <w:szCs w:val="24"/>
        </w:rPr>
        <w:t xml:space="preserve"> (2016). </w:t>
      </w:r>
      <w:r w:rsidRPr="002B55BC">
        <w:rPr>
          <w:rFonts w:ascii="Bookman Old Style" w:hAnsi="Bookman Old Style" w:cs="Times New Roman"/>
          <w:i/>
          <w:sz w:val="24"/>
          <w:szCs w:val="24"/>
        </w:rPr>
        <w:t>ARHQ Healthcare</w:t>
      </w:r>
      <w:r>
        <w:rPr>
          <w:rFonts w:ascii="Bookman Old Style" w:hAnsi="Bookman Old Style" w:cs="Times New Roman"/>
          <w:sz w:val="24"/>
          <w:szCs w:val="24"/>
        </w:rPr>
        <w:t xml:space="preserve">. Retrieved from </w:t>
      </w:r>
      <w:hyperlink r:id="rId8" w:history="1">
        <w:r w:rsidRPr="002B55BC">
          <w:rPr>
            <w:rStyle w:val="Hyperlink"/>
            <w:rFonts w:ascii="Bookman Old Style" w:hAnsi="Bookman Old Style" w:cs="Times New Roman"/>
            <w:color w:val="auto"/>
            <w:sz w:val="24"/>
            <w:szCs w:val="24"/>
            <w:u w:val="none"/>
          </w:rPr>
          <w:t>https://innovations.ahrq.gov/qualitytools/plan-do-study-act-pdsa-cycle</w:t>
        </w:r>
      </w:hyperlink>
    </w:p>
    <w:sectPr w:rsidR="002B55BC" w:rsidRPr="002B55BC"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58" w:rsidRDefault="00F76A58" w:rsidP="00C37C3A">
      <w:pPr>
        <w:spacing w:after="0" w:line="240" w:lineRule="auto"/>
      </w:pPr>
      <w:r>
        <w:separator/>
      </w:r>
    </w:p>
  </w:endnote>
  <w:endnote w:type="continuationSeparator" w:id="1">
    <w:p w:rsidR="00F76A58" w:rsidRDefault="00F76A5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58" w:rsidRDefault="00F76A58" w:rsidP="00C37C3A">
      <w:pPr>
        <w:spacing w:after="0" w:line="240" w:lineRule="auto"/>
      </w:pPr>
      <w:r>
        <w:separator/>
      </w:r>
    </w:p>
  </w:footnote>
  <w:footnote w:type="continuationSeparator" w:id="1">
    <w:p w:rsidR="00F76A58" w:rsidRDefault="00F76A5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B6" w:rsidRDefault="00283EB6">
    <w:pPr>
      <w:pStyle w:val="Header"/>
    </w:pPr>
    <w:r>
      <w:rPr>
        <w:rFonts w:ascii="Times New Roman" w:hAnsi="Times New Roman" w:cs="Times New Roman"/>
        <w:sz w:val="24"/>
        <w:szCs w:val="24"/>
      </w:rPr>
      <w:t xml:space="preserve">TITLE  </w:t>
    </w:r>
    <w:r>
      <w:tab/>
    </w:r>
    <w:r>
      <w:tab/>
    </w:r>
    <w:fldSimple w:instr=" PAGE   \* MERGEFORMAT ">
      <w:r w:rsidR="002B55BC">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B6" w:rsidRPr="007375F2" w:rsidRDefault="00283EB6"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2B55B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1D4F"/>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83EB6"/>
    <w:rsid w:val="002A2A52"/>
    <w:rsid w:val="002B55BC"/>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B55A5"/>
    <w:rsid w:val="006C3053"/>
    <w:rsid w:val="006C353E"/>
    <w:rsid w:val="006C4B2C"/>
    <w:rsid w:val="006D5C11"/>
    <w:rsid w:val="006D65E7"/>
    <w:rsid w:val="00715736"/>
    <w:rsid w:val="00722F33"/>
    <w:rsid w:val="00726AA1"/>
    <w:rsid w:val="0073149F"/>
    <w:rsid w:val="007375F2"/>
    <w:rsid w:val="00762668"/>
    <w:rsid w:val="00762DD4"/>
    <w:rsid w:val="00766821"/>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267FA"/>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600E"/>
    <w:rsid w:val="00F76A58"/>
    <w:rsid w:val="00F92355"/>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283EB6"/>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283EB6"/>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FF8119"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21798E"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343434" w:themeColor="text2" w:themeShade="BF"/>
      <w:spacing w:val="5"/>
      <w:kern w:val="28"/>
      <w:sz w:val="52"/>
      <w:szCs w:val="52"/>
    </w:rPr>
  </w:style>
  <w:style w:type="character" w:customStyle="1" w:styleId="m4ozpc">
    <w:name w:val="m4ozpc"/>
    <w:basedOn w:val="DefaultParagraphFont"/>
    <w:rsid w:val="005B3ECA"/>
  </w:style>
  <w:style w:type="paragraph" w:styleId="NoSpacing">
    <w:name w:val="No Spacing"/>
    <w:uiPriority w:val="1"/>
    <w:qFormat/>
    <w:rsid w:val="00283EB6"/>
    <w:pPr>
      <w:spacing w:after="0" w:line="240" w:lineRule="auto"/>
    </w:pPr>
  </w:style>
  <w:style w:type="character" w:customStyle="1" w:styleId="Heading2Char">
    <w:name w:val="Heading 2 Char"/>
    <w:basedOn w:val="DefaultParagraphFont"/>
    <w:link w:val="Heading2"/>
    <w:uiPriority w:val="9"/>
    <w:rsid w:val="00283EB6"/>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
    <w:rsid w:val="00283EB6"/>
    <w:rPr>
      <w:rFonts w:asciiTheme="majorHAnsi" w:eastAsiaTheme="majorEastAsia" w:hAnsiTheme="majorHAnsi" w:cstheme="majorBidi"/>
      <w:b/>
      <w:bCs/>
      <w:color w:val="2DA2BF" w:themeColor="accent1"/>
    </w:rPr>
  </w:style>
  <w:style w:type="paragraph" w:styleId="Subtitle">
    <w:name w:val="Subtitle"/>
    <w:basedOn w:val="Normal"/>
    <w:next w:val="Normal"/>
    <w:link w:val="SubtitleChar"/>
    <w:uiPriority w:val="11"/>
    <w:qFormat/>
    <w:rsid w:val="00283EB6"/>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283EB6"/>
    <w:rPr>
      <w:rFonts w:asciiTheme="majorHAnsi" w:eastAsiaTheme="majorEastAsia" w:hAnsiTheme="majorHAnsi" w:cstheme="majorBidi"/>
      <w:i/>
      <w:iCs/>
      <w:color w:val="2DA2BF"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3907643">
      <w:bodyDiv w:val="1"/>
      <w:marLeft w:val="0"/>
      <w:marRight w:val="0"/>
      <w:marTop w:val="0"/>
      <w:marBottom w:val="0"/>
      <w:divBdr>
        <w:top w:val="none" w:sz="0" w:space="0" w:color="auto"/>
        <w:left w:val="none" w:sz="0" w:space="0" w:color="auto"/>
        <w:bottom w:val="none" w:sz="0" w:space="0" w:color="auto"/>
        <w:right w:val="none" w:sz="0" w:space="0" w:color="auto"/>
      </w:divBdr>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46286806">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870609482">
      <w:bodyDiv w:val="1"/>
      <w:marLeft w:val="0"/>
      <w:marRight w:val="0"/>
      <w:marTop w:val="0"/>
      <w:marBottom w:val="0"/>
      <w:divBdr>
        <w:top w:val="none" w:sz="0" w:space="0" w:color="auto"/>
        <w:left w:val="none" w:sz="0" w:space="0" w:color="auto"/>
        <w:bottom w:val="none" w:sz="0" w:space="0" w:color="auto"/>
        <w:right w:val="none" w:sz="0" w:space="0" w:color="auto"/>
      </w:divBdr>
    </w:div>
    <w:div w:id="907307833">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296913399">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s.ahrq.gov/qualitytools/plan-do-study-act-pdsa-cycle" TargetMode="External"/><Relationship Id="rId3" Type="http://schemas.openxmlformats.org/officeDocument/2006/relationships/settings" Target="settings.xml"/><Relationship Id="rId7" Type="http://schemas.openxmlformats.org/officeDocument/2006/relationships/hyperlink" Target="https://beckinstitute.org/get-informed/tools-and-resources/professionals/patient-assessment-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2019-05-14T10:46:00Z</dcterms:created>
  <dcterms:modified xsi:type="dcterms:W3CDTF">2019-05-14T11:22:00Z</dcterms:modified>
</cp:coreProperties>
</file>