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6F35" w14:textId="77777777" w:rsidR="00BB7BD3" w:rsidRPr="00045338" w:rsidRDefault="00BB7BD3" w:rsidP="00BB7BD3">
      <w:pPr>
        <w:pStyle w:val="NoSpacing"/>
        <w:rPr>
          <w:rFonts w:ascii="Times New Roman" w:hAnsi="Times New Roman" w:cs="Times New Roman"/>
        </w:rPr>
      </w:pPr>
      <w:r w:rsidRPr="00045338">
        <w:rPr>
          <w:rFonts w:ascii="Times New Roman" w:hAnsi="Times New Roman" w:cs="Times New Roman"/>
        </w:rPr>
        <w:t>Student Name</w:t>
      </w:r>
    </w:p>
    <w:p w14:paraId="55E8F077" w14:textId="77777777" w:rsidR="00BB7BD3" w:rsidRPr="00045338" w:rsidRDefault="00BB7BD3" w:rsidP="00BB7BD3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DE9D850018AB42F3A00F97A46FA08491"/>
          </w:placeholder>
          <w:temporary/>
          <w:showingPlcHdr/>
          <w15:appearance w15:val="hidden"/>
        </w:sdtPr>
        <w:sdtContent>
          <w:r w:rsidRPr="00045338">
            <w:rPr>
              <w:rFonts w:ascii="Times New Roman" w:hAnsi="Times New Roman" w:cs="Times New Roman"/>
            </w:rPr>
            <w:t>Instructor Name</w:t>
          </w:r>
        </w:sdtContent>
      </w:sdt>
    </w:p>
    <w:p w14:paraId="645DD624" w14:textId="77777777" w:rsidR="00BB7BD3" w:rsidRPr="00045338" w:rsidRDefault="00BB7BD3" w:rsidP="00BB7BD3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0CAEEAF40AB346B4ABBDC9176E9CB23A"/>
          </w:placeholder>
          <w:temporary/>
          <w:showingPlcHdr/>
          <w15:appearance w15:val="hidden"/>
        </w:sdtPr>
        <w:sdtContent>
          <w:r w:rsidRPr="00045338">
            <w:rPr>
              <w:rFonts w:ascii="Times New Roman" w:hAnsi="Times New Roman" w:cs="Times New Roman"/>
            </w:rPr>
            <w:t>Course Number</w:t>
          </w:r>
        </w:sdtContent>
      </w:sdt>
    </w:p>
    <w:p w14:paraId="7EED1A96" w14:textId="77777777" w:rsidR="00BB7BD3" w:rsidRPr="00045338" w:rsidRDefault="00BB7BD3" w:rsidP="00BB7B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Date:"/>
          <w:tag w:val="Date:"/>
          <w:id w:val="518209038"/>
          <w:placeholder>
            <w:docPart w:val="BC0FFCDECA29445C8DD18EEF25E81F8B"/>
          </w:placeholder>
          <w:temporary/>
          <w:showingPlcHdr/>
          <w15:appearance w15:val="hidden"/>
        </w:sdtPr>
        <w:sdtContent>
          <w:r w:rsidRPr="00045338">
            <w:rPr>
              <w:rFonts w:ascii="Times New Roman" w:hAnsi="Times New Roman" w:cs="Times New Roman"/>
              <w:sz w:val="24"/>
              <w:szCs w:val="24"/>
            </w:rPr>
            <w:t>Date</w:t>
          </w:r>
        </w:sdtContent>
      </w:sdt>
    </w:p>
    <w:p w14:paraId="5EA0AFCA" w14:textId="2B367D48" w:rsidR="00EF5C89" w:rsidRPr="00EF5C89" w:rsidRDefault="00EF5C89" w:rsidP="00EF5C8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C89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5EE05116" w14:textId="2A09CD57" w:rsidR="00621A54" w:rsidRDefault="00621A54" w:rsidP="00EF5C8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175E18" wp14:editId="7C81903D">
            <wp:extent cx="4480560" cy="3866976"/>
            <wp:effectExtent l="0" t="0" r="0" b="635"/>
            <wp:docPr id="5" name="Picture 5" descr="Image result for value proposition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alue proposition cir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86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C6D79" w14:textId="4E83FAFE" w:rsidR="00CD18FA" w:rsidRDefault="007055D0" w:rsidP="00EF5C8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5C89">
        <w:rPr>
          <w:rFonts w:ascii="Times New Roman" w:hAnsi="Times New Roman" w:cs="Times New Roman"/>
          <w:sz w:val="24"/>
          <w:szCs w:val="24"/>
        </w:rPr>
        <w:t xml:space="preserve">There are three circles when we consider the value proposition for any </w:t>
      </w:r>
      <w:r w:rsidR="00103B36" w:rsidRPr="00EF5C89">
        <w:rPr>
          <w:rFonts w:ascii="Times New Roman" w:hAnsi="Times New Roman" w:cs="Times New Roman"/>
          <w:sz w:val="24"/>
          <w:szCs w:val="24"/>
        </w:rPr>
        <w:t>product. These circles relate to the competition, company itself and the needs of its customers. The</w:t>
      </w:r>
      <w:r w:rsidR="007F3F89" w:rsidRPr="00EF5C89">
        <w:rPr>
          <w:rFonts w:ascii="Times New Roman" w:hAnsi="Times New Roman" w:cs="Times New Roman"/>
          <w:sz w:val="24"/>
          <w:szCs w:val="24"/>
        </w:rPr>
        <w:t xml:space="preserve">re are cases where competitor’s circle is shown as a separate circle from the other two and there are no </w:t>
      </w:r>
      <w:r w:rsidR="004E28EC" w:rsidRPr="00EF5C89">
        <w:rPr>
          <w:rFonts w:ascii="Times New Roman" w:hAnsi="Times New Roman" w:cs="Times New Roman"/>
          <w:sz w:val="24"/>
          <w:szCs w:val="24"/>
        </w:rPr>
        <w:t>common points between the company and its competitors</w:t>
      </w:r>
      <w:sdt>
        <w:sdtPr>
          <w:rPr>
            <w:rFonts w:ascii="Times New Roman" w:hAnsi="Times New Roman" w:cs="Times New Roman"/>
            <w:sz w:val="24"/>
            <w:szCs w:val="24"/>
          </w:rPr>
          <w:id w:val="-459333022"/>
          <w:citation/>
        </w:sdtPr>
        <w:sdtContent>
          <w:r w:rsidR="00BB7BD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B7BD3">
            <w:rPr>
              <w:rFonts w:ascii="Times New Roman" w:hAnsi="Times New Roman" w:cs="Times New Roman"/>
              <w:sz w:val="24"/>
              <w:szCs w:val="24"/>
            </w:rPr>
            <w:instrText xml:space="preserve"> CITATION MAC18 \l 1033 </w:instrText>
          </w:r>
          <w:r w:rsidR="00BB7BD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B7BD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BB7BD3" w:rsidRPr="00BB7BD3">
            <w:rPr>
              <w:rFonts w:ascii="Times New Roman" w:hAnsi="Times New Roman" w:cs="Times New Roman"/>
              <w:noProof/>
              <w:sz w:val="24"/>
              <w:szCs w:val="24"/>
            </w:rPr>
            <w:t>(Camilleri)</w:t>
          </w:r>
          <w:r w:rsidR="00BB7BD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E28EC" w:rsidRPr="00EF5C89">
        <w:rPr>
          <w:rFonts w:ascii="Times New Roman" w:hAnsi="Times New Roman" w:cs="Times New Roman"/>
          <w:sz w:val="24"/>
          <w:szCs w:val="24"/>
        </w:rPr>
        <w:t xml:space="preserve">. This is because </w:t>
      </w:r>
      <w:r w:rsidR="002E3C99" w:rsidRPr="00EF5C89">
        <w:rPr>
          <w:rFonts w:ascii="Times New Roman" w:hAnsi="Times New Roman" w:cs="Times New Roman"/>
          <w:sz w:val="24"/>
          <w:szCs w:val="24"/>
        </w:rPr>
        <w:t xml:space="preserve">the brands offered by company is a little different from the brands of other companies. </w:t>
      </w:r>
      <w:r w:rsidR="00463CC5" w:rsidRPr="00EF5C89">
        <w:rPr>
          <w:rFonts w:ascii="Times New Roman" w:hAnsi="Times New Roman" w:cs="Times New Roman"/>
          <w:sz w:val="24"/>
          <w:szCs w:val="24"/>
        </w:rPr>
        <w:t xml:space="preserve">The other two circles include the </w:t>
      </w:r>
      <w:r w:rsidR="00A161F7" w:rsidRPr="00EF5C89">
        <w:rPr>
          <w:rFonts w:ascii="Times New Roman" w:hAnsi="Times New Roman" w:cs="Times New Roman"/>
          <w:sz w:val="24"/>
          <w:szCs w:val="24"/>
        </w:rPr>
        <w:t xml:space="preserve">needs of customers and value proposition points of the company. The </w:t>
      </w:r>
      <w:r w:rsidR="00FE4CF2" w:rsidRPr="00EF5C89">
        <w:rPr>
          <w:rFonts w:ascii="Times New Roman" w:hAnsi="Times New Roman" w:cs="Times New Roman"/>
          <w:sz w:val="24"/>
          <w:szCs w:val="24"/>
        </w:rPr>
        <w:t xml:space="preserve">points which </w:t>
      </w:r>
      <w:r w:rsidR="00FE4CF2" w:rsidRPr="00EF5C89">
        <w:rPr>
          <w:rFonts w:ascii="Times New Roman" w:hAnsi="Times New Roman" w:cs="Times New Roman"/>
          <w:sz w:val="24"/>
          <w:szCs w:val="24"/>
        </w:rPr>
        <w:lastRenderedPageBreak/>
        <w:t xml:space="preserve">are common with </w:t>
      </w:r>
      <w:r w:rsidR="00805A46" w:rsidRPr="00EF5C89">
        <w:rPr>
          <w:rFonts w:ascii="Times New Roman" w:hAnsi="Times New Roman" w:cs="Times New Roman"/>
          <w:sz w:val="24"/>
          <w:szCs w:val="24"/>
        </w:rPr>
        <w:t xml:space="preserve">competitors will be points of similarity. Points of difference are the ones on which company has to work. These points are those which </w:t>
      </w:r>
      <w:r w:rsidR="00611168" w:rsidRPr="00EF5C89">
        <w:rPr>
          <w:rFonts w:ascii="Times New Roman" w:hAnsi="Times New Roman" w:cs="Times New Roman"/>
          <w:sz w:val="24"/>
          <w:szCs w:val="24"/>
        </w:rPr>
        <w:t>are different between company and its competitors</w:t>
      </w:r>
      <w:sdt>
        <w:sdtPr>
          <w:rPr>
            <w:rFonts w:ascii="Times New Roman" w:hAnsi="Times New Roman" w:cs="Times New Roman"/>
            <w:sz w:val="24"/>
            <w:szCs w:val="24"/>
          </w:rPr>
          <w:id w:val="-1235780815"/>
          <w:citation/>
        </w:sdtPr>
        <w:sdtContent>
          <w:r w:rsidR="00327E4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27E40">
            <w:rPr>
              <w:rFonts w:ascii="Times New Roman" w:hAnsi="Times New Roman" w:cs="Times New Roman"/>
              <w:sz w:val="24"/>
              <w:szCs w:val="24"/>
            </w:rPr>
            <w:instrText xml:space="preserve"> CITATION Kel18 \l 1033 </w:instrText>
          </w:r>
          <w:r w:rsidR="00327E4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7E4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327E40" w:rsidRPr="00327E40">
            <w:rPr>
              <w:rFonts w:ascii="Times New Roman" w:hAnsi="Times New Roman" w:cs="Times New Roman"/>
              <w:noProof/>
              <w:sz w:val="24"/>
              <w:szCs w:val="24"/>
            </w:rPr>
            <w:t>(Kellogg's)</w:t>
          </w:r>
          <w:r w:rsidR="00327E4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11168" w:rsidRPr="00EF5C89">
        <w:rPr>
          <w:rFonts w:ascii="Times New Roman" w:hAnsi="Times New Roman" w:cs="Times New Roman"/>
          <w:sz w:val="24"/>
          <w:szCs w:val="24"/>
        </w:rPr>
        <w:t xml:space="preserve">. They can either provide </w:t>
      </w:r>
      <w:r w:rsidR="00834731" w:rsidRPr="00EF5C89">
        <w:rPr>
          <w:rFonts w:ascii="Times New Roman" w:hAnsi="Times New Roman" w:cs="Times New Roman"/>
          <w:sz w:val="24"/>
          <w:szCs w:val="24"/>
        </w:rPr>
        <w:t xml:space="preserve">a source of competitive advantage to any one of the companies. The points remaining in </w:t>
      </w:r>
      <w:r w:rsidR="00DA51E7" w:rsidRPr="00EF5C89">
        <w:rPr>
          <w:rFonts w:ascii="Times New Roman" w:hAnsi="Times New Roman" w:cs="Times New Roman"/>
          <w:sz w:val="24"/>
          <w:szCs w:val="24"/>
        </w:rPr>
        <w:t xml:space="preserve">company’s own proposition will not be relevant in terms of this analysis. </w:t>
      </w:r>
    </w:p>
    <w:p w14:paraId="3B2E63D7" w14:textId="77777777" w:rsidR="00F108EB" w:rsidRDefault="00F108EB" w:rsidP="00EF5C8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108EB">
        <w:rPr>
          <w:rFonts w:ascii="Times New Roman" w:hAnsi="Times New Roman" w:cs="Times New Roman"/>
          <w:b/>
          <w:bCs/>
          <w:sz w:val="24"/>
          <w:szCs w:val="24"/>
        </w:rPr>
        <w:t>Application</w:t>
      </w:r>
    </w:p>
    <w:p w14:paraId="408605D2" w14:textId="07C90561" w:rsidR="00DA51E7" w:rsidRDefault="00DA51E7" w:rsidP="00EF5C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5C89">
        <w:rPr>
          <w:rFonts w:ascii="Times New Roman" w:hAnsi="Times New Roman" w:cs="Times New Roman"/>
          <w:sz w:val="24"/>
          <w:szCs w:val="24"/>
        </w:rPr>
        <w:tab/>
      </w:r>
      <w:r w:rsidR="006B497F" w:rsidRPr="00EF5C89">
        <w:rPr>
          <w:rFonts w:ascii="Times New Roman" w:hAnsi="Times New Roman" w:cs="Times New Roman"/>
          <w:sz w:val="24"/>
          <w:szCs w:val="24"/>
        </w:rPr>
        <w:t xml:space="preserve">Raisin bran cereal is the product under consideration and the first aspect is brand name of Kellogg’s which is associated with it. This provides a positive difference </w:t>
      </w:r>
      <w:r w:rsidR="00FC0FC8" w:rsidRPr="00EF5C89">
        <w:rPr>
          <w:rFonts w:ascii="Times New Roman" w:hAnsi="Times New Roman" w:cs="Times New Roman"/>
          <w:sz w:val="24"/>
          <w:szCs w:val="24"/>
        </w:rPr>
        <w:t>for the company because other companies cannot match the brand power associated with Kellogg’s</w:t>
      </w:r>
      <w:r w:rsidR="00545D1D" w:rsidRPr="00EF5C89">
        <w:rPr>
          <w:rFonts w:ascii="Times New Roman" w:hAnsi="Times New Roman" w:cs="Times New Roman"/>
          <w:sz w:val="24"/>
          <w:szCs w:val="24"/>
        </w:rPr>
        <w:t xml:space="preserve">. </w:t>
      </w:r>
      <w:r w:rsidR="00C21273" w:rsidRPr="00EF5C89">
        <w:rPr>
          <w:rFonts w:ascii="Times New Roman" w:hAnsi="Times New Roman" w:cs="Times New Roman"/>
          <w:sz w:val="24"/>
          <w:szCs w:val="24"/>
        </w:rPr>
        <w:t>A competitor who will give tough time to Kellogg’s is Nestle. The major reason for this is that t</w:t>
      </w:r>
      <w:r w:rsidR="00814C25" w:rsidRPr="00EF5C89">
        <w:rPr>
          <w:rFonts w:ascii="Times New Roman" w:hAnsi="Times New Roman" w:cs="Times New Roman"/>
          <w:sz w:val="24"/>
          <w:szCs w:val="24"/>
        </w:rPr>
        <w:t xml:space="preserve">he company has a stronger brand name in most parts of the world. </w:t>
      </w:r>
      <w:r w:rsidR="005777C7" w:rsidRPr="00EF5C89">
        <w:rPr>
          <w:rFonts w:ascii="Times New Roman" w:hAnsi="Times New Roman" w:cs="Times New Roman"/>
          <w:sz w:val="24"/>
          <w:szCs w:val="24"/>
        </w:rPr>
        <w:t xml:space="preserve">The common points between Kellogg’s and its competitors are that they all provide </w:t>
      </w:r>
      <w:r w:rsidR="00195325" w:rsidRPr="00EF5C89">
        <w:rPr>
          <w:rFonts w:ascii="Times New Roman" w:hAnsi="Times New Roman" w:cs="Times New Roman"/>
          <w:sz w:val="24"/>
          <w:szCs w:val="24"/>
        </w:rPr>
        <w:t xml:space="preserve">breakfast cereals and at a competitive price as well. The points of difference between company and its </w:t>
      </w:r>
      <w:r w:rsidR="00F772FC" w:rsidRPr="00EF5C89">
        <w:rPr>
          <w:rFonts w:ascii="Times New Roman" w:hAnsi="Times New Roman" w:cs="Times New Roman"/>
          <w:sz w:val="24"/>
          <w:szCs w:val="24"/>
        </w:rPr>
        <w:t>competitors are the flavor which</w:t>
      </w:r>
      <w:r w:rsidR="00B94E21" w:rsidRPr="00EF5C89">
        <w:rPr>
          <w:rFonts w:ascii="Times New Roman" w:hAnsi="Times New Roman" w:cs="Times New Roman"/>
          <w:sz w:val="24"/>
          <w:szCs w:val="24"/>
        </w:rPr>
        <w:t xml:space="preserve"> are offered by them. A little difference between packaging can also be seen between competitors. The major difference between </w:t>
      </w:r>
      <w:r w:rsidR="000871E7" w:rsidRPr="00EF5C89">
        <w:rPr>
          <w:rFonts w:ascii="Times New Roman" w:hAnsi="Times New Roman" w:cs="Times New Roman"/>
          <w:sz w:val="24"/>
          <w:szCs w:val="24"/>
        </w:rPr>
        <w:t xml:space="preserve">competitors lies in their perception of </w:t>
      </w:r>
      <w:r w:rsidR="00BE68F6" w:rsidRPr="00EF5C89">
        <w:rPr>
          <w:rFonts w:ascii="Times New Roman" w:hAnsi="Times New Roman" w:cs="Times New Roman"/>
          <w:sz w:val="24"/>
          <w:szCs w:val="24"/>
        </w:rPr>
        <w:t xml:space="preserve">customer values. The whole concept of value proposition </w:t>
      </w:r>
      <w:r w:rsidR="00EF5C89" w:rsidRPr="00EF5C89">
        <w:rPr>
          <w:rFonts w:ascii="Times New Roman" w:hAnsi="Times New Roman" w:cs="Times New Roman"/>
          <w:sz w:val="24"/>
          <w:szCs w:val="24"/>
        </w:rPr>
        <w:t>is that companies see customer values differently</w:t>
      </w:r>
      <w:sdt>
        <w:sdtPr>
          <w:rPr>
            <w:rFonts w:ascii="Times New Roman" w:hAnsi="Times New Roman" w:cs="Times New Roman"/>
            <w:sz w:val="24"/>
            <w:szCs w:val="24"/>
          </w:rPr>
          <w:id w:val="578640822"/>
          <w:citation/>
        </w:sdtPr>
        <w:sdtContent>
          <w:r w:rsidR="00BB2F5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B2F58">
            <w:rPr>
              <w:rFonts w:ascii="Times New Roman" w:hAnsi="Times New Roman" w:cs="Times New Roman"/>
              <w:sz w:val="24"/>
              <w:szCs w:val="24"/>
            </w:rPr>
            <w:instrText xml:space="preserve"> CITATION Joe07 \l 1033 </w:instrText>
          </w:r>
          <w:r w:rsidR="00BB2F5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B2F5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BB2F58" w:rsidRPr="00BB2F58">
            <w:rPr>
              <w:rFonts w:ascii="Times New Roman" w:hAnsi="Times New Roman" w:cs="Times New Roman"/>
              <w:noProof/>
              <w:sz w:val="24"/>
              <w:szCs w:val="24"/>
            </w:rPr>
            <w:t>(Urbany and H.Davis)</w:t>
          </w:r>
          <w:r w:rsidR="00BB2F5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F5C89" w:rsidRPr="00EF5C89">
        <w:rPr>
          <w:rFonts w:ascii="Times New Roman" w:hAnsi="Times New Roman" w:cs="Times New Roman"/>
          <w:sz w:val="24"/>
          <w:szCs w:val="24"/>
        </w:rPr>
        <w:t>.</w:t>
      </w:r>
    </w:p>
    <w:p w14:paraId="2D2BC233" w14:textId="68797D99" w:rsidR="0088214D" w:rsidRDefault="009205A7" w:rsidP="008D35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4A3B7E" wp14:editId="14D92632">
            <wp:extent cx="2762250" cy="409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33B8" w14:textId="42D0EB37" w:rsidR="008D35D8" w:rsidRDefault="008D35D8" w:rsidP="008D35D8">
      <w:pPr>
        <w:rPr>
          <w:rFonts w:ascii="Times New Roman" w:hAnsi="Times New Roman" w:cs="Times New Roman"/>
          <w:sz w:val="24"/>
          <w:szCs w:val="24"/>
        </w:rPr>
      </w:pPr>
    </w:p>
    <w:p w14:paraId="63DC80DC" w14:textId="469089BD" w:rsidR="008D35D8" w:rsidRDefault="008D35D8" w:rsidP="008D35D8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00F2A0" w14:textId="77777777" w:rsidR="008D35D8" w:rsidRDefault="008D3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id w:val="925542325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sdtEndPr>
      <w:sdtContent>
        <w:p w14:paraId="71AD1A2C" w14:textId="0CE3D601" w:rsidR="008D35D8" w:rsidRPr="008D35D8" w:rsidRDefault="008D35D8" w:rsidP="008D35D8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8D35D8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Works Cited</w:t>
          </w:r>
        </w:p>
        <w:p w14:paraId="7B674021" w14:textId="77777777" w:rsidR="008D35D8" w:rsidRPr="008D35D8" w:rsidRDefault="008D35D8" w:rsidP="008D35D8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D35D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D35D8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8D35D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D35D8">
            <w:rPr>
              <w:rFonts w:ascii="Times New Roman" w:hAnsi="Times New Roman" w:cs="Times New Roman"/>
              <w:noProof/>
              <w:sz w:val="24"/>
              <w:szCs w:val="24"/>
            </w:rPr>
            <w:t xml:space="preserve">Camilleri, M.A. "Integrated Marketing Communications." Camilleri, M.A. </w:t>
          </w:r>
          <w:r w:rsidRPr="008D35D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Travel Marketing,Tourism Economics and the airline product,Tourism, hospitality and Event Management</w:t>
          </w:r>
          <w:r w:rsidRPr="008D35D8">
            <w:rPr>
              <w:rFonts w:ascii="Times New Roman" w:hAnsi="Times New Roman" w:cs="Times New Roman"/>
              <w:noProof/>
              <w:sz w:val="24"/>
              <w:szCs w:val="24"/>
            </w:rPr>
            <w:t>. Springer International Publishing, 2018. 85-103.</w:t>
          </w:r>
        </w:p>
        <w:p w14:paraId="4314381C" w14:textId="77777777" w:rsidR="008D35D8" w:rsidRPr="008D35D8" w:rsidRDefault="008D35D8" w:rsidP="008D35D8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D35D8">
            <w:rPr>
              <w:rFonts w:ascii="Times New Roman" w:hAnsi="Times New Roman" w:cs="Times New Roman"/>
              <w:noProof/>
              <w:sz w:val="24"/>
              <w:szCs w:val="24"/>
            </w:rPr>
            <w:t xml:space="preserve">Kellogg's. "http://newsroom.kelloggs.com/2018-10-25-Kellogg-Announces-New-Global-Sustainable-Packaging-Goal." 25 October 2018. </w:t>
          </w:r>
          <w:r w:rsidRPr="008D35D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http://newsroom.kelloggs.com.</w:t>
          </w:r>
          <w:r w:rsidRPr="008D35D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18 January 2020.</w:t>
          </w:r>
        </w:p>
        <w:p w14:paraId="79B96967" w14:textId="77777777" w:rsidR="008D35D8" w:rsidRPr="008D35D8" w:rsidRDefault="008D35D8" w:rsidP="008D35D8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D35D8">
            <w:rPr>
              <w:rFonts w:ascii="Times New Roman" w:hAnsi="Times New Roman" w:cs="Times New Roman"/>
              <w:noProof/>
              <w:sz w:val="24"/>
              <w:szCs w:val="24"/>
            </w:rPr>
            <w:t xml:space="preserve">Urbany, Joel E and James H.Davis. "https://hbr.org/2007/11/strategic-insight-in-three-circles." November 2007. </w:t>
          </w:r>
          <w:r w:rsidRPr="008D35D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https://hbr.org/2007/11/strategic-insight-in-three-circles.</w:t>
          </w:r>
          <w:r w:rsidRPr="008D35D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18 January 2020.</w:t>
          </w:r>
        </w:p>
        <w:p w14:paraId="18D20D09" w14:textId="78451281" w:rsidR="008D35D8" w:rsidRDefault="008D35D8" w:rsidP="008D35D8">
          <w:pPr>
            <w:spacing w:line="480" w:lineRule="auto"/>
          </w:pPr>
          <w:r w:rsidRPr="008D35D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75798E0" w14:textId="77777777" w:rsidR="008D35D8" w:rsidRPr="008D35D8" w:rsidRDefault="008D35D8" w:rsidP="008D35D8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sectPr w:rsidR="008D35D8" w:rsidRPr="008D35D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C0B26" w14:textId="77777777" w:rsidR="00CA696A" w:rsidRDefault="00CA696A" w:rsidP="00BB7BD3">
      <w:pPr>
        <w:spacing w:after="0" w:line="240" w:lineRule="auto"/>
      </w:pPr>
      <w:r>
        <w:separator/>
      </w:r>
    </w:p>
  </w:endnote>
  <w:endnote w:type="continuationSeparator" w:id="0">
    <w:p w14:paraId="556D8E76" w14:textId="77777777" w:rsidR="00CA696A" w:rsidRDefault="00CA696A" w:rsidP="00BB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18292" w14:textId="77777777" w:rsidR="00CA696A" w:rsidRDefault="00CA696A" w:rsidP="00BB7BD3">
      <w:pPr>
        <w:spacing w:after="0" w:line="240" w:lineRule="auto"/>
      </w:pPr>
      <w:r>
        <w:separator/>
      </w:r>
    </w:p>
  </w:footnote>
  <w:footnote w:type="continuationSeparator" w:id="0">
    <w:p w14:paraId="686F825C" w14:textId="77777777" w:rsidR="00CA696A" w:rsidRDefault="00CA696A" w:rsidP="00BB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C81C" w14:textId="2F777BB2" w:rsidR="00BB7BD3" w:rsidRPr="00BB7BD3" w:rsidRDefault="00BB7BD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B7BD3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-16475004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B7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7B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7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B7B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7B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8519B42" w14:textId="77777777" w:rsidR="00BB7BD3" w:rsidRDefault="00BB7B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11"/>
    <w:rsid w:val="000871E7"/>
    <w:rsid w:val="00103B36"/>
    <w:rsid w:val="00195325"/>
    <w:rsid w:val="002455EA"/>
    <w:rsid w:val="00250A27"/>
    <w:rsid w:val="002E3C99"/>
    <w:rsid w:val="00327E40"/>
    <w:rsid w:val="00463CC5"/>
    <w:rsid w:val="004E28EC"/>
    <w:rsid w:val="005448F2"/>
    <w:rsid w:val="00545D1D"/>
    <w:rsid w:val="00552111"/>
    <w:rsid w:val="005777C7"/>
    <w:rsid w:val="00611168"/>
    <w:rsid w:val="00621A54"/>
    <w:rsid w:val="006B497F"/>
    <w:rsid w:val="007055D0"/>
    <w:rsid w:val="007F3F89"/>
    <w:rsid w:val="00805A46"/>
    <w:rsid w:val="00814C25"/>
    <w:rsid w:val="0083343A"/>
    <w:rsid w:val="00834731"/>
    <w:rsid w:val="0088214D"/>
    <w:rsid w:val="008D35D8"/>
    <w:rsid w:val="009205A7"/>
    <w:rsid w:val="009513FB"/>
    <w:rsid w:val="00A161F7"/>
    <w:rsid w:val="00A2498E"/>
    <w:rsid w:val="00B94E21"/>
    <w:rsid w:val="00BB2F58"/>
    <w:rsid w:val="00BB4752"/>
    <w:rsid w:val="00BB7BD3"/>
    <w:rsid w:val="00BE68F6"/>
    <w:rsid w:val="00C21273"/>
    <w:rsid w:val="00CA696A"/>
    <w:rsid w:val="00DA51E7"/>
    <w:rsid w:val="00EF5C89"/>
    <w:rsid w:val="00F108EB"/>
    <w:rsid w:val="00F65140"/>
    <w:rsid w:val="00F772FC"/>
    <w:rsid w:val="00FC0FC8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E98A"/>
  <w15:chartTrackingRefBased/>
  <w15:docId w15:val="{C579B161-0370-4027-AF42-EC1729FF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uiPriority w:val="1"/>
    <w:qFormat/>
    <w:rsid w:val="00BB7BD3"/>
    <w:pPr>
      <w:spacing w:after="0" w:line="480" w:lineRule="auto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B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D3"/>
  </w:style>
  <w:style w:type="paragraph" w:styleId="Footer">
    <w:name w:val="footer"/>
    <w:basedOn w:val="Normal"/>
    <w:link w:val="FooterChar"/>
    <w:uiPriority w:val="99"/>
    <w:unhideWhenUsed/>
    <w:rsid w:val="00BB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BD3"/>
  </w:style>
  <w:style w:type="character" w:customStyle="1" w:styleId="Heading1Char">
    <w:name w:val="Heading 1 Char"/>
    <w:basedOn w:val="DefaultParagraphFont"/>
    <w:link w:val="Heading1"/>
    <w:uiPriority w:val="9"/>
    <w:rsid w:val="008D35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D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9D850018AB42F3A00F97A46FA0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D6D4-2F46-447C-A638-393C3EA94E5B}"/>
      </w:docPartPr>
      <w:docPartBody>
        <w:p w:rsidR="00000000" w:rsidRDefault="00E82AF9" w:rsidP="00E82AF9">
          <w:pPr>
            <w:pStyle w:val="DE9D850018AB42F3A00F97A46FA08491"/>
          </w:pPr>
          <w:r>
            <w:t>Instructor Name</w:t>
          </w:r>
        </w:p>
      </w:docPartBody>
    </w:docPart>
    <w:docPart>
      <w:docPartPr>
        <w:name w:val="0CAEEAF40AB346B4ABBDC9176E9C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A49C-4AA9-4220-A662-D70577ABE1B8}"/>
      </w:docPartPr>
      <w:docPartBody>
        <w:p w:rsidR="00000000" w:rsidRDefault="00E82AF9" w:rsidP="00E82AF9">
          <w:pPr>
            <w:pStyle w:val="0CAEEAF40AB346B4ABBDC9176E9CB23A"/>
          </w:pPr>
          <w:r>
            <w:t>Course Number</w:t>
          </w:r>
        </w:p>
      </w:docPartBody>
    </w:docPart>
    <w:docPart>
      <w:docPartPr>
        <w:name w:val="BC0FFCDECA29445C8DD18EEF25E8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0E34-9FFC-4336-86BE-E0343053E7D3}"/>
      </w:docPartPr>
      <w:docPartBody>
        <w:p w:rsidR="00000000" w:rsidRDefault="00E82AF9" w:rsidP="00E82AF9">
          <w:pPr>
            <w:pStyle w:val="BC0FFCDECA29445C8DD18EEF25E81F8B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F9"/>
    <w:rsid w:val="00E82AF9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D850018AB42F3A00F97A46FA08491">
    <w:name w:val="DE9D850018AB42F3A00F97A46FA08491"/>
    <w:rsid w:val="00E82AF9"/>
  </w:style>
  <w:style w:type="paragraph" w:customStyle="1" w:styleId="0CAEEAF40AB346B4ABBDC9176E9CB23A">
    <w:name w:val="0CAEEAF40AB346B4ABBDC9176E9CB23A"/>
    <w:rsid w:val="00E82AF9"/>
  </w:style>
  <w:style w:type="paragraph" w:customStyle="1" w:styleId="BC0FFCDECA29445C8DD18EEF25E81F8B">
    <w:name w:val="BC0FFCDECA29445C8DD18EEF25E81F8B"/>
    <w:rsid w:val="00E82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Kel18</b:Tag>
    <b:SourceType>DocumentFromInternetSite</b:SourceType>
    <b:Guid>{DDC16CF3-6DF5-4604-B8DB-AB15387A47DD}</b:Guid>
    <b:Author>
      <b:Author>
        <b:Corporate>Kellogg's</b:Corporate>
      </b:Author>
    </b:Author>
    <b:Title>http://newsroom.kelloggs.com/2018-10-25-Kellogg-Announces-New-Global-Sustainable-Packaging-Goal</b:Title>
    <b:InternetSiteTitle>http://newsroom.kelloggs.com</b:InternetSiteTitle>
    <b:Year>2018</b:Year>
    <b:Month>October</b:Month>
    <b:Day>25</b:Day>
    <b:YearAccessed>2020</b:YearAccessed>
    <b:MonthAccessed>January</b:MonthAccessed>
    <b:DayAccessed>18</b:DayAccessed>
    <b:RefOrder>2</b:RefOrder>
  </b:Source>
  <b:Source>
    <b:Tag>MAC18</b:Tag>
    <b:SourceType>BookSection</b:SourceType>
    <b:Guid>{B9093E02-3D56-4211-9182-0712BC313447}</b:Guid>
    <b:Title>Integrated Marketing Communications</b:Title>
    <b:Year>2018</b:Year>
    <b:Author>
      <b:Author>
        <b:NameList>
          <b:Person>
            <b:Last>Camilleri</b:Last>
            <b:First>M.A.</b:First>
          </b:Person>
        </b:NameList>
      </b:Author>
      <b:BookAuthor>
        <b:NameList>
          <b:Person>
            <b:Last>Camilleri</b:Last>
            <b:First>M.A.</b:First>
          </b:Person>
        </b:NameList>
      </b:BookAuthor>
    </b:Author>
    <b:BookTitle>Travel Marketing,Tourism Economics and the airline product,Tourism, hospitality and Event Management</b:BookTitle>
    <b:Pages>85-103</b:Pages>
    <b:Publisher>Springer International Publishing</b:Publisher>
    <b:RefOrder>1</b:RefOrder>
  </b:Source>
  <b:Source>
    <b:Tag>Joe07</b:Tag>
    <b:SourceType>DocumentFromInternetSite</b:SourceType>
    <b:Guid>{B4123AE7-B628-4903-A847-0BEE593425A0}</b:Guid>
    <b:Author>
      <b:Author>
        <b:NameList>
          <b:Person>
            <b:Last>Urbany</b:Last>
            <b:First>Joel</b:First>
            <b:Middle>E</b:Middle>
          </b:Person>
          <b:Person>
            <b:Last>H.Davis</b:Last>
            <b:First>James</b:First>
          </b:Person>
        </b:NameList>
      </b:Author>
    </b:Author>
    <b:Title>https://hbr.org/2007/11/strategic-insight-in-three-circles</b:Title>
    <b:InternetSiteTitle>https://hbr.org/2007/11/strategic-insight-in-three-circles</b:InternetSiteTitle>
    <b:Year>2007</b:Year>
    <b:Month>November</b:Month>
    <b:YearAccessed>2020</b:YearAccessed>
    <b:MonthAccessed>January</b:MonthAccessed>
    <b:DayAccessed>18</b:DayAccessed>
    <b:RefOrder>3</b:RefOrder>
  </b:Source>
</b:Sources>
</file>

<file path=customXml/itemProps1.xml><?xml version="1.0" encoding="utf-8"?>
<ds:datastoreItem xmlns:ds="http://schemas.openxmlformats.org/officeDocument/2006/customXml" ds:itemID="{A8DC454C-31AB-425F-9405-D7E32213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3</cp:revision>
  <dcterms:created xsi:type="dcterms:W3CDTF">2020-01-18T10:00:00Z</dcterms:created>
  <dcterms:modified xsi:type="dcterms:W3CDTF">2020-01-18T11:07:00Z</dcterms:modified>
</cp:coreProperties>
</file>