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A243C" w14:textId="77777777" w:rsidR="00CF4875" w:rsidRPr="00D6664A" w:rsidRDefault="00CF4875">
      <w:pPr>
        <w:rPr>
          <w:rFonts w:ascii="Times New Roman" w:hAnsi="Times New Roman"/>
          <w:sz w:val="24"/>
          <w:szCs w:val="24"/>
        </w:rPr>
      </w:pPr>
    </w:p>
    <w:p w14:paraId="744CB888" w14:textId="77777777" w:rsidR="003B380B" w:rsidRPr="00D6664A" w:rsidRDefault="003B380B">
      <w:pPr>
        <w:rPr>
          <w:rFonts w:ascii="Times New Roman" w:hAnsi="Times New Roman"/>
          <w:sz w:val="24"/>
          <w:szCs w:val="24"/>
        </w:rPr>
      </w:pPr>
    </w:p>
    <w:p w14:paraId="3E503617" w14:textId="77777777" w:rsidR="00CF4875" w:rsidRPr="00D6664A" w:rsidRDefault="00CF4875" w:rsidP="00CF4875">
      <w:pPr>
        <w:jc w:val="center"/>
        <w:rPr>
          <w:rFonts w:ascii="Times New Roman" w:hAnsi="Times New Roman"/>
          <w:sz w:val="24"/>
          <w:szCs w:val="24"/>
        </w:rPr>
      </w:pPr>
    </w:p>
    <w:p w14:paraId="2637E480" w14:textId="77777777" w:rsidR="00CF4875" w:rsidRPr="00D6664A" w:rsidRDefault="00CF4875" w:rsidP="00CF4875">
      <w:pPr>
        <w:jc w:val="center"/>
        <w:rPr>
          <w:rFonts w:ascii="Times New Roman" w:hAnsi="Times New Roman"/>
          <w:sz w:val="24"/>
          <w:szCs w:val="24"/>
        </w:rPr>
      </w:pPr>
    </w:p>
    <w:p w14:paraId="4945DBAA" w14:textId="77777777" w:rsidR="00CF4875" w:rsidRPr="00D6664A" w:rsidRDefault="00CF4875" w:rsidP="00CF4875">
      <w:pPr>
        <w:jc w:val="center"/>
        <w:rPr>
          <w:rFonts w:ascii="Times New Roman" w:hAnsi="Times New Roman"/>
          <w:sz w:val="24"/>
          <w:szCs w:val="24"/>
        </w:rPr>
      </w:pPr>
    </w:p>
    <w:p w14:paraId="1808E872" w14:textId="77777777" w:rsidR="00CF4875" w:rsidRPr="00D6664A" w:rsidRDefault="00CF4875" w:rsidP="00CF4875">
      <w:pPr>
        <w:jc w:val="center"/>
        <w:rPr>
          <w:rFonts w:ascii="Times New Roman" w:hAnsi="Times New Roman"/>
          <w:sz w:val="24"/>
          <w:szCs w:val="24"/>
        </w:rPr>
      </w:pPr>
    </w:p>
    <w:p w14:paraId="28CA0F2B" w14:textId="77777777" w:rsidR="00CF4875" w:rsidRPr="00D6664A" w:rsidRDefault="00CF4875" w:rsidP="00CF4875">
      <w:pPr>
        <w:spacing w:after="0"/>
        <w:jc w:val="center"/>
        <w:rPr>
          <w:rFonts w:ascii="Times New Roman" w:hAnsi="Times New Roman"/>
          <w:sz w:val="24"/>
          <w:szCs w:val="24"/>
        </w:rPr>
      </w:pPr>
      <w:r w:rsidRPr="00D6664A">
        <w:rPr>
          <w:rFonts w:ascii="Times New Roman" w:hAnsi="Times New Roman"/>
          <w:sz w:val="24"/>
          <w:szCs w:val="24"/>
        </w:rPr>
        <w:t xml:space="preserve">The Title </w:t>
      </w:r>
    </w:p>
    <w:p w14:paraId="6AB4AF79" w14:textId="77777777" w:rsidR="00CF4875" w:rsidRPr="00D6664A" w:rsidRDefault="00CF4875" w:rsidP="00CF4875">
      <w:pPr>
        <w:spacing w:after="0"/>
        <w:jc w:val="center"/>
        <w:rPr>
          <w:rFonts w:ascii="Times New Roman" w:hAnsi="Times New Roman"/>
          <w:sz w:val="24"/>
          <w:szCs w:val="24"/>
        </w:rPr>
      </w:pPr>
      <w:r w:rsidRPr="00D6664A">
        <w:rPr>
          <w:rFonts w:ascii="Times New Roman" w:hAnsi="Times New Roman"/>
          <w:sz w:val="24"/>
          <w:szCs w:val="24"/>
        </w:rPr>
        <w:t>(1/4 page down from top)</w:t>
      </w:r>
    </w:p>
    <w:p w14:paraId="30BCA068" w14:textId="77777777" w:rsidR="00CF4875" w:rsidRPr="00D6664A" w:rsidRDefault="00CF4875" w:rsidP="00CF4875">
      <w:pPr>
        <w:jc w:val="center"/>
        <w:rPr>
          <w:rFonts w:ascii="Times New Roman" w:hAnsi="Times New Roman"/>
          <w:sz w:val="24"/>
          <w:szCs w:val="24"/>
        </w:rPr>
      </w:pPr>
    </w:p>
    <w:p w14:paraId="4F627B64" w14:textId="77777777" w:rsidR="00CF4875" w:rsidRPr="00D6664A" w:rsidRDefault="00CF4875" w:rsidP="00CF4875">
      <w:pPr>
        <w:jc w:val="center"/>
        <w:rPr>
          <w:rFonts w:ascii="Times New Roman" w:hAnsi="Times New Roman"/>
          <w:sz w:val="24"/>
          <w:szCs w:val="24"/>
        </w:rPr>
      </w:pPr>
    </w:p>
    <w:p w14:paraId="10247B5B" w14:textId="77777777" w:rsidR="00CF4875" w:rsidRPr="00D6664A" w:rsidRDefault="00CF4875" w:rsidP="00CF4875">
      <w:pPr>
        <w:jc w:val="center"/>
        <w:rPr>
          <w:rFonts w:ascii="Times New Roman" w:hAnsi="Times New Roman"/>
          <w:sz w:val="24"/>
          <w:szCs w:val="24"/>
        </w:rPr>
      </w:pPr>
    </w:p>
    <w:p w14:paraId="629D053C" w14:textId="77777777" w:rsidR="00CF4875" w:rsidRPr="00D6664A" w:rsidRDefault="00CF4875" w:rsidP="00CF4875">
      <w:pPr>
        <w:spacing w:after="0"/>
        <w:jc w:val="center"/>
        <w:rPr>
          <w:rFonts w:ascii="Times New Roman" w:hAnsi="Times New Roman"/>
          <w:sz w:val="24"/>
          <w:szCs w:val="24"/>
        </w:rPr>
      </w:pPr>
      <w:r w:rsidRPr="00D6664A">
        <w:rPr>
          <w:rFonts w:ascii="Times New Roman" w:hAnsi="Times New Roman"/>
          <w:sz w:val="24"/>
          <w:szCs w:val="24"/>
        </w:rPr>
        <w:t>Your Name here</w:t>
      </w:r>
    </w:p>
    <w:p w14:paraId="3CDEAAF6" w14:textId="77777777" w:rsidR="00CF4875" w:rsidRPr="00D6664A" w:rsidRDefault="00CF4875" w:rsidP="00CF4875">
      <w:pPr>
        <w:spacing w:after="0"/>
        <w:jc w:val="center"/>
        <w:rPr>
          <w:rFonts w:ascii="Times New Roman" w:hAnsi="Times New Roman"/>
          <w:sz w:val="24"/>
          <w:szCs w:val="24"/>
        </w:rPr>
      </w:pPr>
      <w:r w:rsidRPr="00D6664A">
        <w:rPr>
          <w:rFonts w:ascii="Times New Roman" w:hAnsi="Times New Roman"/>
          <w:sz w:val="24"/>
          <w:szCs w:val="24"/>
        </w:rPr>
        <w:t>(1/2 page down from top)</w:t>
      </w:r>
    </w:p>
    <w:p w14:paraId="455162E1" w14:textId="77777777" w:rsidR="00CF4875" w:rsidRPr="00D6664A" w:rsidRDefault="00CF4875" w:rsidP="00CF4875">
      <w:pPr>
        <w:jc w:val="center"/>
        <w:rPr>
          <w:rFonts w:ascii="Times New Roman" w:hAnsi="Times New Roman"/>
          <w:sz w:val="24"/>
          <w:szCs w:val="24"/>
        </w:rPr>
      </w:pPr>
    </w:p>
    <w:p w14:paraId="5E4B1E77" w14:textId="77777777" w:rsidR="00CF4875" w:rsidRPr="00D6664A" w:rsidRDefault="00CF4875" w:rsidP="00CF4875">
      <w:pPr>
        <w:jc w:val="center"/>
        <w:rPr>
          <w:rFonts w:ascii="Times New Roman" w:hAnsi="Times New Roman"/>
          <w:sz w:val="24"/>
          <w:szCs w:val="24"/>
        </w:rPr>
      </w:pPr>
    </w:p>
    <w:p w14:paraId="02DC9513" w14:textId="77777777" w:rsidR="00CF4875" w:rsidRPr="00D6664A" w:rsidRDefault="00CF4875" w:rsidP="00CF4875">
      <w:pPr>
        <w:jc w:val="center"/>
        <w:rPr>
          <w:rFonts w:ascii="Times New Roman" w:hAnsi="Times New Roman"/>
          <w:sz w:val="24"/>
          <w:szCs w:val="24"/>
        </w:rPr>
      </w:pPr>
    </w:p>
    <w:p w14:paraId="634FA536" w14:textId="77777777" w:rsidR="00CF4875" w:rsidRPr="00D6664A" w:rsidRDefault="00CF4875" w:rsidP="00CF4875">
      <w:pPr>
        <w:jc w:val="center"/>
        <w:rPr>
          <w:rFonts w:ascii="Times New Roman" w:hAnsi="Times New Roman"/>
          <w:sz w:val="24"/>
          <w:szCs w:val="24"/>
        </w:rPr>
      </w:pPr>
    </w:p>
    <w:p w14:paraId="0181E203" w14:textId="77777777" w:rsidR="00CF4875" w:rsidRPr="00D6664A" w:rsidRDefault="00CF4875" w:rsidP="00CF4875">
      <w:pPr>
        <w:jc w:val="center"/>
        <w:rPr>
          <w:rFonts w:ascii="Times New Roman" w:hAnsi="Times New Roman"/>
          <w:sz w:val="24"/>
          <w:szCs w:val="24"/>
        </w:rPr>
      </w:pPr>
    </w:p>
    <w:p w14:paraId="6EC84BF4" w14:textId="77777777" w:rsidR="00CF4875" w:rsidRPr="00D6664A" w:rsidRDefault="00CF4875" w:rsidP="00CF4875">
      <w:pPr>
        <w:spacing w:after="0"/>
        <w:jc w:val="center"/>
        <w:rPr>
          <w:rFonts w:ascii="Times New Roman" w:hAnsi="Times New Roman"/>
          <w:sz w:val="24"/>
          <w:szCs w:val="24"/>
        </w:rPr>
      </w:pPr>
      <w:r w:rsidRPr="00D6664A">
        <w:rPr>
          <w:rFonts w:ascii="Times New Roman" w:hAnsi="Times New Roman"/>
          <w:sz w:val="24"/>
          <w:szCs w:val="24"/>
        </w:rPr>
        <w:t>Date Here</w:t>
      </w:r>
    </w:p>
    <w:p w14:paraId="1516B8B2" w14:textId="77777777" w:rsidR="00CF4875" w:rsidRPr="00D6664A" w:rsidRDefault="00CF4875" w:rsidP="00CF4875">
      <w:pPr>
        <w:spacing w:after="0"/>
        <w:jc w:val="center"/>
        <w:rPr>
          <w:rFonts w:ascii="Times New Roman" w:hAnsi="Times New Roman"/>
          <w:sz w:val="24"/>
          <w:szCs w:val="24"/>
        </w:rPr>
      </w:pPr>
      <w:r w:rsidRPr="00D6664A">
        <w:rPr>
          <w:rFonts w:ascii="Times New Roman" w:hAnsi="Times New Roman"/>
          <w:sz w:val="24"/>
          <w:szCs w:val="24"/>
        </w:rPr>
        <w:t>(All double-spaced)</w:t>
      </w:r>
    </w:p>
    <w:p w14:paraId="23B836A5" w14:textId="77777777" w:rsidR="00CF4875" w:rsidRPr="00D6664A" w:rsidRDefault="00CF4875" w:rsidP="00CF4875">
      <w:pPr>
        <w:spacing w:after="0"/>
        <w:jc w:val="center"/>
        <w:rPr>
          <w:rFonts w:ascii="Times New Roman" w:hAnsi="Times New Roman"/>
          <w:sz w:val="24"/>
          <w:szCs w:val="24"/>
        </w:rPr>
      </w:pPr>
    </w:p>
    <w:p w14:paraId="6D151156" w14:textId="77777777" w:rsidR="00962ABF" w:rsidRPr="00D6664A" w:rsidRDefault="003B380B" w:rsidP="00962ABF">
      <w:pPr>
        <w:spacing w:after="0" w:line="480" w:lineRule="auto"/>
        <w:ind w:firstLine="720"/>
        <w:rPr>
          <w:rFonts w:ascii="Times New Roman" w:hAnsi="Times New Roman"/>
          <w:i/>
          <w:sz w:val="24"/>
          <w:szCs w:val="24"/>
        </w:rPr>
      </w:pPr>
      <w:r w:rsidRPr="00D6664A">
        <w:rPr>
          <w:rFonts w:ascii="Times New Roman" w:hAnsi="Times New Roman"/>
          <w:sz w:val="24"/>
          <w:szCs w:val="24"/>
        </w:rPr>
        <w:br w:type="page"/>
      </w:r>
    </w:p>
    <w:p w14:paraId="1A02FCE2" w14:textId="0E093130" w:rsidR="00D6664A" w:rsidRDefault="007C341D" w:rsidP="007C341D">
      <w:pPr>
        <w:spacing w:after="0" w:line="480" w:lineRule="auto"/>
        <w:rPr>
          <w:rFonts w:ascii="Times New Roman" w:hAnsi="Times New Roman"/>
          <w:sz w:val="24"/>
          <w:szCs w:val="24"/>
        </w:rPr>
      </w:pPr>
      <w:r>
        <w:rPr>
          <w:rFonts w:ascii="Times New Roman" w:hAnsi="Times New Roman"/>
          <w:sz w:val="24"/>
          <w:szCs w:val="24"/>
        </w:rPr>
        <w:lastRenderedPageBreak/>
        <w:tab/>
      </w:r>
      <w:r w:rsidRPr="007C341D">
        <w:rPr>
          <w:rFonts w:ascii="Times New Roman" w:hAnsi="Times New Roman"/>
          <w:sz w:val="24"/>
          <w:szCs w:val="24"/>
        </w:rPr>
        <w:t>The question among India and Pakistan over Kashmir was started by a game changing choice in 1947 and has brought about many years of savagery, including two wars. S</w:t>
      </w:r>
      <w:r>
        <w:rPr>
          <w:rFonts w:ascii="Times New Roman" w:hAnsi="Times New Roman"/>
          <w:sz w:val="24"/>
          <w:szCs w:val="24"/>
        </w:rPr>
        <w:t>ince</w:t>
      </w:r>
      <w:r w:rsidRPr="007C341D">
        <w:rPr>
          <w:rFonts w:ascii="Times New Roman" w:hAnsi="Times New Roman"/>
          <w:sz w:val="24"/>
          <w:szCs w:val="24"/>
        </w:rPr>
        <w:t xml:space="preserve"> 1947, </w:t>
      </w:r>
      <w:r>
        <w:rPr>
          <w:rFonts w:ascii="Times New Roman" w:hAnsi="Times New Roman"/>
          <w:sz w:val="24"/>
          <w:szCs w:val="24"/>
        </w:rPr>
        <w:t>both neighbors</w:t>
      </w:r>
      <w:r w:rsidRPr="007C341D">
        <w:rPr>
          <w:rFonts w:ascii="Times New Roman" w:hAnsi="Times New Roman"/>
          <w:sz w:val="24"/>
          <w:szCs w:val="24"/>
        </w:rPr>
        <w:t xml:space="preserve"> have been secured strife over Kashmir</w:t>
      </w:r>
      <w:r w:rsidR="006A735D">
        <w:rPr>
          <w:rFonts w:ascii="Times New Roman" w:hAnsi="Times New Roman"/>
          <w:sz w:val="24"/>
          <w:szCs w:val="24"/>
        </w:rPr>
        <w:t>.</w:t>
      </w:r>
      <w:r w:rsidRPr="007C341D">
        <w:rPr>
          <w:rFonts w:ascii="Times New Roman" w:hAnsi="Times New Roman"/>
          <w:sz w:val="24"/>
          <w:szCs w:val="24"/>
        </w:rPr>
        <w:t xml:space="preserve"> India and Pakistan both case</w:t>
      </w:r>
      <w:r>
        <w:rPr>
          <w:rFonts w:ascii="Times New Roman" w:hAnsi="Times New Roman"/>
          <w:sz w:val="24"/>
          <w:szCs w:val="24"/>
        </w:rPr>
        <w:t xml:space="preserve"> </w:t>
      </w:r>
      <w:r w:rsidRPr="007C341D">
        <w:rPr>
          <w:rFonts w:ascii="Times New Roman" w:hAnsi="Times New Roman"/>
          <w:sz w:val="24"/>
          <w:szCs w:val="24"/>
        </w:rPr>
        <w:t>Kashmir—a contested district of exactly 18 million individuals</w:t>
      </w:r>
      <w:r w:rsidR="00840342" w:rsidRPr="001942CA">
        <w:rPr>
          <w:rStyle w:val="FootnoteReference"/>
        </w:rPr>
        <w:footnoteReference w:id="1"/>
      </w:r>
      <w:r w:rsidRPr="007C341D">
        <w:rPr>
          <w:rFonts w:ascii="Times New Roman" w:hAnsi="Times New Roman"/>
          <w:sz w:val="24"/>
          <w:szCs w:val="24"/>
        </w:rPr>
        <w:t xml:space="preserve">. India manages the territory south of the Line of Control; Pakistan regulates northwestern Kashmir. As segment related viciousness seethed over the two new countries, the legislature of Pakistan influenced Kashmir to go along with it. </w:t>
      </w:r>
      <w:r w:rsidR="005D2039" w:rsidRPr="007C341D">
        <w:rPr>
          <w:rFonts w:ascii="Times New Roman" w:hAnsi="Times New Roman"/>
          <w:sz w:val="24"/>
          <w:szCs w:val="24"/>
        </w:rPr>
        <w:t>Dominant</w:t>
      </w:r>
      <w:r w:rsidRPr="007C341D">
        <w:rPr>
          <w:rFonts w:ascii="Times New Roman" w:hAnsi="Times New Roman"/>
          <w:sz w:val="24"/>
          <w:szCs w:val="24"/>
        </w:rPr>
        <w:t xml:space="preserve"> Pakistani renegades, subsidized by Pakistan, took over quite a bit of western Kashmir, and in September 1947, Pashtun tribesmen spilled over the fringe from Pakistan into Kashmir</w:t>
      </w:r>
      <w:r w:rsidR="00840342" w:rsidRPr="001942CA">
        <w:rPr>
          <w:rStyle w:val="FootnoteReference"/>
        </w:rPr>
        <w:footnoteReference w:id="2"/>
      </w:r>
      <w:r w:rsidRPr="007C341D">
        <w:rPr>
          <w:rFonts w:ascii="Times New Roman" w:hAnsi="Times New Roman"/>
          <w:sz w:val="24"/>
          <w:szCs w:val="24"/>
        </w:rPr>
        <w:t>.</w:t>
      </w:r>
    </w:p>
    <w:p w14:paraId="64960AF5" w14:textId="766C704D" w:rsidR="00840342" w:rsidRDefault="00840342" w:rsidP="007C341D">
      <w:pPr>
        <w:spacing w:after="0" w:line="480" w:lineRule="auto"/>
        <w:rPr>
          <w:rFonts w:ascii="Times New Roman" w:hAnsi="Times New Roman"/>
          <w:sz w:val="24"/>
          <w:szCs w:val="24"/>
        </w:rPr>
      </w:pPr>
      <w:r>
        <w:rPr>
          <w:rFonts w:ascii="Times New Roman" w:hAnsi="Times New Roman"/>
          <w:sz w:val="24"/>
          <w:szCs w:val="24"/>
        </w:rPr>
        <w:tab/>
      </w:r>
      <w:r w:rsidR="009B4E1B">
        <w:rPr>
          <w:rFonts w:ascii="Times New Roman" w:hAnsi="Times New Roman"/>
          <w:sz w:val="24"/>
          <w:szCs w:val="24"/>
        </w:rPr>
        <w:t>T</w:t>
      </w:r>
      <w:r w:rsidR="00EF4633" w:rsidRPr="00EF4633">
        <w:rPr>
          <w:rFonts w:ascii="Times New Roman" w:hAnsi="Times New Roman"/>
          <w:sz w:val="24"/>
          <w:szCs w:val="24"/>
        </w:rPr>
        <w:t xml:space="preserve">he </w:t>
      </w:r>
      <w:r w:rsidR="00EF4633">
        <w:rPr>
          <w:rFonts w:ascii="Times New Roman" w:hAnsi="Times New Roman"/>
          <w:sz w:val="24"/>
          <w:szCs w:val="24"/>
        </w:rPr>
        <w:t>demonstration of</w:t>
      </w:r>
      <w:r w:rsidR="00EF4633" w:rsidRPr="00EF4633">
        <w:rPr>
          <w:rFonts w:ascii="Times New Roman" w:hAnsi="Times New Roman"/>
          <w:sz w:val="24"/>
          <w:szCs w:val="24"/>
        </w:rPr>
        <w:t xml:space="preserve"> hostility</w:t>
      </w:r>
      <w:r w:rsidR="00EF4633">
        <w:rPr>
          <w:rFonts w:ascii="Times New Roman" w:hAnsi="Times New Roman"/>
          <w:sz w:val="24"/>
          <w:szCs w:val="24"/>
        </w:rPr>
        <w:t xml:space="preserve"> on account of Kremlin</w:t>
      </w:r>
      <w:r w:rsidR="00EF4633" w:rsidRPr="00EF4633">
        <w:rPr>
          <w:rFonts w:ascii="Times New Roman" w:hAnsi="Times New Roman"/>
          <w:sz w:val="24"/>
          <w:szCs w:val="24"/>
        </w:rPr>
        <w:t xml:space="preserve"> just </w:t>
      </w:r>
      <w:r w:rsidR="003A5602">
        <w:rPr>
          <w:rFonts w:ascii="Times New Roman" w:hAnsi="Times New Roman"/>
          <w:sz w:val="24"/>
          <w:szCs w:val="24"/>
        </w:rPr>
        <w:t>signifies the Russian Neo-imperialistic approach</w:t>
      </w:r>
      <w:r w:rsidR="00EF4633" w:rsidRPr="00EF4633">
        <w:rPr>
          <w:rFonts w:ascii="Times New Roman" w:hAnsi="Times New Roman"/>
          <w:sz w:val="24"/>
          <w:szCs w:val="24"/>
        </w:rPr>
        <w:t>. Russian animosity—first in the supposed "solidified clashes" like Transnistria, at that point in Georgia and now in Ukraine—has exploded backward, estranging perpetually non-Russian nations from Russia and hardening their free presence</w:t>
      </w:r>
      <w:r w:rsidR="006E54DB" w:rsidRPr="001942CA">
        <w:rPr>
          <w:rStyle w:val="FootnoteReference"/>
        </w:rPr>
        <w:footnoteReference w:id="3"/>
      </w:r>
      <w:r w:rsidR="00EF4633" w:rsidRPr="00EF4633">
        <w:rPr>
          <w:rFonts w:ascii="Times New Roman" w:hAnsi="Times New Roman"/>
          <w:sz w:val="24"/>
          <w:szCs w:val="24"/>
        </w:rPr>
        <w:t>. Furthermore</w:t>
      </w:r>
      <w:r w:rsidR="006A735D">
        <w:rPr>
          <w:rFonts w:ascii="Times New Roman" w:hAnsi="Times New Roman"/>
          <w:sz w:val="24"/>
          <w:szCs w:val="24"/>
        </w:rPr>
        <w:t xml:space="preserve">, </w:t>
      </w:r>
      <w:r w:rsidR="00EF4633" w:rsidRPr="00EF4633">
        <w:rPr>
          <w:rFonts w:ascii="Times New Roman" w:hAnsi="Times New Roman"/>
          <w:sz w:val="24"/>
          <w:szCs w:val="24"/>
        </w:rPr>
        <w:t>Moscow has lost the capacity to influence results in most if not the majority of the post-Soviet states</w:t>
      </w:r>
      <w:r w:rsidR="00EF4633">
        <w:rPr>
          <w:rFonts w:ascii="Times New Roman" w:hAnsi="Times New Roman"/>
          <w:sz w:val="24"/>
          <w:szCs w:val="24"/>
        </w:rPr>
        <w:t>. Precisely, Kremlin</w:t>
      </w:r>
      <w:r w:rsidR="00EF4633" w:rsidRPr="00EF4633">
        <w:rPr>
          <w:rFonts w:ascii="Times New Roman" w:hAnsi="Times New Roman"/>
          <w:sz w:val="24"/>
          <w:szCs w:val="24"/>
        </w:rPr>
        <w:t xml:space="preserve"> has lost two of the three components in the trinity of assets that characterize a domineering force</w:t>
      </w:r>
      <w:r w:rsidR="006E54DB" w:rsidRPr="001942CA">
        <w:rPr>
          <w:rStyle w:val="FootnoteReference"/>
        </w:rPr>
        <w:footnoteReference w:id="4"/>
      </w:r>
      <w:r w:rsidR="006E54DB">
        <w:rPr>
          <w:rFonts w:ascii="Times New Roman" w:hAnsi="Times New Roman"/>
          <w:sz w:val="24"/>
          <w:szCs w:val="24"/>
        </w:rPr>
        <w:t>.</w:t>
      </w:r>
      <w:r w:rsidR="00EF4633" w:rsidRPr="00EF4633">
        <w:rPr>
          <w:rFonts w:ascii="Times New Roman" w:hAnsi="Times New Roman"/>
          <w:sz w:val="24"/>
          <w:szCs w:val="24"/>
        </w:rPr>
        <w:t xml:space="preserve"> It never again gives an appealing model to others to imitate</w:t>
      </w:r>
      <w:r w:rsidR="006A735D">
        <w:rPr>
          <w:rFonts w:ascii="Times New Roman" w:hAnsi="Times New Roman"/>
          <w:sz w:val="24"/>
          <w:szCs w:val="24"/>
        </w:rPr>
        <w:t>.</w:t>
      </w:r>
    </w:p>
    <w:p w14:paraId="0292031E" w14:textId="1688181F" w:rsidR="006A735D" w:rsidRDefault="006A735D" w:rsidP="007C341D">
      <w:pPr>
        <w:spacing w:after="0" w:line="480" w:lineRule="auto"/>
        <w:rPr>
          <w:rFonts w:ascii="Times New Roman" w:hAnsi="Times New Roman"/>
          <w:sz w:val="24"/>
          <w:szCs w:val="24"/>
        </w:rPr>
      </w:pPr>
      <w:r>
        <w:rPr>
          <w:rFonts w:ascii="Times New Roman" w:hAnsi="Times New Roman"/>
          <w:sz w:val="24"/>
          <w:szCs w:val="24"/>
        </w:rPr>
        <w:tab/>
      </w:r>
      <w:r w:rsidR="00262925" w:rsidRPr="00262925">
        <w:rPr>
          <w:rFonts w:ascii="Times New Roman" w:hAnsi="Times New Roman"/>
          <w:sz w:val="24"/>
          <w:szCs w:val="24"/>
        </w:rPr>
        <w:t>China is confronting developing analysis over its abuse of some Muslim minority gatherings, immense quantities of whom are purportedly being held in internment camps</w:t>
      </w:r>
      <w:r w:rsidR="00810BC3" w:rsidRPr="001942CA">
        <w:rPr>
          <w:rStyle w:val="FootnoteReference"/>
        </w:rPr>
        <w:footnoteReference w:id="5"/>
      </w:r>
      <w:r w:rsidR="00262925" w:rsidRPr="00262925">
        <w:rPr>
          <w:rFonts w:ascii="Times New Roman" w:hAnsi="Times New Roman"/>
          <w:sz w:val="24"/>
          <w:szCs w:val="24"/>
        </w:rPr>
        <w:t>. one million Uighur Muslims and other Muslim gatherings could be being confined in the western Xinjiang district</w:t>
      </w:r>
      <w:r w:rsidR="00810BC3" w:rsidRPr="001942CA">
        <w:rPr>
          <w:rStyle w:val="FootnoteReference"/>
        </w:rPr>
        <w:footnoteReference w:id="6"/>
      </w:r>
      <w:r w:rsidR="00262925" w:rsidRPr="00262925">
        <w:rPr>
          <w:rFonts w:ascii="Times New Roman" w:hAnsi="Times New Roman"/>
          <w:sz w:val="24"/>
          <w:szCs w:val="24"/>
        </w:rPr>
        <w:t xml:space="preserve">. Human Rights Watch says Uighur individuals, specifically, are liable to </w:t>
      </w:r>
      <w:r w:rsidR="00262925" w:rsidRPr="00262925">
        <w:rPr>
          <w:rFonts w:ascii="Times New Roman" w:hAnsi="Times New Roman"/>
          <w:sz w:val="24"/>
          <w:szCs w:val="24"/>
        </w:rPr>
        <w:lastRenderedPageBreak/>
        <w:t>extreme reconnaissance and are made to give DNA and biometric tests. Those with relatives in 26 "delicate" nations have supposedly been gathered together, and up to a million kept.</w:t>
      </w:r>
      <w:r w:rsidR="00262925">
        <w:rPr>
          <w:rFonts w:ascii="Times New Roman" w:hAnsi="Times New Roman"/>
          <w:sz w:val="24"/>
          <w:szCs w:val="24"/>
        </w:rPr>
        <w:t xml:space="preserve"> </w:t>
      </w:r>
    </w:p>
    <w:p w14:paraId="7E1225F0" w14:textId="72E6443F" w:rsidR="00D92B55" w:rsidRDefault="00D92B55" w:rsidP="007C341D">
      <w:pPr>
        <w:spacing w:after="0" w:line="480" w:lineRule="auto"/>
        <w:rPr>
          <w:rFonts w:ascii="Times New Roman" w:hAnsi="Times New Roman"/>
          <w:sz w:val="24"/>
          <w:szCs w:val="24"/>
        </w:rPr>
      </w:pPr>
      <w:r>
        <w:rPr>
          <w:rFonts w:ascii="Times New Roman" w:hAnsi="Times New Roman"/>
          <w:sz w:val="24"/>
          <w:szCs w:val="24"/>
        </w:rPr>
        <w:tab/>
      </w:r>
      <w:r w:rsidR="00C5372D" w:rsidRPr="00C5372D">
        <w:rPr>
          <w:rFonts w:ascii="Times New Roman" w:hAnsi="Times New Roman"/>
          <w:sz w:val="24"/>
          <w:szCs w:val="24"/>
        </w:rPr>
        <w:t xml:space="preserve">The combination of Americans and Indians key intrigue not just bear Washington's definitive job in the Indo-Pacific locale yet additionally reinforce New Delhi's </w:t>
      </w:r>
      <w:r w:rsidR="00C5372D">
        <w:rPr>
          <w:rFonts w:ascii="Times New Roman" w:hAnsi="Times New Roman"/>
          <w:sz w:val="24"/>
          <w:szCs w:val="24"/>
        </w:rPr>
        <w:t>hegemony over</w:t>
      </w:r>
      <w:r w:rsidR="00C5372D" w:rsidRPr="00C5372D">
        <w:rPr>
          <w:rFonts w:ascii="Times New Roman" w:hAnsi="Times New Roman"/>
          <w:sz w:val="24"/>
          <w:szCs w:val="24"/>
        </w:rPr>
        <w:t xml:space="preserve"> Indian Ocean that it sees as its lawn</w:t>
      </w:r>
      <w:r w:rsidR="001F49B6" w:rsidRPr="001942CA">
        <w:rPr>
          <w:rStyle w:val="FootnoteReference"/>
        </w:rPr>
        <w:footnoteReference w:id="7"/>
      </w:r>
      <w:r w:rsidR="00C5372D" w:rsidRPr="00C5372D">
        <w:rPr>
          <w:rFonts w:ascii="Times New Roman" w:hAnsi="Times New Roman"/>
          <w:sz w:val="24"/>
          <w:szCs w:val="24"/>
        </w:rPr>
        <w:t xml:space="preserve">. The Americans support the Naval development of India in light of the fact that their 2017 National Security Strategy portrayed the Indo-Pacific as an area in which a geopolitical challenge among free and harsh dreams of world request is occurring. </w:t>
      </w:r>
      <w:r w:rsidR="00C5372D">
        <w:rPr>
          <w:rFonts w:ascii="Times New Roman" w:hAnsi="Times New Roman"/>
          <w:sz w:val="24"/>
          <w:szCs w:val="24"/>
        </w:rPr>
        <w:t>It is believed</w:t>
      </w:r>
      <w:r w:rsidR="00C5372D" w:rsidRPr="00C5372D">
        <w:rPr>
          <w:rFonts w:ascii="Times New Roman" w:hAnsi="Times New Roman"/>
          <w:sz w:val="24"/>
          <w:szCs w:val="24"/>
        </w:rPr>
        <w:t xml:space="preserve"> that blue-water Navy enables India to hinder exchange and oil traffic heading for China through the Malacca Straits and furthermore help the quadrilateral collaboration among India Japan, Australia, and United States</w:t>
      </w:r>
      <w:r w:rsidR="001F49B6" w:rsidRPr="001942CA">
        <w:rPr>
          <w:rStyle w:val="FootnoteReference"/>
        </w:rPr>
        <w:footnoteReference w:id="8"/>
      </w:r>
      <w:r w:rsidR="00C5372D" w:rsidRPr="00C5372D">
        <w:rPr>
          <w:rFonts w:ascii="Times New Roman" w:hAnsi="Times New Roman"/>
          <w:sz w:val="24"/>
          <w:szCs w:val="24"/>
        </w:rPr>
        <w:t>.</w:t>
      </w:r>
    </w:p>
    <w:p w14:paraId="06D5247E" w14:textId="6E717D78" w:rsidR="008F6E6F" w:rsidRDefault="008F6E6F" w:rsidP="007C341D">
      <w:pPr>
        <w:spacing w:after="0" w:line="480" w:lineRule="auto"/>
        <w:rPr>
          <w:rFonts w:ascii="Times New Roman" w:hAnsi="Times New Roman"/>
          <w:sz w:val="24"/>
          <w:szCs w:val="24"/>
        </w:rPr>
      </w:pPr>
      <w:r>
        <w:rPr>
          <w:rFonts w:ascii="Times New Roman" w:hAnsi="Times New Roman"/>
          <w:sz w:val="24"/>
          <w:szCs w:val="24"/>
        </w:rPr>
        <w:tab/>
      </w:r>
      <w:r w:rsidRPr="008F6E6F">
        <w:rPr>
          <w:rFonts w:ascii="Times New Roman" w:hAnsi="Times New Roman"/>
          <w:sz w:val="24"/>
          <w:szCs w:val="24"/>
        </w:rPr>
        <w:t xml:space="preserve">The uplifting news for Europe is that its </w:t>
      </w:r>
      <w:r>
        <w:rPr>
          <w:rFonts w:ascii="Times New Roman" w:hAnsi="Times New Roman"/>
          <w:sz w:val="24"/>
          <w:szCs w:val="24"/>
        </w:rPr>
        <w:t>higher class</w:t>
      </w:r>
      <w:r w:rsidRPr="008F6E6F">
        <w:rPr>
          <w:rFonts w:ascii="Times New Roman" w:hAnsi="Times New Roman"/>
          <w:sz w:val="24"/>
          <w:szCs w:val="24"/>
        </w:rPr>
        <w:t xml:space="preserve"> and conventional residents do concede to certain things. There is </w:t>
      </w:r>
      <w:r>
        <w:rPr>
          <w:rFonts w:ascii="Times New Roman" w:hAnsi="Times New Roman"/>
          <w:sz w:val="24"/>
          <w:szCs w:val="24"/>
        </w:rPr>
        <w:t xml:space="preserve">a strong backing </w:t>
      </w:r>
      <w:r w:rsidRPr="008F6E6F">
        <w:rPr>
          <w:rFonts w:ascii="Times New Roman" w:hAnsi="Times New Roman"/>
          <w:sz w:val="24"/>
          <w:szCs w:val="24"/>
        </w:rPr>
        <w:t>for solidarity and the possibility that the EU should be a redistributive association</w:t>
      </w:r>
      <w:r w:rsidR="00350C63" w:rsidRPr="001942CA">
        <w:rPr>
          <w:rStyle w:val="FootnoteReference"/>
        </w:rPr>
        <w:footnoteReference w:id="9"/>
      </w:r>
      <w:r w:rsidRPr="008F6E6F">
        <w:rPr>
          <w:rFonts w:ascii="Times New Roman" w:hAnsi="Times New Roman"/>
          <w:sz w:val="24"/>
          <w:szCs w:val="24"/>
        </w:rPr>
        <w:t xml:space="preserve">. In any case, the review additionally uncovered three significant territories of contradiction — among the </w:t>
      </w:r>
      <w:r>
        <w:rPr>
          <w:rFonts w:ascii="Times New Roman" w:hAnsi="Times New Roman"/>
          <w:sz w:val="24"/>
          <w:szCs w:val="24"/>
        </w:rPr>
        <w:t>elite</w:t>
      </w:r>
      <w:r w:rsidRPr="008F6E6F">
        <w:rPr>
          <w:rFonts w:ascii="Times New Roman" w:hAnsi="Times New Roman"/>
          <w:sz w:val="24"/>
          <w:szCs w:val="24"/>
        </w:rPr>
        <w:t xml:space="preserve">, between the </w:t>
      </w:r>
      <w:r>
        <w:rPr>
          <w:rFonts w:ascii="Times New Roman" w:hAnsi="Times New Roman"/>
          <w:sz w:val="24"/>
          <w:szCs w:val="24"/>
        </w:rPr>
        <w:t>elite</w:t>
      </w:r>
      <w:r w:rsidRPr="008F6E6F">
        <w:rPr>
          <w:rFonts w:ascii="Times New Roman" w:hAnsi="Times New Roman"/>
          <w:sz w:val="24"/>
          <w:szCs w:val="24"/>
        </w:rPr>
        <w:t xml:space="preserve"> and conventional residents, and between Europeans with various basic qualities</w:t>
      </w:r>
      <w:r w:rsidR="00350C63" w:rsidRPr="001942CA">
        <w:rPr>
          <w:rStyle w:val="FootnoteReference"/>
        </w:rPr>
        <w:footnoteReference w:id="10"/>
      </w:r>
      <w:r w:rsidRPr="008F6E6F">
        <w:rPr>
          <w:rFonts w:ascii="Times New Roman" w:hAnsi="Times New Roman"/>
          <w:sz w:val="24"/>
          <w:szCs w:val="24"/>
        </w:rPr>
        <w:t xml:space="preserve">. This difference between the Continent's </w:t>
      </w:r>
      <w:r>
        <w:rPr>
          <w:rFonts w:ascii="Times New Roman" w:hAnsi="Times New Roman"/>
          <w:sz w:val="24"/>
          <w:szCs w:val="24"/>
        </w:rPr>
        <w:t>elite class</w:t>
      </w:r>
      <w:r w:rsidRPr="008F6E6F">
        <w:rPr>
          <w:rFonts w:ascii="Times New Roman" w:hAnsi="Times New Roman"/>
          <w:sz w:val="24"/>
          <w:szCs w:val="24"/>
        </w:rPr>
        <w:t xml:space="preserve"> and normal voters</w:t>
      </w:r>
      <w:r>
        <w:rPr>
          <w:rFonts w:ascii="Times New Roman" w:hAnsi="Times New Roman"/>
          <w:sz w:val="24"/>
          <w:szCs w:val="24"/>
        </w:rPr>
        <w:t xml:space="preserve"> s</w:t>
      </w:r>
      <w:r w:rsidRPr="008F6E6F">
        <w:rPr>
          <w:rFonts w:ascii="Times New Roman" w:hAnsi="Times New Roman"/>
          <w:sz w:val="24"/>
          <w:szCs w:val="24"/>
        </w:rPr>
        <w:t>tretches out to different issues, a large number of which are fundamental to exploring the current political unrest over the Continent.</w:t>
      </w:r>
    </w:p>
    <w:p w14:paraId="24A17576" w14:textId="010D6DE1" w:rsidR="00120996" w:rsidRPr="00120996" w:rsidRDefault="00120996" w:rsidP="00120996">
      <w:pPr>
        <w:spacing w:after="0" w:line="480" w:lineRule="auto"/>
        <w:rPr>
          <w:rFonts w:ascii="Times New Roman" w:hAnsi="Times New Roman"/>
          <w:sz w:val="24"/>
          <w:szCs w:val="24"/>
        </w:rPr>
      </w:pPr>
      <w:r>
        <w:rPr>
          <w:rFonts w:ascii="Times New Roman" w:hAnsi="Times New Roman"/>
          <w:sz w:val="24"/>
          <w:szCs w:val="24"/>
        </w:rPr>
        <w:tab/>
      </w:r>
      <w:r w:rsidRPr="00120996">
        <w:rPr>
          <w:rFonts w:ascii="Times New Roman" w:hAnsi="Times New Roman"/>
          <w:sz w:val="24"/>
          <w:szCs w:val="24"/>
        </w:rPr>
        <w:t xml:space="preserve">A rising rate of transnational human streams among China and Africa, especially in the developing number of little Chinese privately-run companies that have been set up all over Africa, is an especially noticeable appearance of the bigger complex of thriving contact and </w:t>
      </w:r>
      <w:r w:rsidRPr="00120996">
        <w:rPr>
          <w:rFonts w:ascii="Times New Roman" w:hAnsi="Times New Roman"/>
          <w:sz w:val="24"/>
          <w:szCs w:val="24"/>
        </w:rPr>
        <w:lastRenderedPageBreak/>
        <w:t>inclusion</w:t>
      </w:r>
      <w:r>
        <w:rPr>
          <w:rFonts w:ascii="Times New Roman" w:hAnsi="Times New Roman"/>
          <w:sz w:val="24"/>
          <w:szCs w:val="24"/>
        </w:rPr>
        <w:t>.</w:t>
      </w:r>
      <w:r w:rsidRPr="00120996">
        <w:rPr>
          <w:rFonts w:ascii="Times New Roman" w:hAnsi="Times New Roman"/>
          <w:sz w:val="24"/>
          <w:szCs w:val="24"/>
        </w:rPr>
        <w:t xml:space="preserve"> China's objectives in Africa continue as before all through the mainland</w:t>
      </w:r>
      <w:r w:rsidR="003237B3" w:rsidRPr="001942CA">
        <w:rPr>
          <w:rStyle w:val="FootnoteReference"/>
        </w:rPr>
        <w:footnoteReference w:id="11"/>
      </w:r>
      <w:r w:rsidRPr="00120996">
        <w:rPr>
          <w:rFonts w:ascii="Times New Roman" w:hAnsi="Times New Roman"/>
          <w:sz w:val="24"/>
          <w:szCs w:val="24"/>
        </w:rPr>
        <w:t xml:space="preserve">. China expects to verify assets for its huge populace, advance development in Africa, </w:t>
      </w:r>
    </w:p>
    <w:p w14:paraId="12E74BFF" w14:textId="1755CAD1" w:rsidR="00120996" w:rsidRDefault="00120996" w:rsidP="00120996">
      <w:pPr>
        <w:spacing w:after="0" w:line="480" w:lineRule="auto"/>
        <w:rPr>
          <w:rFonts w:ascii="Times New Roman" w:hAnsi="Times New Roman"/>
          <w:sz w:val="24"/>
          <w:szCs w:val="24"/>
        </w:rPr>
      </w:pPr>
      <w:r w:rsidRPr="00120996">
        <w:rPr>
          <w:rFonts w:ascii="Times New Roman" w:hAnsi="Times New Roman"/>
          <w:sz w:val="24"/>
          <w:szCs w:val="24"/>
        </w:rPr>
        <w:t>furthermore, extend its effective reach. in more unfortunate nations, China centers around the much-required foundation</w:t>
      </w:r>
      <w:r w:rsidR="007C7B79">
        <w:rPr>
          <w:rFonts w:ascii="Times New Roman" w:hAnsi="Times New Roman"/>
          <w:sz w:val="24"/>
          <w:szCs w:val="24"/>
        </w:rPr>
        <w:t xml:space="preserve"> and infrastructure</w:t>
      </w:r>
      <w:r w:rsidR="00D31E24" w:rsidRPr="001942CA">
        <w:rPr>
          <w:rStyle w:val="FootnoteReference"/>
        </w:rPr>
        <w:footnoteReference w:id="12"/>
      </w:r>
      <w:r w:rsidR="007C7B79">
        <w:rPr>
          <w:rFonts w:ascii="Times New Roman" w:hAnsi="Times New Roman"/>
          <w:sz w:val="24"/>
          <w:szCs w:val="24"/>
        </w:rPr>
        <w:t xml:space="preserve">. </w:t>
      </w:r>
      <w:r w:rsidRPr="00120996">
        <w:rPr>
          <w:rFonts w:ascii="Times New Roman" w:hAnsi="Times New Roman"/>
          <w:sz w:val="24"/>
          <w:szCs w:val="24"/>
        </w:rPr>
        <w:t>In more extravagant nations, China can branch out into other, conceivably dubious, ventures.</w:t>
      </w:r>
    </w:p>
    <w:p w14:paraId="515279E8" w14:textId="39E9D3D6" w:rsidR="002E7F9D" w:rsidRDefault="002C32EC" w:rsidP="002C32EC">
      <w:pPr>
        <w:spacing w:after="0" w:line="480" w:lineRule="auto"/>
        <w:ind w:firstLine="720"/>
        <w:rPr>
          <w:rFonts w:ascii="Times New Roman" w:hAnsi="Times New Roman"/>
          <w:sz w:val="24"/>
          <w:szCs w:val="24"/>
        </w:rPr>
      </w:pPr>
      <w:bookmarkStart w:id="0" w:name="_GoBack"/>
      <w:r>
        <w:rPr>
          <w:rFonts w:ascii="Times New Roman" w:hAnsi="Times New Roman"/>
          <w:sz w:val="24"/>
          <w:szCs w:val="24"/>
        </w:rPr>
        <w:t>Following the</w:t>
      </w:r>
      <w:r w:rsidR="00C86DE2" w:rsidRPr="00C86DE2">
        <w:rPr>
          <w:rFonts w:ascii="Times New Roman" w:hAnsi="Times New Roman"/>
          <w:sz w:val="24"/>
          <w:szCs w:val="24"/>
        </w:rPr>
        <w:t xml:space="preserve"> World War II,</w:t>
      </w:r>
      <w:r>
        <w:rPr>
          <w:rFonts w:ascii="Times New Roman" w:hAnsi="Times New Roman"/>
          <w:sz w:val="24"/>
          <w:szCs w:val="24"/>
        </w:rPr>
        <w:t xml:space="preserve"> foreign policy of America since its inception </w:t>
      </w:r>
      <w:r w:rsidR="007A5305">
        <w:rPr>
          <w:rFonts w:ascii="Times New Roman" w:hAnsi="Times New Roman"/>
          <w:sz w:val="24"/>
          <w:szCs w:val="24"/>
        </w:rPr>
        <w:t>delineates</w:t>
      </w:r>
      <w:r w:rsidR="007A5305" w:rsidRPr="00C86DE2">
        <w:rPr>
          <w:rFonts w:ascii="Times New Roman" w:hAnsi="Times New Roman"/>
          <w:sz w:val="24"/>
          <w:szCs w:val="24"/>
        </w:rPr>
        <w:t xml:space="preserve"> that</w:t>
      </w:r>
      <w:r>
        <w:rPr>
          <w:rFonts w:ascii="Times New Roman" w:hAnsi="Times New Roman"/>
          <w:sz w:val="24"/>
          <w:szCs w:val="24"/>
        </w:rPr>
        <w:t xml:space="preserve"> </w:t>
      </w:r>
      <w:r w:rsidR="00C86DE2" w:rsidRPr="00C86DE2">
        <w:rPr>
          <w:rFonts w:ascii="Times New Roman" w:hAnsi="Times New Roman"/>
          <w:sz w:val="24"/>
          <w:szCs w:val="24"/>
        </w:rPr>
        <w:t>moral inquiries have coursed concerning the utilization of American power</w:t>
      </w:r>
      <w:r w:rsidR="00542F43" w:rsidRPr="001942CA">
        <w:rPr>
          <w:rStyle w:val="FootnoteReference"/>
        </w:rPr>
        <w:footnoteReference w:id="13"/>
      </w:r>
      <w:r w:rsidR="00C86DE2" w:rsidRPr="00C86DE2">
        <w:rPr>
          <w:rFonts w:ascii="Times New Roman" w:hAnsi="Times New Roman"/>
          <w:sz w:val="24"/>
          <w:szCs w:val="24"/>
        </w:rPr>
        <w:t>. American pragmatists</w:t>
      </w:r>
      <w:r w:rsidR="007A5305">
        <w:rPr>
          <w:rFonts w:ascii="Times New Roman" w:hAnsi="Times New Roman"/>
          <w:sz w:val="24"/>
          <w:szCs w:val="24"/>
        </w:rPr>
        <w:t xml:space="preserve"> on foreign policy</w:t>
      </w:r>
      <w:r w:rsidR="00C86DE2" w:rsidRPr="00C86DE2">
        <w:rPr>
          <w:rFonts w:ascii="Times New Roman" w:hAnsi="Times New Roman"/>
          <w:sz w:val="24"/>
          <w:szCs w:val="24"/>
        </w:rPr>
        <w:t xml:space="preserve">, for example, Henry Kissinger and Brent Scowcroft trust that the main real inspiration for the utilization of power abroad lies in the barrier of a basic national intrigue, while </w:t>
      </w:r>
      <w:proofErr w:type="spellStart"/>
      <w:r w:rsidRPr="00C86DE2">
        <w:rPr>
          <w:rFonts w:ascii="Times New Roman" w:hAnsi="Times New Roman"/>
          <w:sz w:val="24"/>
          <w:szCs w:val="24"/>
        </w:rPr>
        <w:t>Wilson</w:t>
      </w:r>
      <w:r>
        <w:rPr>
          <w:rFonts w:ascii="Times New Roman" w:hAnsi="Times New Roman"/>
          <w:sz w:val="24"/>
          <w:szCs w:val="24"/>
        </w:rPr>
        <w:t>ians</w:t>
      </w:r>
      <w:proofErr w:type="spellEnd"/>
      <w:r w:rsidR="00C86DE2">
        <w:rPr>
          <w:rFonts w:ascii="Times New Roman" w:hAnsi="Times New Roman"/>
          <w:sz w:val="24"/>
          <w:szCs w:val="24"/>
        </w:rPr>
        <w:t xml:space="preserve"> are of the</w:t>
      </w:r>
      <w:r w:rsidR="00C86DE2" w:rsidRPr="00C86DE2">
        <w:rPr>
          <w:rFonts w:ascii="Times New Roman" w:hAnsi="Times New Roman"/>
          <w:sz w:val="24"/>
          <w:szCs w:val="24"/>
        </w:rPr>
        <w:t xml:space="preserve"> </w:t>
      </w:r>
      <w:r w:rsidR="00C86DE2">
        <w:rPr>
          <w:rFonts w:ascii="Times New Roman" w:hAnsi="Times New Roman"/>
          <w:sz w:val="24"/>
          <w:szCs w:val="24"/>
        </w:rPr>
        <w:t>view</w:t>
      </w:r>
      <w:r w:rsidR="00C86DE2" w:rsidRPr="00C86DE2">
        <w:rPr>
          <w:rFonts w:ascii="Times New Roman" w:hAnsi="Times New Roman"/>
          <w:sz w:val="24"/>
          <w:szCs w:val="24"/>
        </w:rPr>
        <w:t xml:space="preserve"> that America's extraordinary power gives it tremendous duty to stop massacre or different abominations at whatever point conceivable. Given the grievous condition of worldwide common war, factionalism, psychological oppression, neediness, and dictatorship, it appears to be for all intents and purposes inconceivable for any president to succeed altogether whatsoever occasions</w:t>
      </w:r>
      <w:r w:rsidR="00542F43" w:rsidRPr="001942CA">
        <w:rPr>
          <w:rStyle w:val="FootnoteReference"/>
        </w:rPr>
        <w:footnoteReference w:id="14"/>
      </w:r>
      <w:r w:rsidR="00C86DE2" w:rsidRPr="00C86DE2">
        <w:rPr>
          <w:rFonts w:ascii="Times New Roman" w:hAnsi="Times New Roman"/>
          <w:sz w:val="24"/>
          <w:szCs w:val="24"/>
        </w:rPr>
        <w:t>. What's more, that is the incredible disaster of remote strategy.</w:t>
      </w:r>
    </w:p>
    <w:bookmarkEnd w:id="0"/>
    <w:p w14:paraId="5A7086E4" w14:textId="77777777" w:rsidR="002E7F9D" w:rsidRDefault="002E7F9D">
      <w:pPr>
        <w:spacing w:after="0" w:line="240" w:lineRule="auto"/>
        <w:rPr>
          <w:rFonts w:ascii="Times New Roman" w:hAnsi="Times New Roman"/>
          <w:sz w:val="24"/>
          <w:szCs w:val="24"/>
        </w:rPr>
      </w:pPr>
      <w:r>
        <w:rPr>
          <w:rFonts w:ascii="Times New Roman" w:hAnsi="Times New Roman"/>
          <w:sz w:val="24"/>
          <w:szCs w:val="24"/>
        </w:rPr>
        <w:br w:type="page"/>
      </w:r>
    </w:p>
    <w:p w14:paraId="136C3995" w14:textId="6CD07332" w:rsidR="00C86DE2" w:rsidRDefault="002E7F9D" w:rsidP="002E7F9D">
      <w:pPr>
        <w:spacing w:after="0" w:line="480" w:lineRule="auto"/>
        <w:ind w:firstLine="720"/>
        <w:jc w:val="center"/>
        <w:rPr>
          <w:rFonts w:ascii="Times New Roman" w:hAnsi="Times New Roman"/>
          <w:sz w:val="24"/>
          <w:szCs w:val="24"/>
        </w:rPr>
      </w:pPr>
      <w:r>
        <w:rPr>
          <w:rFonts w:ascii="Times New Roman" w:hAnsi="Times New Roman"/>
          <w:sz w:val="24"/>
          <w:szCs w:val="24"/>
        </w:rPr>
        <w:lastRenderedPageBreak/>
        <w:t>Bibliography</w:t>
      </w:r>
    </w:p>
    <w:p w14:paraId="14654A5A" w14:textId="77777777" w:rsidR="002E7F9D" w:rsidRPr="002E7F9D" w:rsidRDefault="002E7F9D" w:rsidP="002E7F9D">
      <w:pPr>
        <w:pStyle w:val="Bibliography"/>
        <w:spacing w:line="480" w:lineRule="auto"/>
        <w:rPr>
          <w:rFonts w:ascii="Times New Roman" w:hAnsi="Times New Roman"/>
          <w:sz w:val="24"/>
        </w:rPr>
      </w:pPr>
      <w:r>
        <w:fldChar w:fldCharType="begin"/>
      </w:r>
      <w:r>
        <w:instrText xml:space="preserve"> ADDIN ZOTERO_BIBL {"uncited":[],"omitted":[],"custom":[]} CSL_BIBLIOGRAPHY </w:instrText>
      </w:r>
      <w:r>
        <w:fldChar w:fldCharType="separate"/>
      </w:r>
      <w:r w:rsidRPr="002E7F9D">
        <w:rPr>
          <w:rFonts w:ascii="Times New Roman" w:hAnsi="Times New Roman"/>
          <w:sz w:val="24"/>
        </w:rPr>
        <w:t>Amin, Ash, and Philip Lewis. “EUROPEAN UNION AND DISUNION,” n.d., 104.</w:t>
      </w:r>
    </w:p>
    <w:p w14:paraId="0CE22907" w14:textId="77777777" w:rsidR="002E7F9D" w:rsidRPr="002E7F9D" w:rsidRDefault="002E7F9D" w:rsidP="002E7F9D">
      <w:pPr>
        <w:pStyle w:val="Bibliography"/>
        <w:spacing w:line="480" w:lineRule="auto"/>
        <w:rPr>
          <w:rFonts w:ascii="Times New Roman" w:hAnsi="Times New Roman"/>
          <w:sz w:val="24"/>
        </w:rPr>
      </w:pPr>
      <w:proofErr w:type="spellStart"/>
      <w:r w:rsidRPr="002E7F9D">
        <w:rPr>
          <w:rFonts w:ascii="Times New Roman" w:hAnsi="Times New Roman"/>
          <w:sz w:val="24"/>
        </w:rPr>
        <w:t>Auslin</w:t>
      </w:r>
      <w:proofErr w:type="spellEnd"/>
      <w:r w:rsidRPr="002E7F9D">
        <w:rPr>
          <w:rFonts w:ascii="Times New Roman" w:hAnsi="Times New Roman"/>
          <w:sz w:val="24"/>
        </w:rPr>
        <w:t xml:space="preserve">, Michael R. “The Question of American Strategy in the Indo-Pacific.” </w:t>
      </w:r>
      <w:r w:rsidRPr="002E7F9D">
        <w:rPr>
          <w:rFonts w:ascii="Times New Roman" w:hAnsi="Times New Roman"/>
          <w:i/>
          <w:iCs/>
          <w:sz w:val="24"/>
        </w:rPr>
        <w:t>Stanford University</w:t>
      </w:r>
      <w:r w:rsidRPr="002E7F9D">
        <w:rPr>
          <w:rFonts w:ascii="Times New Roman" w:hAnsi="Times New Roman"/>
          <w:sz w:val="24"/>
        </w:rPr>
        <w:t>, n.d., 20.</w:t>
      </w:r>
    </w:p>
    <w:p w14:paraId="5B4CAC36" w14:textId="77777777" w:rsidR="002E7F9D" w:rsidRPr="002E7F9D" w:rsidRDefault="002E7F9D" w:rsidP="002E7F9D">
      <w:pPr>
        <w:pStyle w:val="Bibliography"/>
        <w:spacing w:line="480" w:lineRule="auto"/>
        <w:rPr>
          <w:rFonts w:ascii="Times New Roman" w:hAnsi="Times New Roman"/>
          <w:sz w:val="24"/>
        </w:rPr>
      </w:pPr>
      <w:r w:rsidRPr="002E7F9D">
        <w:rPr>
          <w:rFonts w:ascii="Times New Roman" w:hAnsi="Times New Roman"/>
          <w:sz w:val="24"/>
        </w:rPr>
        <w:t xml:space="preserve">Ayodele, Thompson, and Olusegun </w:t>
      </w:r>
      <w:proofErr w:type="spellStart"/>
      <w:r w:rsidRPr="002E7F9D">
        <w:rPr>
          <w:rFonts w:ascii="Times New Roman" w:hAnsi="Times New Roman"/>
          <w:sz w:val="24"/>
        </w:rPr>
        <w:t>Sotola</w:t>
      </w:r>
      <w:proofErr w:type="spellEnd"/>
      <w:r w:rsidRPr="002E7F9D">
        <w:rPr>
          <w:rFonts w:ascii="Times New Roman" w:hAnsi="Times New Roman"/>
          <w:sz w:val="24"/>
        </w:rPr>
        <w:t>. “China in Africa: An Evaluation of Chinese Investment,” 2014, 20.</w:t>
      </w:r>
    </w:p>
    <w:p w14:paraId="27777613" w14:textId="77777777" w:rsidR="002E7F9D" w:rsidRPr="002E7F9D" w:rsidRDefault="002E7F9D" w:rsidP="002E7F9D">
      <w:pPr>
        <w:pStyle w:val="Bibliography"/>
        <w:spacing w:line="480" w:lineRule="auto"/>
        <w:rPr>
          <w:rFonts w:ascii="Times New Roman" w:hAnsi="Times New Roman"/>
          <w:sz w:val="24"/>
        </w:rPr>
      </w:pPr>
      <w:proofErr w:type="spellStart"/>
      <w:r w:rsidRPr="002E7F9D">
        <w:rPr>
          <w:rFonts w:ascii="Times New Roman" w:hAnsi="Times New Roman"/>
          <w:sz w:val="24"/>
        </w:rPr>
        <w:t>Bellér</w:t>
      </w:r>
      <w:proofErr w:type="spellEnd"/>
      <w:r w:rsidRPr="002E7F9D">
        <w:rPr>
          <w:rFonts w:ascii="Times New Roman" w:hAnsi="Times New Roman"/>
          <w:sz w:val="24"/>
        </w:rPr>
        <w:t xml:space="preserve">-Hann, </w:t>
      </w:r>
      <w:proofErr w:type="spellStart"/>
      <w:r w:rsidRPr="002E7F9D">
        <w:rPr>
          <w:rFonts w:ascii="Times New Roman" w:hAnsi="Times New Roman"/>
          <w:sz w:val="24"/>
        </w:rPr>
        <w:t>Ildikó</w:t>
      </w:r>
      <w:proofErr w:type="spellEnd"/>
      <w:r w:rsidRPr="002E7F9D">
        <w:rPr>
          <w:rFonts w:ascii="Times New Roman" w:hAnsi="Times New Roman"/>
          <w:sz w:val="24"/>
        </w:rPr>
        <w:t xml:space="preserve">. </w:t>
      </w:r>
      <w:r w:rsidRPr="002E7F9D">
        <w:rPr>
          <w:rFonts w:ascii="Times New Roman" w:hAnsi="Times New Roman"/>
          <w:i/>
          <w:iCs/>
          <w:sz w:val="24"/>
        </w:rPr>
        <w:t>Situating the Uyghurs between China and Central Asia</w:t>
      </w:r>
      <w:r w:rsidRPr="002E7F9D">
        <w:rPr>
          <w:rFonts w:ascii="Times New Roman" w:hAnsi="Times New Roman"/>
          <w:sz w:val="24"/>
        </w:rPr>
        <w:t>. Ashgate Publishing, Ltd., 2007.</w:t>
      </w:r>
    </w:p>
    <w:p w14:paraId="2CF9844E" w14:textId="77777777" w:rsidR="002E7F9D" w:rsidRPr="002E7F9D" w:rsidRDefault="002E7F9D" w:rsidP="002E7F9D">
      <w:pPr>
        <w:pStyle w:val="Bibliography"/>
        <w:spacing w:line="480" w:lineRule="auto"/>
        <w:rPr>
          <w:rFonts w:ascii="Times New Roman" w:hAnsi="Times New Roman"/>
          <w:sz w:val="24"/>
        </w:rPr>
      </w:pPr>
      <w:proofErr w:type="spellStart"/>
      <w:r w:rsidRPr="002E7F9D">
        <w:rPr>
          <w:rFonts w:ascii="Times New Roman" w:hAnsi="Times New Roman"/>
          <w:sz w:val="24"/>
        </w:rPr>
        <w:t>Chambon</w:t>
      </w:r>
      <w:proofErr w:type="spellEnd"/>
      <w:r w:rsidRPr="002E7F9D">
        <w:rPr>
          <w:rFonts w:ascii="Times New Roman" w:hAnsi="Times New Roman"/>
          <w:sz w:val="24"/>
        </w:rPr>
        <w:t xml:space="preserve">, </w:t>
      </w:r>
      <w:proofErr w:type="spellStart"/>
      <w:r w:rsidRPr="002E7F9D">
        <w:rPr>
          <w:rFonts w:ascii="Times New Roman" w:hAnsi="Times New Roman"/>
          <w:sz w:val="24"/>
        </w:rPr>
        <w:t>Nadège</w:t>
      </w:r>
      <w:proofErr w:type="spellEnd"/>
      <w:r w:rsidRPr="002E7F9D">
        <w:rPr>
          <w:rFonts w:ascii="Times New Roman" w:hAnsi="Times New Roman"/>
          <w:sz w:val="24"/>
        </w:rPr>
        <w:t xml:space="preserve">. “Is the CAP a Ground for European </w:t>
      </w:r>
      <w:proofErr w:type="gramStart"/>
      <w:r w:rsidRPr="002E7F9D">
        <w:rPr>
          <w:rFonts w:ascii="Times New Roman" w:hAnsi="Times New Roman"/>
          <w:sz w:val="24"/>
        </w:rPr>
        <w:t>Disunion?,</w:t>
      </w:r>
      <w:proofErr w:type="gramEnd"/>
      <w:r w:rsidRPr="002E7F9D">
        <w:rPr>
          <w:rFonts w:ascii="Times New Roman" w:hAnsi="Times New Roman"/>
          <w:sz w:val="24"/>
        </w:rPr>
        <w:t>” n.d., 62.</w:t>
      </w:r>
    </w:p>
    <w:p w14:paraId="7B557029" w14:textId="77777777" w:rsidR="002E7F9D" w:rsidRPr="002E7F9D" w:rsidRDefault="002E7F9D" w:rsidP="002E7F9D">
      <w:pPr>
        <w:pStyle w:val="Bibliography"/>
        <w:spacing w:line="480" w:lineRule="auto"/>
        <w:rPr>
          <w:rFonts w:ascii="Times New Roman" w:hAnsi="Times New Roman"/>
          <w:sz w:val="24"/>
        </w:rPr>
      </w:pPr>
      <w:r w:rsidRPr="002E7F9D">
        <w:rPr>
          <w:rFonts w:ascii="Times New Roman" w:hAnsi="Times New Roman"/>
          <w:sz w:val="24"/>
        </w:rPr>
        <w:t>Choi, Seung-</w:t>
      </w:r>
      <w:proofErr w:type="spellStart"/>
      <w:r w:rsidRPr="002E7F9D">
        <w:rPr>
          <w:rFonts w:ascii="Times New Roman" w:hAnsi="Times New Roman"/>
          <w:sz w:val="24"/>
        </w:rPr>
        <w:t>Whan</w:t>
      </w:r>
      <w:proofErr w:type="spellEnd"/>
      <w:r w:rsidRPr="002E7F9D">
        <w:rPr>
          <w:rFonts w:ascii="Times New Roman" w:hAnsi="Times New Roman"/>
          <w:sz w:val="24"/>
        </w:rPr>
        <w:t xml:space="preserve">, and Patrick James. “Are US Foreign Policy Tools Effective in Improving Human Rights Conditions?” </w:t>
      </w:r>
      <w:r w:rsidRPr="002E7F9D">
        <w:rPr>
          <w:rFonts w:ascii="Times New Roman" w:hAnsi="Times New Roman"/>
          <w:i/>
          <w:iCs/>
          <w:sz w:val="24"/>
        </w:rPr>
        <w:t>The Chinese Journal of International Politics</w:t>
      </w:r>
      <w:r w:rsidRPr="002E7F9D">
        <w:rPr>
          <w:rFonts w:ascii="Times New Roman" w:hAnsi="Times New Roman"/>
          <w:sz w:val="24"/>
        </w:rPr>
        <w:t xml:space="preserve"> 10, no. 3 (September 1, 2017): 331–56. https://doi.org/10.1093/cjip/pox010.</w:t>
      </w:r>
    </w:p>
    <w:p w14:paraId="17BCCE35" w14:textId="77777777" w:rsidR="002E7F9D" w:rsidRPr="002E7F9D" w:rsidRDefault="002E7F9D" w:rsidP="002E7F9D">
      <w:pPr>
        <w:pStyle w:val="Bibliography"/>
        <w:spacing w:line="480" w:lineRule="auto"/>
        <w:rPr>
          <w:rFonts w:ascii="Times New Roman" w:hAnsi="Times New Roman"/>
          <w:sz w:val="24"/>
        </w:rPr>
      </w:pPr>
      <w:r w:rsidRPr="002E7F9D">
        <w:rPr>
          <w:rFonts w:ascii="Times New Roman" w:hAnsi="Times New Roman"/>
          <w:sz w:val="24"/>
        </w:rPr>
        <w:t>Clarke, Michael. “China and the Uyghurs: The ‘</w:t>
      </w:r>
      <w:proofErr w:type="spellStart"/>
      <w:r w:rsidRPr="002E7F9D">
        <w:rPr>
          <w:rFonts w:ascii="Times New Roman" w:hAnsi="Times New Roman"/>
          <w:sz w:val="24"/>
        </w:rPr>
        <w:t>Palestinization</w:t>
      </w:r>
      <w:proofErr w:type="spellEnd"/>
      <w:r w:rsidRPr="002E7F9D">
        <w:rPr>
          <w:rFonts w:ascii="Times New Roman" w:hAnsi="Times New Roman"/>
          <w:sz w:val="24"/>
        </w:rPr>
        <w:t xml:space="preserve">’ of Xinjiang?” </w:t>
      </w:r>
      <w:r w:rsidRPr="002E7F9D">
        <w:rPr>
          <w:rFonts w:ascii="Times New Roman" w:hAnsi="Times New Roman"/>
          <w:i/>
          <w:iCs/>
          <w:sz w:val="24"/>
        </w:rPr>
        <w:t>Middle East Policy</w:t>
      </w:r>
      <w:r w:rsidRPr="002E7F9D">
        <w:rPr>
          <w:rFonts w:ascii="Times New Roman" w:hAnsi="Times New Roman"/>
          <w:sz w:val="24"/>
        </w:rPr>
        <w:t xml:space="preserve"> 22, no. 3 (2015): 127–146.</w:t>
      </w:r>
    </w:p>
    <w:p w14:paraId="413F7DBA" w14:textId="77777777" w:rsidR="002E7F9D" w:rsidRPr="002E7F9D" w:rsidRDefault="002E7F9D" w:rsidP="002E7F9D">
      <w:pPr>
        <w:pStyle w:val="Bibliography"/>
        <w:spacing w:line="480" w:lineRule="auto"/>
        <w:rPr>
          <w:rFonts w:ascii="Times New Roman" w:hAnsi="Times New Roman"/>
          <w:sz w:val="24"/>
        </w:rPr>
      </w:pPr>
      <w:r w:rsidRPr="002E7F9D">
        <w:rPr>
          <w:rFonts w:ascii="Times New Roman" w:hAnsi="Times New Roman"/>
          <w:sz w:val="24"/>
        </w:rPr>
        <w:t xml:space="preserve">Khurana, Gurpreet. </w:t>
      </w:r>
      <w:r w:rsidRPr="002E7F9D">
        <w:rPr>
          <w:rFonts w:ascii="Times New Roman" w:hAnsi="Times New Roman"/>
          <w:i/>
          <w:iCs/>
          <w:sz w:val="24"/>
        </w:rPr>
        <w:t>THE INDO-PACIFIC REGION: The Emerging Geopolitical and Security Environment (Book, 2018)</w:t>
      </w:r>
      <w:r w:rsidRPr="002E7F9D">
        <w:rPr>
          <w:rFonts w:ascii="Times New Roman" w:hAnsi="Times New Roman"/>
          <w:sz w:val="24"/>
        </w:rPr>
        <w:t>. Accessed May 11, 2019. https://www.academia.edu/35884449/THE_INDO-PACIFIC_REGION_The_Emerging_Geopolitical_and_Security_Environment_Book_2018_.</w:t>
      </w:r>
    </w:p>
    <w:p w14:paraId="3BC7246F" w14:textId="77777777" w:rsidR="002E7F9D" w:rsidRPr="002E7F9D" w:rsidRDefault="002E7F9D" w:rsidP="002E7F9D">
      <w:pPr>
        <w:pStyle w:val="Bibliography"/>
        <w:spacing w:line="480" w:lineRule="auto"/>
        <w:rPr>
          <w:rFonts w:ascii="Times New Roman" w:hAnsi="Times New Roman"/>
          <w:sz w:val="24"/>
        </w:rPr>
      </w:pPr>
      <w:proofErr w:type="spellStart"/>
      <w:r w:rsidRPr="002E7F9D">
        <w:rPr>
          <w:rFonts w:ascii="Times New Roman" w:hAnsi="Times New Roman"/>
          <w:sz w:val="24"/>
        </w:rPr>
        <w:t>Kreutzmann</w:t>
      </w:r>
      <w:proofErr w:type="spellEnd"/>
      <w:r w:rsidRPr="002E7F9D">
        <w:rPr>
          <w:rFonts w:ascii="Times New Roman" w:hAnsi="Times New Roman"/>
          <w:sz w:val="24"/>
        </w:rPr>
        <w:t xml:space="preserve">, Hermann. “Kashmir and the Northern Areas of Pakistan: Boundary-Making along Contested Frontiers.” </w:t>
      </w:r>
      <w:proofErr w:type="spellStart"/>
      <w:r w:rsidRPr="002E7F9D">
        <w:rPr>
          <w:rFonts w:ascii="Times New Roman" w:hAnsi="Times New Roman"/>
          <w:i/>
          <w:iCs/>
          <w:sz w:val="24"/>
        </w:rPr>
        <w:t>Erdkunde</w:t>
      </w:r>
      <w:proofErr w:type="spellEnd"/>
      <w:r w:rsidRPr="002E7F9D">
        <w:rPr>
          <w:rFonts w:ascii="Times New Roman" w:hAnsi="Times New Roman"/>
          <w:sz w:val="24"/>
        </w:rPr>
        <w:t>, 2008, 201–219.</w:t>
      </w:r>
    </w:p>
    <w:p w14:paraId="61CD8453" w14:textId="77777777" w:rsidR="002E7F9D" w:rsidRPr="002E7F9D" w:rsidRDefault="002E7F9D" w:rsidP="002E7F9D">
      <w:pPr>
        <w:pStyle w:val="Bibliography"/>
        <w:spacing w:line="480" w:lineRule="auto"/>
        <w:rPr>
          <w:rFonts w:ascii="Times New Roman" w:hAnsi="Times New Roman"/>
          <w:sz w:val="24"/>
        </w:rPr>
      </w:pPr>
      <w:proofErr w:type="spellStart"/>
      <w:r w:rsidRPr="002E7F9D">
        <w:rPr>
          <w:rFonts w:ascii="Times New Roman" w:hAnsi="Times New Roman"/>
          <w:sz w:val="24"/>
        </w:rPr>
        <w:t>Kuchins</w:t>
      </w:r>
      <w:proofErr w:type="spellEnd"/>
      <w:r w:rsidRPr="002E7F9D">
        <w:rPr>
          <w:rFonts w:ascii="Times New Roman" w:hAnsi="Times New Roman"/>
          <w:sz w:val="24"/>
        </w:rPr>
        <w:t xml:space="preserve">, Andrew C., and Igor A. </w:t>
      </w:r>
      <w:proofErr w:type="spellStart"/>
      <w:r w:rsidRPr="002E7F9D">
        <w:rPr>
          <w:rFonts w:ascii="Times New Roman" w:hAnsi="Times New Roman"/>
          <w:sz w:val="24"/>
        </w:rPr>
        <w:t>Zevelev</w:t>
      </w:r>
      <w:proofErr w:type="spellEnd"/>
      <w:r w:rsidRPr="002E7F9D">
        <w:rPr>
          <w:rFonts w:ascii="Times New Roman" w:hAnsi="Times New Roman"/>
          <w:sz w:val="24"/>
        </w:rPr>
        <w:t xml:space="preserve">. “Russian Foreign Policy: Continuity in Change.” </w:t>
      </w:r>
      <w:r w:rsidRPr="002E7F9D">
        <w:rPr>
          <w:rFonts w:ascii="Times New Roman" w:hAnsi="Times New Roman"/>
          <w:i/>
          <w:iCs/>
          <w:sz w:val="24"/>
        </w:rPr>
        <w:t>The Washington Quarterly</w:t>
      </w:r>
      <w:r w:rsidRPr="002E7F9D">
        <w:rPr>
          <w:rFonts w:ascii="Times New Roman" w:hAnsi="Times New Roman"/>
          <w:sz w:val="24"/>
        </w:rPr>
        <w:t xml:space="preserve"> 35, no. 1 (2012): 147–161.</w:t>
      </w:r>
    </w:p>
    <w:p w14:paraId="245A415D" w14:textId="77777777" w:rsidR="002E7F9D" w:rsidRPr="002E7F9D" w:rsidRDefault="002E7F9D" w:rsidP="002E7F9D">
      <w:pPr>
        <w:pStyle w:val="Bibliography"/>
        <w:spacing w:line="480" w:lineRule="auto"/>
        <w:rPr>
          <w:rFonts w:ascii="Times New Roman" w:hAnsi="Times New Roman"/>
          <w:sz w:val="24"/>
        </w:rPr>
      </w:pPr>
      <w:proofErr w:type="spellStart"/>
      <w:r w:rsidRPr="002E7F9D">
        <w:rPr>
          <w:rFonts w:ascii="Times New Roman" w:hAnsi="Times New Roman"/>
          <w:sz w:val="24"/>
        </w:rPr>
        <w:lastRenderedPageBreak/>
        <w:t>Mansourov</w:t>
      </w:r>
      <w:proofErr w:type="spellEnd"/>
      <w:r w:rsidRPr="002E7F9D">
        <w:rPr>
          <w:rFonts w:ascii="Times New Roman" w:hAnsi="Times New Roman"/>
          <w:sz w:val="24"/>
        </w:rPr>
        <w:t xml:space="preserve">, Alexandre Y. “Mercantilism and Neo-Imperialism in Russian Foreign Policy during President Putin’s 2nd Term.” </w:t>
      </w:r>
      <w:r w:rsidRPr="002E7F9D">
        <w:rPr>
          <w:rFonts w:ascii="Times New Roman" w:hAnsi="Times New Roman"/>
          <w:i/>
          <w:iCs/>
          <w:sz w:val="24"/>
        </w:rPr>
        <w:t>The Korean Journal of Defense Analysis</w:t>
      </w:r>
      <w:r w:rsidRPr="002E7F9D">
        <w:rPr>
          <w:rFonts w:ascii="Times New Roman" w:hAnsi="Times New Roman"/>
          <w:sz w:val="24"/>
        </w:rPr>
        <w:t xml:space="preserve"> 17, no. 1 (2005): 151–184.</w:t>
      </w:r>
    </w:p>
    <w:p w14:paraId="358A6520" w14:textId="77777777" w:rsidR="002E7F9D" w:rsidRPr="002E7F9D" w:rsidRDefault="002E7F9D" w:rsidP="002E7F9D">
      <w:pPr>
        <w:pStyle w:val="Bibliography"/>
        <w:spacing w:line="480" w:lineRule="auto"/>
        <w:rPr>
          <w:rFonts w:ascii="Times New Roman" w:hAnsi="Times New Roman"/>
          <w:sz w:val="24"/>
        </w:rPr>
      </w:pPr>
      <w:proofErr w:type="spellStart"/>
      <w:r w:rsidRPr="002E7F9D">
        <w:rPr>
          <w:rFonts w:ascii="Times New Roman" w:hAnsi="Times New Roman"/>
          <w:sz w:val="24"/>
        </w:rPr>
        <w:t>Remnick</w:t>
      </w:r>
      <w:proofErr w:type="spellEnd"/>
      <w:r w:rsidRPr="002E7F9D">
        <w:rPr>
          <w:rFonts w:ascii="Times New Roman" w:hAnsi="Times New Roman"/>
          <w:sz w:val="24"/>
        </w:rPr>
        <w:t xml:space="preserve">, Noah. “American Interventionism and the Tragedy of Foreign Policy.” </w:t>
      </w:r>
      <w:r w:rsidRPr="002E7F9D">
        <w:rPr>
          <w:rFonts w:ascii="Times New Roman" w:hAnsi="Times New Roman"/>
          <w:i/>
          <w:iCs/>
          <w:sz w:val="24"/>
        </w:rPr>
        <w:t>The Politic</w:t>
      </w:r>
      <w:r w:rsidRPr="002E7F9D">
        <w:rPr>
          <w:rFonts w:ascii="Times New Roman" w:hAnsi="Times New Roman"/>
          <w:sz w:val="24"/>
        </w:rPr>
        <w:t xml:space="preserve"> (blog), December 20, 2011. http://thepolitic.org/american-interventionism-and-the-tragedy-of-foreign-policy/.</w:t>
      </w:r>
    </w:p>
    <w:p w14:paraId="19565C63" w14:textId="77777777" w:rsidR="002E7F9D" w:rsidRPr="002E7F9D" w:rsidRDefault="002E7F9D" w:rsidP="002E7F9D">
      <w:pPr>
        <w:pStyle w:val="Bibliography"/>
        <w:spacing w:line="480" w:lineRule="auto"/>
        <w:rPr>
          <w:rFonts w:ascii="Times New Roman" w:hAnsi="Times New Roman"/>
          <w:sz w:val="24"/>
        </w:rPr>
      </w:pPr>
      <w:r w:rsidRPr="002E7F9D">
        <w:rPr>
          <w:rFonts w:ascii="Times New Roman" w:hAnsi="Times New Roman"/>
          <w:sz w:val="24"/>
        </w:rPr>
        <w:t>Savino, Shahn M. “Friend or Foe: Perceptions of China in Africa,” n.d., 26.</w:t>
      </w:r>
    </w:p>
    <w:p w14:paraId="2122FAB0" w14:textId="77777777" w:rsidR="002E7F9D" w:rsidRPr="002E7F9D" w:rsidRDefault="002E7F9D" w:rsidP="002E7F9D">
      <w:pPr>
        <w:pStyle w:val="Bibliography"/>
        <w:spacing w:line="480" w:lineRule="auto"/>
        <w:rPr>
          <w:rFonts w:ascii="Times New Roman" w:hAnsi="Times New Roman"/>
          <w:sz w:val="24"/>
        </w:rPr>
      </w:pPr>
      <w:r w:rsidRPr="002E7F9D">
        <w:rPr>
          <w:rFonts w:ascii="Times New Roman" w:hAnsi="Times New Roman"/>
          <w:sz w:val="24"/>
        </w:rPr>
        <w:t xml:space="preserve">Schofield, Victoria. </w:t>
      </w:r>
      <w:r w:rsidRPr="002E7F9D">
        <w:rPr>
          <w:rFonts w:ascii="Times New Roman" w:hAnsi="Times New Roman"/>
          <w:i/>
          <w:iCs/>
          <w:sz w:val="24"/>
        </w:rPr>
        <w:t>Kashmir in Conflict: India, Pakistan and the Unending War</w:t>
      </w:r>
      <w:r w:rsidRPr="002E7F9D">
        <w:rPr>
          <w:rFonts w:ascii="Times New Roman" w:hAnsi="Times New Roman"/>
          <w:sz w:val="24"/>
        </w:rPr>
        <w:t>. Bloomsbury Publishing, 2010.</w:t>
      </w:r>
    </w:p>
    <w:p w14:paraId="13E049B7" w14:textId="250BA3F2" w:rsidR="002E7F9D" w:rsidRDefault="002E7F9D" w:rsidP="002E7F9D">
      <w:pPr>
        <w:spacing w:after="0" w:line="480" w:lineRule="auto"/>
        <w:ind w:firstLine="720"/>
        <w:rPr>
          <w:rFonts w:ascii="Times New Roman" w:hAnsi="Times New Roman"/>
          <w:sz w:val="24"/>
          <w:szCs w:val="24"/>
        </w:rPr>
      </w:pPr>
      <w:r>
        <w:rPr>
          <w:rFonts w:ascii="Times New Roman" w:hAnsi="Times New Roman"/>
          <w:sz w:val="24"/>
          <w:szCs w:val="24"/>
        </w:rPr>
        <w:fldChar w:fldCharType="end"/>
      </w:r>
    </w:p>
    <w:p w14:paraId="7B8FC83C" w14:textId="56019FA1" w:rsidR="00C86DE2" w:rsidRDefault="00C86DE2" w:rsidP="00120996">
      <w:pPr>
        <w:spacing w:after="0" w:line="480" w:lineRule="auto"/>
        <w:rPr>
          <w:rFonts w:ascii="Times New Roman" w:hAnsi="Times New Roman"/>
          <w:sz w:val="24"/>
          <w:szCs w:val="24"/>
        </w:rPr>
      </w:pPr>
      <w:r>
        <w:rPr>
          <w:rFonts w:ascii="Times New Roman" w:hAnsi="Times New Roman"/>
          <w:sz w:val="24"/>
          <w:szCs w:val="24"/>
        </w:rPr>
        <w:tab/>
      </w:r>
    </w:p>
    <w:p w14:paraId="7FE8B3ED" w14:textId="1D4B9724" w:rsidR="007D0A47" w:rsidRPr="00D6664A" w:rsidRDefault="007D0A47" w:rsidP="00120996">
      <w:pPr>
        <w:spacing w:after="0" w:line="480" w:lineRule="auto"/>
        <w:rPr>
          <w:rFonts w:ascii="Times New Roman" w:hAnsi="Times New Roman"/>
          <w:sz w:val="24"/>
          <w:szCs w:val="24"/>
        </w:rPr>
      </w:pPr>
      <w:r>
        <w:rPr>
          <w:rFonts w:ascii="Times New Roman" w:hAnsi="Times New Roman"/>
          <w:sz w:val="24"/>
          <w:szCs w:val="24"/>
        </w:rPr>
        <w:tab/>
      </w:r>
    </w:p>
    <w:sectPr w:rsidR="007D0A47" w:rsidRPr="00D6664A" w:rsidSect="00CF487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86E03" w14:textId="77777777" w:rsidR="00DA5E98" w:rsidRDefault="00DA5E98" w:rsidP="00CF4875">
      <w:pPr>
        <w:spacing w:after="0" w:line="240" w:lineRule="auto"/>
      </w:pPr>
      <w:r>
        <w:separator/>
      </w:r>
    </w:p>
  </w:endnote>
  <w:endnote w:type="continuationSeparator" w:id="0">
    <w:p w14:paraId="4813FABB" w14:textId="77777777" w:rsidR="00DA5E98" w:rsidRDefault="00DA5E98" w:rsidP="00CF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28AE3" w14:textId="77777777" w:rsidR="00DA5E98" w:rsidRDefault="00DA5E98" w:rsidP="00CF4875">
      <w:pPr>
        <w:spacing w:after="0" w:line="240" w:lineRule="auto"/>
      </w:pPr>
      <w:r>
        <w:separator/>
      </w:r>
    </w:p>
  </w:footnote>
  <w:footnote w:type="continuationSeparator" w:id="0">
    <w:p w14:paraId="6ACF017D" w14:textId="77777777" w:rsidR="00DA5E98" w:rsidRDefault="00DA5E98" w:rsidP="00CF4875">
      <w:pPr>
        <w:spacing w:after="0" w:line="240" w:lineRule="auto"/>
      </w:pPr>
      <w:r>
        <w:continuationSeparator/>
      </w:r>
    </w:p>
  </w:footnote>
  <w:footnote w:id="1">
    <w:p w14:paraId="3096831E" w14:textId="24B42B71" w:rsidR="00840342" w:rsidRDefault="00840342">
      <w:pPr>
        <w:pStyle w:val="FootnoteText"/>
      </w:pPr>
      <w:r w:rsidRPr="001942CA">
        <w:rPr>
          <w:rStyle w:val="FootnoteReference"/>
        </w:rPr>
        <w:footnoteRef/>
      </w:r>
      <w:r>
        <w:t xml:space="preserve"> </w:t>
      </w:r>
      <w:r>
        <w:fldChar w:fldCharType="begin"/>
      </w:r>
      <w:r>
        <w:instrText xml:space="preserve"> ADDIN ZOTERO_ITEM CSL_CITATION {"citationID":"fCjNjNKZ","properties":{"formattedCitation":"Kreutzmann, \\uc0\\u8220{}Kashmir and the Northern Areas of Pakistan.\\uc0\\u8221{}","plainCitation":"Kreutzmann, “Kashmir and the Northern Areas of Pakistan.”","noteIndex":1},"citationItems":[{"id":270,"uris":["http://zotero.org/users/local/jsvqEXt1/items/6F8NHF8C"],"uri":["http://zotero.org/users/local/jsvqEXt1/items/6F8NHF8C"],"itemData":{"id":270,"type":"article-journal","title":"Kashmir and the Northern Areas of Pakistan: boundary-making along contested frontiers","container-title":"Erdkunde","page":"201–219","source":"Google Scholar","title-short":"Kashmir and the Northern Areas of Pakistan","author":[{"family":"Kreutzmann","given":"Hermann"}],"issued":{"date-parts":[["2008"]]}}}],"schema":"https://github.com/citation-style-language/schema/raw/master/csl-citation.json"} </w:instrText>
      </w:r>
      <w:r>
        <w:fldChar w:fldCharType="separate"/>
      </w:r>
      <w:r w:rsidRPr="00840342">
        <w:rPr>
          <w:rFonts w:cs="Calibri"/>
          <w:szCs w:val="24"/>
        </w:rPr>
        <w:t>Kreutzmann, “Kashmir and the Northern Areas of Pakistan.”</w:t>
      </w:r>
      <w:r>
        <w:fldChar w:fldCharType="end"/>
      </w:r>
    </w:p>
  </w:footnote>
  <w:footnote w:id="2">
    <w:p w14:paraId="4A474E9D" w14:textId="1B1863C5" w:rsidR="00840342" w:rsidRDefault="00840342">
      <w:pPr>
        <w:pStyle w:val="FootnoteText"/>
      </w:pPr>
      <w:r w:rsidRPr="001942CA">
        <w:rPr>
          <w:rStyle w:val="FootnoteReference"/>
        </w:rPr>
        <w:footnoteRef/>
      </w:r>
      <w:r>
        <w:t xml:space="preserve"> </w:t>
      </w:r>
      <w:r>
        <w:fldChar w:fldCharType="begin"/>
      </w:r>
      <w:r>
        <w:instrText xml:space="preserve"> ADDIN ZOTERO_ITEM CSL_CITATION {"citationID":"3NDj83UZ","properties":{"formattedCitation":"Schofield, {\\i{}Kashmir in Conflict}.","plainCitation":"Schofield, Kashmir in Conflict.","noteIndex":2},"citationItems":[{"id":273,"uris":["http://zotero.org/users/local/jsvqEXt1/items/VWE39KHI"],"uri":["http://zotero.org/users/local/jsvqEXt1/items/VWE39KHI"],"itemData":{"id":273,"type":"book","title":"Kashmir in conflict: India, Pakistan and the unending war","publisher":"Bloomsbury Publishing","source":"Google Scholar","title-short":"Kashmir in conflict","author":[{"family":"Schofield","given":"Victoria"}],"issued":{"date-parts":[["2010"]]}}}],"schema":"https://github.com/citation-style-language/schema/raw/master/csl-citation.json"} </w:instrText>
      </w:r>
      <w:r>
        <w:fldChar w:fldCharType="separate"/>
      </w:r>
      <w:r w:rsidRPr="00840342">
        <w:rPr>
          <w:rFonts w:cs="Calibri"/>
          <w:szCs w:val="24"/>
        </w:rPr>
        <w:t xml:space="preserve">Schofield, </w:t>
      </w:r>
      <w:r w:rsidRPr="00840342">
        <w:rPr>
          <w:rFonts w:cs="Calibri"/>
          <w:i/>
          <w:iCs/>
          <w:szCs w:val="24"/>
        </w:rPr>
        <w:t>Kashmir in Conflict</w:t>
      </w:r>
      <w:r w:rsidRPr="00840342">
        <w:rPr>
          <w:rFonts w:cs="Calibri"/>
          <w:szCs w:val="24"/>
        </w:rPr>
        <w:t>.</w:t>
      </w:r>
      <w:r>
        <w:fldChar w:fldCharType="end"/>
      </w:r>
    </w:p>
  </w:footnote>
  <w:footnote w:id="3">
    <w:p w14:paraId="5A26111B" w14:textId="264786BD" w:rsidR="006E54DB" w:rsidRDefault="006E54DB">
      <w:pPr>
        <w:pStyle w:val="FootnoteText"/>
      </w:pPr>
      <w:r w:rsidRPr="001942CA">
        <w:rPr>
          <w:rStyle w:val="FootnoteReference"/>
        </w:rPr>
        <w:footnoteRef/>
      </w:r>
      <w:r>
        <w:t xml:space="preserve"> </w:t>
      </w:r>
      <w:r>
        <w:fldChar w:fldCharType="begin"/>
      </w:r>
      <w:r>
        <w:instrText xml:space="preserve"> ADDIN ZOTERO_ITEM CSL_CITATION {"citationID":"SSo2HLmA","properties":{"formattedCitation":"Mansourov, \\uc0\\u8220{}Mercantilism and Neo-Imperialism in Russian Foreign Policy during President Putin\\uc0\\u8217{}s 2nd Term.\\uc0\\u8221{}","plainCitation":"Mansourov, “Mercantilism and Neo-Imperialism in Russian Foreign Policy during President Putin’s 2nd Term.”","noteIndex":3},"citationItems":[{"id":278,"uris":["http://zotero.org/users/local/jsvqEXt1/items/9ERCMU6Z"],"uri":["http://zotero.org/users/local/jsvqEXt1/items/9ERCMU6Z"],"itemData":{"id":278,"type":"article-journal","title":"Mercantilism and neo-imperialism in Russian foreign policy during President Putin's 2nd term","container-title":"The Korean Journal of Defense Analysis","page":"151–184","volume":"17","issue":"1","source":"Google Scholar","author":[{"family":"Mansourov","given":"Alexandre Y."}],"issued":{"date-parts":[["2005"]]}}}],"schema":"https://github.com/citation-style-language/schema/raw/master/csl-citation.json"} </w:instrText>
      </w:r>
      <w:r>
        <w:fldChar w:fldCharType="separate"/>
      </w:r>
      <w:r w:rsidRPr="006E54DB">
        <w:rPr>
          <w:rFonts w:cs="Calibri"/>
          <w:szCs w:val="24"/>
        </w:rPr>
        <w:t>Mansourov, “Mercantilism and Neo-Imperialism in Russian Foreign Policy during President Putin’s 2nd Term.”</w:t>
      </w:r>
      <w:r>
        <w:fldChar w:fldCharType="end"/>
      </w:r>
    </w:p>
  </w:footnote>
  <w:footnote w:id="4">
    <w:p w14:paraId="767FE072" w14:textId="4C6C88A7" w:rsidR="006E54DB" w:rsidRDefault="006E54DB">
      <w:pPr>
        <w:pStyle w:val="FootnoteText"/>
      </w:pPr>
      <w:r w:rsidRPr="001942CA">
        <w:rPr>
          <w:rStyle w:val="FootnoteReference"/>
        </w:rPr>
        <w:footnoteRef/>
      </w:r>
      <w:r>
        <w:t xml:space="preserve"> </w:t>
      </w:r>
      <w:r>
        <w:fldChar w:fldCharType="begin"/>
      </w:r>
      <w:r>
        <w:instrText xml:space="preserve"> ADDIN ZOTERO_ITEM CSL_CITATION {"citationID":"Qi5A27vx","properties":{"formattedCitation":"Kuchins and Zevelev, \\uc0\\u8220{}Russian Foreign Policy.\\uc0\\u8221{}","plainCitation":"Kuchins and Zevelev, “Russian Foreign Policy.”","noteIndex":4},"citationItems":[{"id":277,"uris":["http://zotero.org/users/local/jsvqEXt1/items/CA473WZZ"],"uri":["http://zotero.org/users/local/jsvqEXt1/items/CA473WZZ"],"itemData":{"id":277,"type":"article-journal","title":"Russian foreign policy: Continuity in change","container-title":"The Washington Quarterly","page":"147–161","volume":"35","issue":"1","source":"Google Scholar","title-short":"Russian foreign policy","author":[{"family":"Kuchins","given":"Andrew C."},{"family":"Zevelev","given":"Igor A."}],"issued":{"date-parts":[["2012"]]}}}],"schema":"https://github.com/citation-style-language/schema/raw/master/csl-citation.json"} </w:instrText>
      </w:r>
      <w:r>
        <w:fldChar w:fldCharType="separate"/>
      </w:r>
      <w:r w:rsidRPr="006E54DB">
        <w:rPr>
          <w:rFonts w:cs="Calibri"/>
          <w:szCs w:val="24"/>
        </w:rPr>
        <w:t>Kuchins and Zevelev, “Russian Foreign Policy.”</w:t>
      </w:r>
      <w:r>
        <w:fldChar w:fldCharType="end"/>
      </w:r>
    </w:p>
  </w:footnote>
  <w:footnote w:id="5">
    <w:p w14:paraId="419DCA7B" w14:textId="54F19567" w:rsidR="00810BC3" w:rsidRDefault="00810BC3">
      <w:pPr>
        <w:pStyle w:val="FootnoteText"/>
      </w:pPr>
      <w:r w:rsidRPr="001942CA">
        <w:rPr>
          <w:rStyle w:val="FootnoteReference"/>
        </w:rPr>
        <w:footnoteRef/>
      </w:r>
      <w:r>
        <w:t xml:space="preserve"> </w:t>
      </w:r>
      <w:r>
        <w:fldChar w:fldCharType="begin"/>
      </w:r>
      <w:r>
        <w:instrText xml:space="preserve"> ADDIN ZOTERO_ITEM CSL_CITATION {"citationID":"T8nh742V","properties":{"formattedCitation":"Bell\\uc0\\u233{}r-Hann, {\\i{}Situating the Uyghurs between China and Central Asia}.","plainCitation":"Bellér-Hann, Situating the Uyghurs between China and Central Asia.","noteIndex":5},"citationItems":[{"id":283,"uris":["http://zotero.org/users/local/jsvqEXt1/items/RXJCGDXL"],"uri":["http://zotero.org/users/local/jsvqEXt1/items/RXJCGDXL"],"itemData":{"id":283,"type":"book","title":"Situating the Uyghurs between China and Central Asia","publisher":"Ashgate Publishing, Ltd.","source":"Google Scholar","author":[{"family":"Bellér-Hann","given":"Ildikó"}],"issued":{"date-parts":[["2007"]]}}}],"schema":"https://github.com/citation-style-language/schema/raw/master/csl-citation.json"} </w:instrText>
      </w:r>
      <w:r>
        <w:fldChar w:fldCharType="separate"/>
      </w:r>
      <w:r w:rsidRPr="00810BC3">
        <w:rPr>
          <w:rFonts w:cs="Calibri"/>
          <w:szCs w:val="24"/>
        </w:rPr>
        <w:t xml:space="preserve">Bellér-Hann, </w:t>
      </w:r>
      <w:r w:rsidRPr="00810BC3">
        <w:rPr>
          <w:rFonts w:cs="Calibri"/>
          <w:i/>
          <w:iCs/>
          <w:szCs w:val="24"/>
        </w:rPr>
        <w:t>Situating the Uyghurs between China and Central Asia</w:t>
      </w:r>
      <w:r w:rsidRPr="00810BC3">
        <w:rPr>
          <w:rFonts w:cs="Calibri"/>
          <w:szCs w:val="24"/>
        </w:rPr>
        <w:t>.</w:t>
      </w:r>
      <w:r>
        <w:fldChar w:fldCharType="end"/>
      </w:r>
    </w:p>
  </w:footnote>
  <w:footnote w:id="6">
    <w:p w14:paraId="609723FD" w14:textId="049608D1" w:rsidR="00810BC3" w:rsidRDefault="00810BC3">
      <w:pPr>
        <w:pStyle w:val="FootnoteText"/>
      </w:pPr>
      <w:r w:rsidRPr="001942CA">
        <w:rPr>
          <w:rStyle w:val="FootnoteReference"/>
        </w:rPr>
        <w:footnoteRef/>
      </w:r>
      <w:r>
        <w:t xml:space="preserve"> </w:t>
      </w:r>
      <w:r>
        <w:fldChar w:fldCharType="begin"/>
      </w:r>
      <w:r>
        <w:instrText xml:space="preserve"> ADDIN ZOTERO_ITEM CSL_CITATION {"citationID":"JhLZ4bSS","properties":{"formattedCitation":"Clarke, \\uc0\\u8220{}China and the Uyghurs.\\uc0\\u8221{}","plainCitation":"Clarke, “China and the Uyghurs.”","noteIndex":6},"citationItems":[{"id":282,"uris":["http://zotero.org/users/local/jsvqEXt1/items/2F47EJNN"],"uri":["http://zotero.org/users/local/jsvqEXt1/items/2F47EJNN"],"itemData":{"id":282,"type":"article-journal","title":"China and the Uyghurs: The “Palestinization” of Xinjiang?","container-title":"Middle East Policy","page":"127–146","volume":"22","issue":"3","source":"Google Scholar","title-short":"China and the Uyghurs","author":[{"family":"Clarke","given":"Michael"}],"issued":{"date-parts":[["2015"]]}}}],"schema":"https://github.com/citation-style-language/schema/raw/master/csl-citation.json"} </w:instrText>
      </w:r>
      <w:r>
        <w:fldChar w:fldCharType="separate"/>
      </w:r>
      <w:r w:rsidRPr="00810BC3">
        <w:rPr>
          <w:rFonts w:cs="Calibri"/>
          <w:szCs w:val="24"/>
        </w:rPr>
        <w:t>Clarke, “China and the Uyghurs.”</w:t>
      </w:r>
      <w:r>
        <w:fldChar w:fldCharType="end"/>
      </w:r>
    </w:p>
  </w:footnote>
  <w:footnote w:id="7">
    <w:p w14:paraId="3161F31F" w14:textId="5E6592F9" w:rsidR="001F49B6" w:rsidRDefault="001F49B6">
      <w:pPr>
        <w:pStyle w:val="FootnoteText"/>
      </w:pPr>
      <w:r w:rsidRPr="001942CA">
        <w:rPr>
          <w:rStyle w:val="FootnoteReference"/>
        </w:rPr>
        <w:footnoteRef/>
      </w:r>
      <w:r>
        <w:t xml:space="preserve"> </w:t>
      </w:r>
      <w:r>
        <w:fldChar w:fldCharType="begin"/>
      </w:r>
      <w:r>
        <w:instrText xml:space="preserve"> ADDIN ZOTERO_ITEM CSL_CITATION {"citationID":"sellcaZc","properties":{"formattedCitation":"Auslin, \\uc0\\u8220{}The Question of American Strategy in the Indo-Pacific.\\uc0\\u8221{}","plainCitation":"Auslin, “The Question of American Strategy in the Indo-Pacific.”","noteIndex":7},"citationItems":[{"id":289,"uris":["http://zotero.org/users/local/jsvqEXt1/items/9N8CCMWN"],"uri":["http://zotero.org/users/local/jsvqEXt1/items/9N8CCMWN"],"itemData":{"id":289,"type":"article-journal","title":"The Question of American Strategy in the Indo-Pacific","container-title":"Stanford University","page":"20","source":"Zotero","language":"en","author":[{"family":"Auslin","given":"Michael R"}]}}],"schema":"https://github.com/citation-style-language/schema/raw/master/csl-citation.json"} </w:instrText>
      </w:r>
      <w:r>
        <w:fldChar w:fldCharType="separate"/>
      </w:r>
      <w:r w:rsidRPr="001F49B6">
        <w:rPr>
          <w:rFonts w:cs="Calibri"/>
          <w:szCs w:val="24"/>
        </w:rPr>
        <w:t>Auslin, “The Question of American Strategy in the Indo-Pacific.”</w:t>
      </w:r>
      <w:r>
        <w:fldChar w:fldCharType="end"/>
      </w:r>
    </w:p>
  </w:footnote>
  <w:footnote w:id="8">
    <w:p w14:paraId="7A13B6E1" w14:textId="7FE825E8" w:rsidR="001F49B6" w:rsidRDefault="001F49B6">
      <w:pPr>
        <w:pStyle w:val="FootnoteText"/>
      </w:pPr>
      <w:r w:rsidRPr="001942CA">
        <w:rPr>
          <w:rStyle w:val="FootnoteReference"/>
        </w:rPr>
        <w:footnoteRef/>
      </w:r>
      <w:r>
        <w:t xml:space="preserve"> </w:t>
      </w:r>
      <w:r>
        <w:fldChar w:fldCharType="begin"/>
      </w:r>
      <w:r>
        <w:instrText xml:space="preserve"> ADDIN ZOTERO_ITEM CSL_CITATION {"citationID":"VQEQEpyg","properties":{"formattedCitation":"Khurana, {\\i{}THE INDO-PACIFIC REGION}.","plainCitation":"Khurana, THE INDO-PACIFIC REGION.","noteIndex":8},"citationItems":[{"id":290,"uris":["http://zotero.org/users/local/jsvqEXt1/items/ULQIHXBL"],"uri":["http://zotero.org/users/local/jsvqEXt1/items/ULQIHXBL"],"itemData":{"id":290,"type":"book","title":"THE INDO-PACIFIC REGION: The Emerging Geopolitical and Security Environment (Book, 2018)","source":"www.academia.edu","abstract":"The Indo-Pacific region stretches from the eastern Indian Ocean shores of Africa and West Asia to the littoral countries of the western Pacific. The region constitutes the ‘maritime underbelly’ of Asia, and is the fastest growing region in the world;","URL":"https://www.academia.edu/35884449/THE_INDO-PACIFIC_REGION_The_Emerging_Geopolitical_and_Security_Environment_Book_2018_","title-short":"THE INDO-PACIFIC REGION","language":"en","author":[{"family":"Khurana","given":"Gurpreet"}],"accessed":{"date-parts":[["2019",5,11]]}}}],"schema":"https://github.com/citation-style-language/schema/raw/master/csl-citation.json"} </w:instrText>
      </w:r>
      <w:r>
        <w:fldChar w:fldCharType="separate"/>
      </w:r>
      <w:r w:rsidRPr="001F49B6">
        <w:rPr>
          <w:rFonts w:cs="Calibri"/>
          <w:szCs w:val="24"/>
        </w:rPr>
        <w:t xml:space="preserve">Khurana, </w:t>
      </w:r>
      <w:r w:rsidRPr="001F49B6">
        <w:rPr>
          <w:rFonts w:cs="Calibri"/>
          <w:i/>
          <w:iCs/>
          <w:szCs w:val="24"/>
        </w:rPr>
        <w:t>THE INDO-PACIFIC REGION</w:t>
      </w:r>
      <w:r w:rsidRPr="001F49B6">
        <w:rPr>
          <w:rFonts w:cs="Calibri"/>
          <w:szCs w:val="24"/>
        </w:rPr>
        <w:t>.</w:t>
      </w:r>
      <w:r>
        <w:fldChar w:fldCharType="end"/>
      </w:r>
    </w:p>
  </w:footnote>
  <w:footnote w:id="9">
    <w:p w14:paraId="6C2B994D" w14:textId="69AB5032" w:rsidR="00350C63" w:rsidRDefault="00350C63">
      <w:pPr>
        <w:pStyle w:val="FootnoteText"/>
      </w:pPr>
      <w:r w:rsidRPr="001942CA">
        <w:rPr>
          <w:rStyle w:val="FootnoteReference"/>
        </w:rPr>
        <w:footnoteRef/>
      </w:r>
      <w:r>
        <w:t xml:space="preserve"> </w:t>
      </w:r>
      <w:r>
        <w:fldChar w:fldCharType="begin"/>
      </w:r>
      <w:r>
        <w:instrText xml:space="preserve"> ADDIN ZOTERO_ITEM CSL_CITATION {"citationID":"mWZFKQDu","properties":{"formattedCitation":"Amin and Lewis, \\uc0\\u8220{}EUROPEAN UNION AND DISUNION.\\uc0\\u8221{}","plainCitation":"Amin and Lewis, “EUROPEAN UNION AND DISUNION.”","noteIndex":9},"citationItems":[{"id":293,"uris":["http://zotero.org/users/local/jsvqEXt1/items/CKUFVM7M"],"uri":["http://zotero.org/users/local/jsvqEXt1/items/CKUFVM7M"],"itemData":{"id":293,"type":"article-journal","title":"EUROPEAN UNION AND DISUNION","page":"104","source":"Zotero","language":"en","author":[{"family":"Amin","given":"Ash"},{"family":"Lewis","given":"Philip"}]}}],"schema":"https://github.com/citation-style-language/schema/raw/master/csl-citation.json"} </w:instrText>
      </w:r>
      <w:r>
        <w:fldChar w:fldCharType="separate"/>
      </w:r>
      <w:r w:rsidRPr="00350C63">
        <w:rPr>
          <w:rFonts w:cs="Calibri"/>
          <w:szCs w:val="24"/>
        </w:rPr>
        <w:t>Amin and Lewis, “EUROPEAN UNION AND DISUNION.”</w:t>
      </w:r>
      <w:r>
        <w:fldChar w:fldCharType="end"/>
      </w:r>
    </w:p>
  </w:footnote>
  <w:footnote w:id="10">
    <w:p w14:paraId="19D8EB9B" w14:textId="72CA1A4F" w:rsidR="00350C63" w:rsidRDefault="00350C63">
      <w:pPr>
        <w:pStyle w:val="FootnoteText"/>
      </w:pPr>
      <w:r w:rsidRPr="001942CA">
        <w:rPr>
          <w:rStyle w:val="FootnoteReference"/>
        </w:rPr>
        <w:footnoteRef/>
      </w:r>
      <w:r>
        <w:t xml:space="preserve"> </w:t>
      </w:r>
      <w:r>
        <w:fldChar w:fldCharType="begin"/>
      </w:r>
      <w:r>
        <w:instrText xml:space="preserve"> ADDIN ZOTERO_ITEM CSL_CITATION {"citationID":"TEAlpDQ7","properties":{"formattedCitation":"Chambon, \\uc0\\u8220{}Is the CAP a Ground for European Disunion?\\uc0\\u8221{}","plainCitation":"Chambon, “Is the CAP a Ground for European Disunion?”","noteIndex":10},"citationItems":[{"id":295,"uris":["http://zotero.org/users/local/jsvqEXt1/items/QQRIBZND"],"uri":["http://zotero.org/users/local/jsvqEXt1/items/QQRIBZND"],"itemData":{"id":295,"type":"article-journal","title":"Is the CAP a ground for European disunion?","page":"62","source":"Zotero","language":"en","author":[{"family":"Chambon","given":"Nadège"}]}}],"schema":"https://github.com/citation-style-language/schema/raw/master/csl-citation.json"} </w:instrText>
      </w:r>
      <w:r>
        <w:fldChar w:fldCharType="separate"/>
      </w:r>
      <w:r w:rsidRPr="00350C63">
        <w:rPr>
          <w:rFonts w:cs="Calibri"/>
          <w:szCs w:val="24"/>
        </w:rPr>
        <w:t>Chambon, “Is the CAP a Ground for European Disunion?”</w:t>
      </w:r>
      <w:r>
        <w:fldChar w:fldCharType="end"/>
      </w:r>
    </w:p>
  </w:footnote>
  <w:footnote w:id="11">
    <w:p w14:paraId="7B3CF05B" w14:textId="497F7FB1" w:rsidR="003237B3" w:rsidRDefault="003237B3">
      <w:pPr>
        <w:pStyle w:val="FootnoteText"/>
      </w:pPr>
      <w:r w:rsidRPr="001942CA">
        <w:rPr>
          <w:rStyle w:val="FootnoteReference"/>
        </w:rPr>
        <w:footnoteRef/>
      </w:r>
      <w:r>
        <w:t xml:space="preserve"> </w:t>
      </w:r>
      <w:r>
        <w:fldChar w:fldCharType="begin"/>
      </w:r>
      <w:r>
        <w:instrText xml:space="preserve"> ADDIN ZOTERO_ITEM CSL_CITATION {"citationID":"hFPjDNIW","properties":{"formattedCitation":"Savino, \\uc0\\u8220{}Friend or Foe: Perceptions of China in Africa.\\uc0\\u8221{}","plainCitation":"Savino, “Friend or Foe: Perceptions of China in Africa.”","noteIndex":11},"citationItems":[{"id":297,"uris":["http://zotero.org/users/local/jsvqEXt1/items/ZBW7BWFG"],"uri":["http://zotero.org/users/local/jsvqEXt1/items/ZBW7BWFG"],"itemData":{"id":297,"type":"article-journal","title":"Friend or Foe: Perceptions of China in Africa","page":"26","source":"Zotero","abstract":"China's rush to Africa for resources and a sphere of influence has inspired much debate in the academic world. Many western scholars generalize China's Africa strategy or African perceptions of that strategy. These are both grave mistakes. While China's objectives in Africa are the same all over, the way it achieves that strategy varies from nation to nation. In addition, African perceptions of China vary from nation to nation. Using Algeria and Niger as main case studies, this paper will show that the wealth of a nation changes the way that the Chinese government and Chinese nationals interact with that nation, and, that this modification of behavior is what causes positive or negative perceptions of China.","language":"en","author":[{"family":"Savino","given":"Shahn M"}]}}],"schema":"https://github.com/citation-style-language/schema/raw/master/csl-citation.json"} </w:instrText>
      </w:r>
      <w:r>
        <w:fldChar w:fldCharType="separate"/>
      </w:r>
      <w:r w:rsidRPr="003237B3">
        <w:rPr>
          <w:rFonts w:cs="Calibri"/>
          <w:szCs w:val="24"/>
        </w:rPr>
        <w:t>Savino, “Friend or Foe: Perceptions of China in Africa.”</w:t>
      </w:r>
      <w:r>
        <w:fldChar w:fldCharType="end"/>
      </w:r>
    </w:p>
  </w:footnote>
  <w:footnote w:id="12">
    <w:p w14:paraId="46F5E768" w14:textId="7A8018EB" w:rsidR="00D31E24" w:rsidRDefault="00D31E24">
      <w:pPr>
        <w:pStyle w:val="FootnoteText"/>
      </w:pPr>
      <w:r w:rsidRPr="001942CA">
        <w:rPr>
          <w:rStyle w:val="FootnoteReference"/>
        </w:rPr>
        <w:footnoteRef/>
      </w:r>
      <w:r>
        <w:t xml:space="preserve"> </w:t>
      </w:r>
      <w:r>
        <w:fldChar w:fldCharType="begin"/>
      </w:r>
      <w:r>
        <w:instrText xml:space="preserve"> ADDIN ZOTERO_ITEM CSL_CITATION {"citationID":"gNmPCrZj","properties":{"formattedCitation":"Ayodele and Sotola, \\uc0\\u8220{}China in Africa: An Evaluation of Chinese Investment.\\uc0\\u8221{}","plainCitation":"Ayodele and Sotola, “China in Africa: An Evaluation of Chinese Investment.”","noteIndex":12},"citationItems":[{"id":299,"uris":["http://zotero.org/users/local/jsvqEXt1/items/SZSLW67T"],"uri":["http://zotero.org/users/local/jsvqEXt1/items/SZSLW67T"],"itemData":{"id":299,"type":"article-journal","title":"China in Africa: An Evaluation of Chinese Investment","page":"20","source":"Zotero","language":"en","author":[{"family":"Ayodele","given":"Thompson"},{"family":"Sotola","given":"Olusegun"}],"issued":{"date-parts":[["2014"]]}}}],"schema":"https://github.com/citation-style-language/schema/raw/master/csl-citation.json"} </w:instrText>
      </w:r>
      <w:r>
        <w:fldChar w:fldCharType="separate"/>
      </w:r>
      <w:r w:rsidRPr="00D31E24">
        <w:rPr>
          <w:rFonts w:cs="Calibri"/>
          <w:szCs w:val="24"/>
        </w:rPr>
        <w:t>Ayodele and Sotola, “China in Africa: An Evaluation of Chinese Investment.”</w:t>
      </w:r>
      <w:r>
        <w:fldChar w:fldCharType="end"/>
      </w:r>
    </w:p>
  </w:footnote>
  <w:footnote w:id="13">
    <w:p w14:paraId="6E275998" w14:textId="20A6E409" w:rsidR="00542F43" w:rsidRDefault="00542F43">
      <w:pPr>
        <w:pStyle w:val="FootnoteText"/>
      </w:pPr>
      <w:r w:rsidRPr="001942CA">
        <w:rPr>
          <w:rStyle w:val="FootnoteReference"/>
        </w:rPr>
        <w:footnoteRef/>
      </w:r>
      <w:r>
        <w:t xml:space="preserve"> </w:t>
      </w:r>
      <w:r>
        <w:fldChar w:fldCharType="begin"/>
      </w:r>
      <w:r>
        <w:instrText xml:space="preserve"> ADDIN ZOTERO_ITEM CSL_CITATION {"citationID":"wzatsguH","properties":{"formattedCitation":"Remnick, \\uc0\\u8220{}American Interventionism and the Tragedy of Foreign Policy.\\uc0\\u8221{}","plainCitation":"Remnick, “American Interventionism and the Tragedy of Foreign Policy.”","noteIndex":13},"citationItems":[{"id":300,"uris":["http://zotero.org/users/local/jsvqEXt1/items/ZKCFP8WT"],"uri":["http://zotero.org/users/local/jsvqEXt1/items/ZKCFP8WT"],"itemData":{"id":300,"type":"post-weblog","title":"American Interventionism and the Tragedy of Foreign Policy","container-title":"The Politic","abstract":"Since World War I, every American president has had to confront the potential agonies, moral uncertainties, and quagmires of military intervention abroad. Certainly, the price of intervention weighs on Barack Obama even as he pulls out troops from Iraq and vows to do the same from Afghanistan. He has already spent American energy and resources…","URL":"http://thepolitic.org/american-interventionism-and-the-tragedy-of-foreign-policy/","language":"en-US","author":[{"family":"Remnick","given":"Noah"}],"issued":{"date-parts":[["2011",12,20]]},"accessed":{"date-parts":[["2019",5,11]]}}}],"schema":"https://github.com/citation-style-language/schema/raw/master/csl-citation.json"} </w:instrText>
      </w:r>
      <w:r>
        <w:fldChar w:fldCharType="separate"/>
      </w:r>
      <w:r w:rsidRPr="00542F43">
        <w:rPr>
          <w:rFonts w:cs="Calibri"/>
          <w:szCs w:val="24"/>
        </w:rPr>
        <w:t>Remnick, “American Interventionism and the Tragedy of Foreign Policy.”</w:t>
      </w:r>
      <w:r>
        <w:fldChar w:fldCharType="end"/>
      </w:r>
    </w:p>
  </w:footnote>
  <w:footnote w:id="14">
    <w:p w14:paraId="7EEC5D11" w14:textId="6B155AB7" w:rsidR="00542F43" w:rsidRDefault="00542F43">
      <w:pPr>
        <w:pStyle w:val="FootnoteText"/>
      </w:pPr>
      <w:r w:rsidRPr="001942CA">
        <w:rPr>
          <w:rStyle w:val="FootnoteReference"/>
        </w:rPr>
        <w:footnoteRef/>
      </w:r>
      <w:r>
        <w:t xml:space="preserve"> </w:t>
      </w:r>
      <w:r>
        <w:fldChar w:fldCharType="begin"/>
      </w:r>
      <w:r>
        <w:instrText xml:space="preserve"> ADDIN ZOTERO_ITEM CSL_CITATION {"citationID":"HEZFdnox","properties":{"formattedCitation":"Choi and James, \\uc0\\u8220{}Are US Foreign Policy Tools Effective in Improving Human Rights Conditions?\\uc0\\u8221{}","plainCitation":"Choi and James, “Are US Foreign Policy Tools Effective in Improving Human Rights Conditions?”","noteIndex":14},"citationItems":[{"id":303,"uris":["http://zotero.org/users/local/jsvqEXt1/items/87MY9ZVI"],"uri":["http://zotero.org/users/local/jsvqEXt1/items/87MY9ZVI"],"itemData":{"id":303,"type":"article-journal","title":"Are US Foreign Policy Tools Effective in Improving Human Rights Conditions?","container-title":"The Chinese Journal of International Politics","page":"331-356","volume":"10","issue":"3","source":"DOI.org (Crossref)","abstract":"This is the ﬁrst empirical study to evaluate, in combination, the relative impact of the US’s four major foreign policy tools (i.e., military intervention, military assistance, economic sanctions, and economic assistance) on human rights conditions abroad. This study presents a Hegemonic Intervention Hypothesis, which cautions against US action to promote human rights, and a Coercion Hypothesis, which assesses punitive actions as likely to be more harmful than acts of assistance. Relying on a dataset of 144 countries for the years 1975–2005, this study ﬁnds that, contrary to Washington’s stated desire to promote human rights, all forms of US foreign policy intervention are either neutral in effect or linked to increases in the level of state repression.","DOI":"10.1093/cjip/pox010","ISSN":"1750-8916, 1750-8924","language":"en","author":[{"family":"Choi","given":"Seung-Whan"},{"family":"James","given":"Patrick"}],"issued":{"date-parts":[["2017",9,1]]}}}],"schema":"https://github.com/citation-style-language/schema/raw/master/csl-citation.json"} </w:instrText>
      </w:r>
      <w:r>
        <w:fldChar w:fldCharType="separate"/>
      </w:r>
      <w:r w:rsidRPr="00542F43">
        <w:rPr>
          <w:rFonts w:cs="Calibri"/>
          <w:szCs w:val="24"/>
        </w:rPr>
        <w:t>Choi and James, “Are US Foreign Policy Tools Effective in Improving Human Rights Conditions?”</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E49D6" w14:textId="0C0534CC" w:rsidR="00CF4875" w:rsidRPr="00CF4875" w:rsidRDefault="00D00120">
    <w:pPr>
      <w:pStyle w:val="Header"/>
      <w:jc w:val="right"/>
      <w:rPr>
        <w:rFonts w:ascii="Times" w:hAnsi="Times" w:cs="Times"/>
        <w:sz w:val="24"/>
        <w:szCs w:val="24"/>
      </w:rPr>
    </w:pPr>
    <w:r>
      <w:rPr>
        <w:rFonts w:ascii="Times" w:hAnsi="Times" w:cs="Times"/>
        <w:sz w:val="24"/>
        <w:szCs w:val="24"/>
      </w:rPr>
      <w:t>Surname</w:t>
    </w:r>
    <w:r w:rsidR="00CF4875" w:rsidRPr="00CF4875">
      <w:rPr>
        <w:rFonts w:ascii="Times" w:hAnsi="Times" w:cs="Times"/>
        <w:sz w:val="24"/>
        <w:szCs w:val="24"/>
      </w:rPr>
      <w:t xml:space="preserve"> </w:t>
    </w:r>
    <w:r w:rsidR="00CF4875" w:rsidRPr="00CF4875">
      <w:rPr>
        <w:rFonts w:ascii="Times" w:hAnsi="Times" w:cs="Times"/>
        <w:sz w:val="24"/>
        <w:szCs w:val="24"/>
      </w:rPr>
      <w:fldChar w:fldCharType="begin"/>
    </w:r>
    <w:r w:rsidR="00CF4875" w:rsidRPr="00CF4875">
      <w:rPr>
        <w:rFonts w:ascii="Times" w:hAnsi="Times" w:cs="Times"/>
        <w:sz w:val="24"/>
        <w:szCs w:val="24"/>
      </w:rPr>
      <w:instrText xml:space="preserve"> PAGE   \* MERGEFORMAT </w:instrText>
    </w:r>
    <w:r w:rsidR="00CF4875" w:rsidRPr="00CF4875">
      <w:rPr>
        <w:rFonts w:ascii="Times" w:hAnsi="Times" w:cs="Times"/>
        <w:sz w:val="24"/>
        <w:szCs w:val="24"/>
      </w:rPr>
      <w:fldChar w:fldCharType="separate"/>
    </w:r>
    <w:r w:rsidR="008D6D76">
      <w:rPr>
        <w:rFonts w:ascii="Times" w:hAnsi="Times" w:cs="Times"/>
        <w:noProof/>
        <w:sz w:val="24"/>
        <w:szCs w:val="24"/>
      </w:rPr>
      <w:t>4</w:t>
    </w:r>
    <w:r w:rsidR="00CF4875" w:rsidRPr="00CF4875">
      <w:rPr>
        <w:rFonts w:ascii="Times" w:hAnsi="Times" w:cs="Times"/>
        <w:noProof/>
        <w:sz w:val="24"/>
        <w:szCs w:val="24"/>
      </w:rPr>
      <w:fldChar w:fldCharType="end"/>
    </w:r>
  </w:p>
  <w:p w14:paraId="5B638329" w14:textId="77777777" w:rsidR="00CF4875" w:rsidRDefault="00CF4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26F5B"/>
    <w:multiLevelType w:val="hybridMultilevel"/>
    <w:tmpl w:val="C9D6A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875"/>
    <w:rsid w:val="00003136"/>
    <w:rsid w:val="00064A12"/>
    <w:rsid w:val="00120996"/>
    <w:rsid w:val="00132C17"/>
    <w:rsid w:val="00166CE0"/>
    <w:rsid w:val="00190115"/>
    <w:rsid w:val="00190D3C"/>
    <w:rsid w:val="001911D3"/>
    <w:rsid w:val="001942CA"/>
    <w:rsid w:val="001A3E43"/>
    <w:rsid w:val="001A7D25"/>
    <w:rsid w:val="001C3F29"/>
    <w:rsid w:val="001D3B23"/>
    <w:rsid w:val="001F0653"/>
    <w:rsid w:val="001F49B6"/>
    <w:rsid w:val="002074DB"/>
    <w:rsid w:val="002559E7"/>
    <w:rsid w:val="00262925"/>
    <w:rsid w:val="00275C03"/>
    <w:rsid w:val="00292B1A"/>
    <w:rsid w:val="002A6767"/>
    <w:rsid w:val="002B0B11"/>
    <w:rsid w:val="002C08CF"/>
    <w:rsid w:val="002C32EC"/>
    <w:rsid w:val="002E7F9D"/>
    <w:rsid w:val="003237B3"/>
    <w:rsid w:val="00350C63"/>
    <w:rsid w:val="00372754"/>
    <w:rsid w:val="003A5602"/>
    <w:rsid w:val="003B380B"/>
    <w:rsid w:val="00434569"/>
    <w:rsid w:val="00513984"/>
    <w:rsid w:val="00542F43"/>
    <w:rsid w:val="00550CF7"/>
    <w:rsid w:val="00597F02"/>
    <w:rsid w:val="005D2039"/>
    <w:rsid w:val="005F3742"/>
    <w:rsid w:val="00630CF4"/>
    <w:rsid w:val="00661129"/>
    <w:rsid w:val="006A735D"/>
    <w:rsid w:val="006E224B"/>
    <w:rsid w:val="006E54DB"/>
    <w:rsid w:val="00796864"/>
    <w:rsid w:val="007A5305"/>
    <w:rsid w:val="007A7471"/>
    <w:rsid w:val="007C341D"/>
    <w:rsid w:val="007C7B79"/>
    <w:rsid w:val="007D0A47"/>
    <w:rsid w:val="00804CA6"/>
    <w:rsid w:val="00805971"/>
    <w:rsid w:val="00810BC3"/>
    <w:rsid w:val="00826D83"/>
    <w:rsid w:val="00840342"/>
    <w:rsid w:val="00843BC2"/>
    <w:rsid w:val="008C44C3"/>
    <w:rsid w:val="008D6D76"/>
    <w:rsid w:val="008F6E6F"/>
    <w:rsid w:val="00962ABF"/>
    <w:rsid w:val="009B4E1B"/>
    <w:rsid w:val="009E20DB"/>
    <w:rsid w:val="009E5E3F"/>
    <w:rsid w:val="009F68CF"/>
    <w:rsid w:val="00A05A34"/>
    <w:rsid w:val="00A063BB"/>
    <w:rsid w:val="00A27BD7"/>
    <w:rsid w:val="00A52154"/>
    <w:rsid w:val="00A674D4"/>
    <w:rsid w:val="00A73D2A"/>
    <w:rsid w:val="00A8421E"/>
    <w:rsid w:val="00B10097"/>
    <w:rsid w:val="00B37A56"/>
    <w:rsid w:val="00B406AF"/>
    <w:rsid w:val="00BA3BA7"/>
    <w:rsid w:val="00BD617F"/>
    <w:rsid w:val="00C32FFD"/>
    <w:rsid w:val="00C5372D"/>
    <w:rsid w:val="00C55AE0"/>
    <w:rsid w:val="00C86DE2"/>
    <w:rsid w:val="00CF4875"/>
    <w:rsid w:val="00D00120"/>
    <w:rsid w:val="00D31E24"/>
    <w:rsid w:val="00D6664A"/>
    <w:rsid w:val="00D8267D"/>
    <w:rsid w:val="00D92B55"/>
    <w:rsid w:val="00DA5E98"/>
    <w:rsid w:val="00DD0C78"/>
    <w:rsid w:val="00ED45BD"/>
    <w:rsid w:val="00EF4633"/>
    <w:rsid w:val="00FB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DB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A948929-792F-408D-94E5-DD4A6366A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2019-05-11T07:03:00Z</dcterms:created>
  <dcterms:modified xsi:type="dcterms:W3CDTF">2019-05-11T09:10:00Z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id="YpfTwuXq"/&gt;&lt;style id="http://www.zotero.org/styles/chicago-note-bibliography" locale="en-US" hasBibliography="1" bibliographyStyleHasBeenSet="1"/&gt;&lt;prefs&gt;&lt;pref name="fieldType" value="Field"/&gt;&lt;pre</vt:lpwstr>
  </property>
  <property fmtid="{D5CDD505-2E9C-101B-9397-08002B2CF9AE}" pid="3" name="ZOTERO_PREF_2">
    <vt:lpwstr>f name="noteType" value="1"/&gt;&lt;/prefs&gt;&lt;/data&gt;</vt:lpwstr>
  </property>
</Properties>
</file>