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56FED" w14:textId="77777777" w:rsidR="00B37CD5" w:rsidRDefault="00B37CD5" w:rsidP="00B37CD5">
      <w:pPr>
        <w:rPr>
          <w:rFonts w:ascii="ArialMT" w:hAnsi="ArialMT" w:cs="ArialMT"/>
          <w:color w:val="333333"/>
          <w:sz w:val="74"/>
          <w:szCs w:val="74"/>
          <w:lang w:val="en-PK" w:bidi="ar-SA"/>
        </w:rPr>
      </w:pPr>
    </w:p>
    <w:p w14:paraId="3583A613" w14:textId="77777777" w:rsidR="00B37CD5" w:rsidRDefault="00B37CD5" w:rsidP="00B37CD5">
      <w:pPr>
        <w:jc w:val="center"/>
        <w:rPr>
          <w:rFonts w:asciiTheme="majorBidi" w:hAnsiTheme="majorBidi" w:cstheme="majorBidi"/>
          <w:color w:val="333333"/>
          <w:sz w:val="32"/>
          <w:szCs w:val="32"/>
          <w:lang w:bidi="ar-SA"/>
        </w:rPr>
      </w:pPr>
    </w:p>
    <w:p w14:paraId="1686EB9D" w14:textId="77777777" w:rsidR="00B37CD5" w:rsidRDefault="00B37CD5" w:rsidP="00B37CD5">
      <w:pPr>
        <w:jc w:val="center"/>
        <w:rPr>
          <w:rFonts w:asciiTheme="majorBidi" w:hAnsiTheme="majorBidi" w:cstheme="majorBidi"/>
          <w:color w:val="333333"/>
          <w:sz w:val="32"/>
          <w:szCs w:val="32"/>
          <w:lang w:bidi="ar-SA"/>
        </w:rPr>
      </w:pPr>
    </w:p>
    <w:p w14:paraId="5109AF2A" w14:textId="77777777" w:rsidR="00B37CD5" w:rsidRDefault="00B37CD5" w:rsidP="00B37CD5">
      <w:pPr>
        <w:jc w:val="center"/>
        <w:rPr>
          <w:rFonts w:asciiTheme="majorBidi" w:hAnsiTheme="majorBidi" w:cstheme="majorBidi"/>
          <w:color w:val="333333"/>
          <w:sz w:val="32"/>
          <w:szCs w:val="32"/>
          <w:lang w:bidi="ar-SA"/>
        </w:rPr>
      </w:pPr>
    </w:p>
    <w:p w14:paraId="7B91C2E2" w14:textId="77777777" w:rsidR="00B37CD5" w:rsidRPr="001F1081" w:rsidRDefault="00B37CD5" w:rsidP="00B37CD5">
      <w:pPr>
        <w:jc w:val="center"/>
        <w:rPr>
          <w:rFonts w:asciiTheme="majorBidi" w:hAnsiTheme="majorBidi" w:cstheme="majorBidi"/>
          <w:b/>
          <w:bCs/>
          <w:sz w:val="32"/>
          <w:szCs w:val="32"/>
        </w:rPr>
      </w:pPr>
      <w:r>
        <w:rPr>
          <w:rFonts w:asciiTheme="majorBidi" w:hAnsiTheme="majorBidi" w:cstheme="majorBidi"/>
          <w:b/>
          <w:bCs/>
          <w:sz w:val="32"/>
          <w:szCs w:val="32"/>
        </w:rPr>
        <w:t>Response to Colleagues (Gerontological Nursing)</w:t>
      </w:r>
    </w:p>
    <w:p w14:paraId="21EE5622" w14:textId="77777777" w:rsidR="00B37CD5" w:rsidRDefault="00B37CD5" w:rsidP="00B37CD5">
      <w:pPr>
        <w:jc w:val="center"/>
        <w:rPr>
          <w:rFonts w:asciiTheme="majorBidi" w:hAnsiTheme="majorBidi" w:cstheme="majorBidi"/>
          <w:sz w:val="24"/>
          <w:szCs w:val="24"/>
        </w:rPr>
      </w:pPr>
      <w:r>
        <w:rPr>
          <w:rFonts w:asciiTheme="majorBidi" w:hAnsiTheme="majorBidi" w:cstheme="majorBidi"/>
          <w:sz w:val="24"/>
          <w:szCs w:val="24"/>
        </w:rPr>
        <w:t xml:space="preserve"> [Name of Writer]</w:t>
      </w:r>
    </w:p>
    <w:p w14:paraId="4F6B1DE8" w14:textId="77777777" w:rsidR="00B37CD5" w:rsidRDefault="00B37CD5" w:rsidP="00B37CD5">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bookmarkStart w:id="0" w:name="_GoBack"/>
      <w:bookmarkEnd w:id="0"/>
    </w:p>
    <w:p w14:paraId="50A8AA1A" w14:textId="09E9112A" w:rsidR="006E254D" w:rsidRDefault="00B37CD5" w:rsidP="0073300A">
      <w:pPr>
        <w:spacing w:line="360" w:lineRule="auto"/>
        <w:jc w:val="both"/>
        <w:rPr>
          <w:rFonts w:asciiTheme="majorBidi" w:hAnsiTheme="majorBidi" w:cstheme="majorBidi"/>
          <w:sz w:val="24"/>
          <w:szCs w:val="24"/>
        </w:rPr>
      </w:pPr>
      <w:r>
        <w:rPr>
          <w:rFonts w:asciiTheme="majorBidi" w:hAnsiTheme="majorBidi" w:cstheme="majorBidi"/>
          <w:sz w:val="24"/>
          <w:szCs w:val="24"/>
        </w:rPr>
        <w:lastRenderedPageBreak/>
        <w:t>Dear Shana</w:t>
      </w:r>
    </w:p>
    <w:p w14:paraId="4D443074" w14:textId="16A0A00A" w:rsidR="00B37CD5" w:rsidRDefault="00B37CD5" w:rsidP="0073300A">
      <w:pPr>
        <w:spacing w:line="360" w:lineRule="auto"/>
        <w:jc w:val="both"/>
        <w:rPr>
          <w:rFonts w:asciiTheme="majorBidi" w:hAnsiTheme="majorBidi" w:cstheme="majorBidi"/>
          <w:sz w:val="24"/>
          <w:szCs w:val="24"/>
        </w:rPr>
      </w:pPr>
      <w:r>
        <w:rPr>
          <w:rFonts w:asciiTheme="majorBidi" w:hAnsiTheme="majorBidi" w:cstheme="majorBidi"/>
          <w:sz w:val="24"/>
          <w:szCs w:val="24"/>
        </w:rPr>
        <w:t xml:space="preserve">Your post very comprehensively tackles the issue of </w:t>
      </w:r>
      <w:r w:rsidR="00D810CC">
        <w:rPr>
          <w:rFonts w:asciiTheme="majorBidi" w:hAnsiTheme="majorBidi" w:cstheme="majorBidi"/>
          <w:sz w:val="24"/>
          <w:szCs w:val="24"/>
        </w:rPr>
        <w:t>statistically few nurses opting for gerontology as their major during nursing practice. Much of this reluctance has been associated with the attitude of nursing students towards older patients.</w:t>
      </w:r>
      <w:sdt>
        <w:sdtPr>
          <w:rPr>
            <w:rFonts w:asciiTheme="majorBidi" w:hAnsiTheme="majorBidi" w:cstheme="majorBidi"/>
            <w:sz w:val="24"/>
            <w:szCs w:val="24"/>
          </w:rPr>
          <w:id w:val="-2071260018"/>
          <w:citation/>
        </w:sdtPr>
        <w:sdtContent>
          <w:r w:rsidR="00D810CC">
            <w:rPr>
              <w:rFonts w:asciiTheme="majorBidi" w:hAnsiTheme="majorBidi" w:cstheme="majorBidi"/>
              <w:sz w:val="24"/>
              <w:szCs w:val="24"/>
            </w:rPr>
            <w:fldChar w:fldCharType="begin"/>
          </w:r>
          <w:r w:rsidR="00D810CC">
            <w:rPr>
              <w:rFonts w:asciiTheme="majorBidi" w:hAnsiTheme="majorBidi" w:cstheme="majorBidi"/>
              <w:sz w:val="24"/>
              <w:szCs w:val="24"/>
            </w:rPr>
            <w:instrText xml:space="preserve"> CITATION Mar15 \l 1033 </w:instrText>
          </w:r>
          <w:r w:rsidR="00D810CC">
            <w:rPr>
              <w:rFonts w:asciiTheme="majorBidi" w:hAnsiTheme="majorBidi" w:cstheme="majorBidi"/>
              <w:sz w:val="24"/>
              <w:szCs w:val="24"/>
            </w:rPr>
            <w:fldChar w:fldCharType="separate"/>
          </w:r>
          <w:r w:rsidR="00D810CC">
            <w:rPr>
              <w:rFonts w:asciiTheme="majorBidi" w:hAnsiTheme="majorBidi" w:cstheme="majorBidi"/>
              <w:noProof/>
              <w:sz w:val="24"/>
              <w:szCs w:val="24"/>
            </w:rPr>
            <w:t xml:space="preserve"> </w:t>
          </w:r>
          <w:r w:rsidR="00D810CC" w:rsidRPr="00D810CC">
            <w:rPr>
              <w:rFonts w:asciiTheme="majorBidi" w:hAnsiTheme="majorBidi" w:cstheme="majorBidi"/>
              <w:noProof/>
              <w:sz w:val="24"/>
              <w:szCs w:val="24"/>
            </w:rPr>
            <w:t>(Margarida Abreu, 2015)</w:t>
          </w:r>
          <w:r w:rsidR="00D810CC">
            <w:rPr>
              <w:rFonts w:asciiTheme="majorBidi" w:hAnsiTheme="majorBidi" w:cstheme="majorBidi"/>
              <w:sz w:val="24"/>
              <w:szCs w:val="24"/>
            </w:rPr>
            <w:fldChar w:fldCharType="end"/>
          </w:r>
        </w:sdtContent>
      </w:sdt>
      <w:r w:rsidR="00D810CC">
        <w:rPr>
          <w:rFonts w:asciiTheme="majorBidi" w:hAnsiTheme="majorBidi" w:cstheme="majorBidi"/>
          <w:sz w:val="24"/>
          <w:szCs w:val="24"/>
        </w:rPr>
        <w:t xml:space="preserve"> It is understandable that studies show nursing students to be uncertain when choosing gerontology since the job is repetitive, emotionally taxing and often unfruitful to a certain extent. It is exciting to see these reasons for hesitation in choosing gerontology being explained comprehensively and effortlessly in your post. It is </w:t>
      </w:r>
      <w:proofErr w:type="gramStart"/>
      <w:r w:rsidR="00D810CC">
        <w:rPr>
          <w:rFonts w:asciiTheme="majorBidi" w:hAnsiTheme="majorBidi" w:cstheme="majorBidi"/>
          <w:sz w:val="24"/>
          <w:szCs w:val="24"/>
        </w:rPr>
        <w:t>clearly evident</w:t>
      </w:r>
      <w:proofErr w:type="gramEnd"/>
      <w:r w:rsidR="00D810CC">
        <w:rPr>
          <w:rFonts w:asciiTheme="majorBidi" w:hAnsiTheme="majorBidi" w:cstheme="majorBidi"/>
          <w:sz w:val="24"/>
          <w:szCs w:val="24"/>
        </w:rPr>
        <w:t xml:space="preserve"> that you are </w:t>
      </w:r>
      <w:r w:rsidR="001E12E9">
        <w:rPr>
          <w:rFonts w:asciiTheme="majorBidi" w:hAnsiTheme="majorBidi" w:cstheme="majorBidi"/>
          <w:sz w:val="24"/>
          <w:szCs w:val="24"/>
        </w:rPr>
        <w:t xml:space="preserve">fluent in what you do and confident of what you know about your job. </w:t>
      </w:r>
    </w:p>
    <w:p w14:paraId="2B284F5D" w14:textId="363CC29D" w:rsidR="001E12E9" w:rsidRDefault="001E12E9" w:rsidP="0073300A">
      <w:pPr>
        <w:spacing w:line="360" w:lineRule="auto"/>
        <w:jc w:val="both"/>
        <w:rPr>
          <w:rFonts w:asciiTheme="majorBidi" w:hAnsiTheme="majorBidi" w:cstheme="majorBidi"/>
          <w:sz w:val="24"/>
          <w:szCs w:val="24"/>
        </w:rPr>
      </w:pPr>
      <w:r>
        <w:rPr>
          <w:rFonts w:asciiTheme="majorBidi" w:hAnsiTheme="majorBidi" w:cstheme="majorBidi"/>
          <w:sz w:val="24"/>
          <w:szCs w:val="24"/>
        </w:rPr>
        <w:t>However, a small anecdote to respectfully add here is the issue of burnout among gerontological nurses. Burnout is common in those nursing jobs that demand long-term care or have great risks of emotional exhaustion.</w:t>
      </w:r>
      <w:sdt>
        <w:sdtPr>
          <w:rPr>
            <w:rFonts w:asciiTheme="majorBidi" w:hAnsiTheme="majorBidi" w:cstheme="majorBidi"/>
            <w:sz w:val="24"/>
            <w:szCs w:val="24"/>
          </w:rPr>
          <w:id w:val="-1665923997"/>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CITATION Eri15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1E12E9">
            <w:rPr>
              <w:rFonts w:asciiTheme="majorBidi" w:hAnsiTheme="majorBidi" w:cstheme="majorBidi"/>
              <w:noProof/>
              <w:sz w:val="24"/>
              <w:szCs w:val="24"/>
            </w:rPr>
            <w:t>(Erin L. Woodhead, 2015)</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Gerontology is a strong contender for it. Therefore, when listing the reasons for fewer students in gerontological nursing and analyzing solutions, burnout among professionals should be considered seriously. </w:t>
      </w:r>
    </w:p>
    <w:p w14:paraId="5402C84B" w14:textId="3DF5848C" w:rsidR="001E12E9" w:rsidRDefault="001E12E9" w:rsidP="0073300A">
      <w:pPr>
        <w:spacing w:line="360" w:lineRule="auto"/>
        <w:jc w:val="both"/>
        <w:rPr>
          <w:rFonts w:asciiTheme="majorBidi" w:hAnsiTheme="majorBidi" w:cstheme="majorBidi"/>
          <w:sz w:val="24"/>
          <w:szCs w:val="24"/>
        </w:rPr>
      </w:pPr>
      <w:r>
        <w:rPr>
          <w:rFonts w:asciiTheme="majorBidi" w:hAnsiTheme="majorBidi" w:cstheme="majorBidi"/>
          <w:sz w:val="24"/>
          <w:szCs w:val="24"/>
        </w:rPr>
        <w:t>Your post also comes loaded with ideas on how to tackle this problem through incentives. This is, once again, remarkable. I can add a few ideas to wage incentives, forgiveness of loans and solving staffing problems. One of these is training nurse practitioners with a primary care training for gerontology so they can offer outpatient care.</w:t>
      </w:r>
      <w:sdt>
        <w:sdtPr>
          <w:rPr>
            <w:rFonts w:asciiTheme="majorBidi" w:hAnsiTheme="majorBidi" w:cstheme="majorBidi"/>
            <w:sz w:val="24"/>
            <w:szCs w:val="24"/>
          </w:rPr>
          <w:id w:val="1016966086"/>
          <w:citation/>
        </w:sdtPr>
        <w:sdtContent>
          <w:r>
            <w:rPr>
              <w:rFonts w:asciiTheme="majorBidi" w:hAnsiTheme="majorBidi" w:cstheme="majorBidi"/>
              <w:sz w:val="24"/>
              <w:szCs w:val="24"/>
            </w:rPr>
            <w:fldChar w:fldCharType="begin"/>
          </w:r>
          <w:r>
            <w:rPr>
              <w:rFonts w:asciiTheme="majorBidi" w:hAnsiTheme="majorBidi" w:cstheme="majorBidi"/>
              <w:sz w:val="24"/>
              <w:szCs w:val="24"/>
            </w:rPr>
            <w:instrText xml:space="preserve"> CITATION Ada15 \l 1033 </w:instrText>
          </w:r>
          <w:r>
            <w:rPr>
              <w:rFonts w:asciiTheme="majorBidi" w:hAnsiTheme="majorBidi" w:cstheme="majorBidi"/>
              <w:sz w:val="24"/>
              <w:szCs w:val="24"/>
            </w:rPr>
            <w:fldChar w:fldCharType="separate"/>
          </w:r>
          <w:r>
            <w:rPr>
              <w:rFonts w:asciiTheme="majorBidi" w:hAnsiTheme="majorBidi" w:cstheme="majorBidi"/>
              <w:noProof/>
              <w:sz w:val="24"/>
              <w:szCs w:val="24"/>
            </w:rPr>
            <w:t xml:space="preserve"> </w:t>
          </w:r>
          <w:r w:rsidRPr="001E12E9">
            <w:rPr>
              <w:rFonts w:asciiTheme="majorBidi" w:hAnsiTheme="majorBidi" w:cstheme="majorBidi"/>
              <w:noProof/>
              <w:sz w:val="24"/>
              <w:szCs w:val="24"/>
            </w:rPr>
            <w:t>(Adam G. Golden, 2015)</w:t>
          </w:r>
          <w:r>
            <w:rPr>
              <w:rFonts w:asciiTheme="majorBidi" w:hAnsiTheme="majorBidi" w:cstheme="majorBidi"/>
              <w:sz w:val="24"/>
              <w:szCs w:val="24"/>
            </w:rPr>
            <w:fldChar w:fldCharType="end"/>
          </w:r>
        </w:sdtContent>
      </w:sdt>
      <w:r w:rsidR="0073300A">
        <w:rPr>
          <w:rFonts w:asciiTheme="majorBidi" w:hAnsiTheme="majorBidi" w:cstheme="majorBidi"/>
          <w:sz w:val="24"/>
          <w:szCs w:val="24"/>
        </w:rPr>
        <w:t xml:space="preserve"> Another incentive that can prove to be quite successful in convincing nursing students to choose gerontology can be facilitated learning.</w:t>
      </w:r>
      <w:sdt>
        <w:sdtPr>
          <w:rPr>
            <w:rFonts w:asciiTheme="majorBidi" w:hAnsiTheme="majorBidi" w:cstheme="majorBidi"/>
            <w:sz w:val="24"/>
            <w:szCs w:val="24"/>
          </w:rPr>
          <w:id w:val="1883599915"/>
          <w:citation/>
        </w:sdtPr>
        <w:sdtContent>
          <w:r w:rsidR="0073300A">
            <w:rPr>
              <w:rFonts w:asciiTheme="majorBidi" w:hAnsiTheme="majorBidi" w:cstheme="majorBidi"/>
              <w:sz w:val="24"/>
              <w:szCs w:val="24"/>
            </w:rPr>
            <w:fldChar w:fldCharType="begin"/>
          </w:r>
          <w:r w:rsidR="0073300A">
            <w:rPr>
              <w:rFonts w:asciiTheme="majorBidi" w:hAnsiTheme="majorBidi" w:cstheme="majorBidi"/>
              <w:sz w:val="24"/>
              <w:szCs w:val="24"/>
            </w:rPr>
            <w:instrText xml:space="preserve"> CITATION Kat15 \l 1033 </w:instrText>
          </w:r>
          <w:r w:rsidR="0073300A">
            <w:rPr>
              <w:rFonts w:asciiTheme="majorBidi" w:hAnsiTheme="majorBidi" w:cstheme="majorBidi"/>
              <w:sz w:val="24"/>
              <w:szCs w:val="24"/>
            </w:rPr>
            <w:fldChar w:fldCharType="separate"/>
          </w:r>
          <w:r w:rsidR="0073300A">
            <w:rPr>
              <w:rFonts w:asciiTheme="majorBidi" w:hAnsiTheme="majorBidi" w:cstheme="majorBidi"/>
              <w:noProof/>
              <w:sz w:val="24"/>
              <w:szCs w:val="24"/>
            </w:rPr>
            <w:t xml:space="preserve"> </w:t>
          </w:r>
          <w:r w:rsidR="0073300A" w:rsidRPr="0073300A">
            <w:rPr>
              <w:rFonts w:asciiTheme="majorBidi" w:hAnsiTheme="majorBidi" w:cstheme="majorBidi"/>
              <w:noProof/>
              <w:sz w:val="24"/>
              <w:szCs w:val="24"/>
            </w:rPr>
            <w:t>(Kathleen Krichbaum, 2015)</w:t>
          </w:r>
          <w:r w:rsidR="0073300A">
            <w:rPr>
              <w:rFonts w:asciiTheme="majorBidi" w:hAnsiTheme="majorBidi" w:cstheme="majorBidi"/>
              <w:sz w:val="24"/>
              <w:szCs w:val="24"/>
            </w:rPr>
            <w:fldChar w:fldCharType="end"/>
          </w:r>
        </w:sdtContent>
      </w:sdt>
      <w:r w:rsidR="0073300A">
        <w:rPr>
          <w:rFonts w:asciiTheme="majorBidi" w:hAnsiTheme="majorBidi" w:cstheme="majorBidi"/>
          <w:sz w:val="24"/>
          <w:szCs w:val="24"/>
        </w:rPr>
        <w:t xml:space="preserve"> This involves seminars and mentorship models. One of the motives could be inculcating empathy in young nursing students and reducing inherent anxiety towards ageing.</w:t>
      </w:r>
    </w:p>
    <w:p w14:paraId="0EEAC64E" w14:textId="378A6012" w:rsidR="0073300A" w:rsidRDefault="0073300A" w:rsidP="0073300A">
      <w:pPr>
        <w:spacing w:line="360" w:lineRule="auto"/>
        <w:jc w:val="both"/>
        <w:rPr>
          <w:rFonts w:asciiTheme="majorBidi" w:hAnsiTheme="majorBidi" w:cstheme="majorBidi"/>
          <w:sz w:val="24"/>
          <w:szCs w:val="24"/>
        </w:rPr>
      </w:pPr>
      <w:r>
        <w:rPr>
          <w:rFonts w:asciiTheme="majorBidi" w:hAnsiTheme="majorBidi" w:cstheme="majorBidi"/>
          <w:sz w:val="24"/>
          <w:szCs w:val="24"/>
        </w:rPr>
        <w:t>In a time when the number of older people in need for constant medical care continues to rise, it is vital that relevant authorities invest in these incentives so the available number of gerontological nurses can meet the demand.</w:t>
      </w:r>
    </w:p>
    <w:p w14:paraId="6CDB63A3" w14:textId="2484461A" w:rsidR="0073300A" w:rsidRDefault="0073300A" w:rsidP="0073300A">
      <w:pPr>
        <w:rPr>
          <w:rFonts w:asciiTheme="majorBidi" w:hAnsiTheme="majorBidi" w:cstheme="majorBidi"/>
          <w:sz w:val="24"/>
          <w:szCs w:val="24"/>
        </w:rPr>
      </w:pPr>
      <w:r>
        <w:rPr>
          <w:rFonts w:asciiTheme="majorBidi" w:hAnsiTheme="majorBidi" w:cstheme="majorBidi"/>
          <w:sz w:val="24"/>
          <w:szCs w:val="24"/>
        </w:rPr>
        <w:br w:type="page"/>
      </w:r>
    </w:p>
    <w:sdt>
      <w:sdtPr>
        <w:id w:val="1797796785"/>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3F76BE50" w14:textId="670E95C4" w:rsidR="0073300A" w:rsidRPr="0073300A" w:rsidRDefault="0073300A" w:rsidP="0073300A">
          <w:pPr>
            <w:pStyle w:val="Heading1"/>
            <w:jc w:val="center"/>
            <w:rPr>
              <w:rFonts w:asciiTheme="majorBidi" w:hAnsiTheme="majorBidi"/>
              <w:color w:val="auto"/>
            </w:rPr>
          </w:pPr>
          <w:r w:rsidRPr="0073300A">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26F7364A" w14:textId="77777777" w:rsidR="0073300A" w:rsidRPr="0073300A" w:rsidRDefault="0073300A" w:rsidP="0073300A">
              <w:pPr>
                <w:pStyle w:val="Bibliography"/>
                <w:ind w:left="720" w:hanging="720"/>
                <w:rPr>
                  <w:rFonts w:asciiTheme="majorBidi" w:hAnsiTheme="majorBidi" w:cstheme="majorBidi"/>
                  <w:noProof/>
                  <w:sz w:val="24"/>
                  <w:szCs w:val="24"/>
                </w:rPr>
              </w:pPr>
              <w:r w:rsidRPr="0073300A">
                <w:rPr>
                  <w:rFonts w:asciiTheme="majorBidi" w:hAnsiTheme="majorBidi" w:cstheme="majorBidi"/>
                </w:rPr>
                <w:fldChar w:fldCharType="begin"/>
              </w:r>
              <w:r w:rsidRPr="0073300A">
                <w:rPr>
                  <w:rFonts w:asciiTheme="majorBidi" w:hAnsiTheme="majorBidi" w:cstheme="majorBidi"/>
                </w:rPr>
                <w:instrText xml:space="preserve"> BIBLIOGRAPHY </w:instrText>
              </w:r>
              <w:r w:rsidRPr="0073300A">
                <w:rPr>
                  <w:rFonts w:asciiTheme="majorBidi" w:hAnsiTheme="majorBidi" w:cstheme="majorBidi"/>
                </w:rPr>
                <w:fldChar w:fldCharType="separate"/>
              </w:r>
              <w:r w:rsidRPr="0073300A">
                <w:rPr>
                  <w:rFonts w:asciiTheme="majorBidi" w:hAnsiTheme="majorBidi" w:cstheme="majorBidi"/>
                  <w:noProof/>
                </w:rPr>
                <w:t xml:space="preserve">Adam G. Golden, M. A. (2015). Addressing the Shortage of Geriatricians: What Medical Educators Can Learn From the Nurse Practitioner Training Model. </w:t>
              </w:r>
              <w:r w:rsidRPr="0073300A">
                <w:rPr>
                  <w:rFonts w:asciiTheme="majorBidi" w:hAnsiTheme="majorBidi" w:cstheme="majorBidi"/>
                  <w:i/>
                  <w:iCs/>
                  <w:noProof/>
                </w:rPr>
                <w:t>Academic Medicine</w:t>
              </w:r>
              <w:r w:rsidRPr="0073300A">
                <w:rPr>
                  <w:rFonts w:asciiTheme="majorBidi" w:hAnsiTheme="majorBidi" w:cstheme="majorBidi"/>
                  <w:noProof/>
                </w:rPr>
                <w:t>, 1236-1240.</w:t>
              </w:r>
            </w:p>
            <w:p w14:paraId="74EA76E4" w14:textId="77777777" w:rsidR="0073300A" w:rsidRPr="0073300A" w:rsidRDefault="0073300A" w:rsidP="0073300A">
              <w:pPr>
                <w:pStyle w:val="Bibliography"/>
                <w:ind w:left="720" w:hanging="720"/>
                <w:rPr>
                  <w:rFonts w:asciiTheme="majorBidi" w:hAnsiTheme="majorBidi" w:cstheme="majorBidi"/>
                  <w:noProof/>
                </w:rPr>
              </w:pPr>
              <w:r w:rsidRPr="0073300A">
                <w:rPr>
                  <w:rFonts w:asciiTheme="majorBidi" w:hAnsiTheme="majorBidi" w:cstheme="majorBidi"/>
                  <w:noProof/>
                </w:rPr>
                <w:t xml:space="preserve">Erin L. Woodhead, L. N. (2015). Stress, Social Support, and Burnout Among Long-Term Care Nursing Staff. </w:t>
              </w:r>
              <w:r w:rsidRPr="0073300A">
                <w:rPr>
                  <w:rFonts w:asciiTheme="majorBidi" w:hAnsiTheme="majorBidi" w:cstheme="majorBidi"/>
                  <w:i/>
                  <w:iCs/>
                  <w:noProof/>
                </w:rPr>
                <w:t xml:space="preserve">Journal of Applied Gerontology </w:t>
              </w:r>
              <w:r w:rsidRPr="0073300A">
                <w:rPr>
                  <w:rFonts w:asciiTheme="majorBidi" w:hAnsiTheme="majorBidi" w:cstheme="majorBidi"/>
                  <w:noProof/>
                </w:rPr>
                <w:t>, 84-105.</w:t>
              </w:r>
            </w:p>
            <w:p w14:paraId="61E00A01" w14:textId="77777777" w:rsidR="0073300A" w:rsidRPr="0073300A" w:rsidRDefault="0073300A" w:rsidP="0073300A">
              <w:pPr>
                <w:pStyle w:val="Bibliography"/>
                <w:ind w:left="720" w:hanging="720"/>
                <w:rPr>
                  <w:rFonts w:asciiTheme="majorBidi" w:hAnsiTheme="majorBidi" w:cstheme="majorBidi"/>
                  <w:noProof/>
                </w:rPr>
              </w:pPr>
              <w:r w:rsidRPr="0073300A">
                <w:rPr>
                  <w:rFonts w:asciiTheme="majorBidi" w:hAnsiTheme="majorBidi" w:cstheme="majorBidi"/>
                  <w:noProof/>
                </w:rPr>
                <w:t xml:space="preserve">Kathleen Krichbaum, M. J. (2015). Facilitated Learning to Advance Geriatrics: Increasing the Capacity of Nurse Faculty to Teach Students About Caring for Older Adults. </w:t>
              </w:r>
              <w:r w:rsidRPr="0073300A">
                <w:rPr>
                  <w:rFonts w:asciiTheme="majorBidi" w:hAnsiTheme="majorBidi" w:cstheme="majorBidi"/>
                  <w:i/>
                  <w:iCs/>
                  <w:noProof/>
                </w:rPr>
                <w:t xml:space="preserve">The Gerontologist </w:t>
              </w:r>
              <w:r w:rsidRPr="0073300A">
                <w:rPr>
                  <w:rFonts w:asciiTheme="majorBidi" w:hAnsiTheme="majorBidi" w:cstheme="majorBidi"/>
                  <w:noProof/>
                </w:rPr>
                <w:t>, s154-s164.</w:t>
              </w:r>
            </w:p>
            <w:p w14:paraId="6AECA7E5" w14:textId="77777777" w:rsidR="0073300A" w:rsidRPr="0073300A" w:rsidRDefault="0073300A" w:rsidP="0073300A">
              <w:pPr>
                <w:pStyle w:val="Bibliography"/>
                <w:ind w:left="720" w:hanging="720"/>
                <w:rPr>
                  <w:rFonts w:asciiTheme="majorBidi" w:hAnsiTheme="majorBidi" w:cstheme="majorBidi"/>
                  <w:noProof/>
                </w:rPr>
              </w:pPr>
              <w:r w:rsidRPr="0073300A">
                <w:rPr>
                  <w:rFonts w:asciiTheme="majorBidi" w:hAnsiTheme="majorBidi" w:cstheme="majorBidi"/>
                  <w:noProof/>
                </w:rPr>
                <w:t xml:space="preserve">Margarida Abreu, N. C. (2015). Attitudes toward Aging in Portuguese Nursing Students. </w:t>
              </w:r>
              <w:r w:rsidRPr="0073300A">
                <w:rPr>
                  <w:rFonts w:asciiTheme="majorBidi" w:hAnsiTheme="majorBidi" w:cstheme="majorBidi"/>
                  <w:i/>
                  <w:iCs/>
                  <w:noProof/>
                </w:rPr>
                <w:t>Procedia - Social and Behavioral Sciences</w:t>
              </w:r>
              <w:r w:rsidRPr="0073300A">
                <w:rPr>
                  <w:rFonts w:asciiTheme="majorBidi" w:hAnsiTheme="majorBidi" w:cstheme="majorBidi"/>
                  <w:noProof/>
                </w:rPr>
                <w:t>, 961-967.</w:t>
              </w:r>
            </w:p>
            <w:p w14:paraId="496FCBF8" w14:textId="4313BB8B" w:rsidR="0073300A" w:rsidRDefault="0073300A" w:rsidP="0073300A">
              <w:r w:rsidRPr="0073300A">
                <w:rPr>
                  <w:rFonts w:asciiTheme="majorBidi" w:hAnsiTheme="majorBidi" w:cstheme="majorBidi"/>
                  <w:b/>
                  <w:bCs/>
                  <w:noProof/>
                </w:rPr>
                <w:fldChar w:fldCharType="end"/>
              </w:r>
            </w:p>
          </w:sdtContent>
        </w:sdt>
      </w:sdtContent>
    </w:sdt>
    <w:p w14:paraId="61685F86" w14:textId="77777777" w:rsidR="0073300A" w:rsidRPr="00B37CD5" w:rsidRDefault="0073300A" w:rsidP="00B37CD5">
      <w:pPr>
        <w:spacing w:line="480" w:lineRule="auto"/>
        <w:jc w:val="both"/>
        <w:rPr>
          <w:rFonts w:asciiTheme="majorBidi" w:hAnsiTheme="majorBidi" w:cstheme="majorBidi"/>
          <w:sz w:val="24"/>
          <w:szCs w:val="24"/>
        </w:rPr>
      </w:pPr>
    </w:p>
    <w:sectPr w:rsidR="0073300A" w:rsidRPr="00B37C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CD5"/>
    <w:rsid w:val="001E12E9"/>
    <w:rsid w:val="006231E1"/>
    <w:rsid w:val="0073300A"/>
    <w:rsid w:val="008D3CF3"/>
    <w:rsid w:val="00B37CD5"/>
    <w:rsid w:val="00D810CC"/>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EA779"/>
  <w15:chartTrackingRefBased/>
  <w15:docId w15:val="{C41FCEC2-1594-4315-AD88-2CA427F5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CD5"/>
    <w:rPr>
      <w:lang w:val="en-US" w:bidi="ur-PK"/>
    </w:rPr>
  </w:style>
  <w:style w:type="paragraph" w:styleId="Heading1">
    <w:name w:val="heading 1"/>
    <w:basedOn w:val="Normal"/>
    <w:next w:val="Normal"/>
    <w:link w:val="Heading1Char"/>
    <w:uiPriority w:val="9"/>
    <w:qFormat/>
    <w:rsid w:val="0073300A"/>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300A"/>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733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0073227">
      <w:bodyDiv w:val="1"/>
      <w:marLeft w:val="0"/>
      <w:marRight w:val="0"/>
      <w:marTop w:val="0"/>
      <w:marBottom w:val="0"/>
      <w:divBdr>
        <w:top w:val="none" w:sz="0" w:space="0" w:color="auto"/>
        <w:left w:val="none" w:sz="0" w:space="0" w:color="auto"/>
        <w:bottom w:val="none" w:sz="0" w:space="0" w:color="auto"/>
        <w:right w:val="none" w:sz="0" w:space="0" w:color="auto"/>
      </w:divBdr>
    </w:div>
    <w:div w:id="998076273">
      <w:bodyDiv w:val="1"/>
      <w:marLeft w:val="0"/>
      <w:marRight w:val="0"/>
      <w:marTop w:val="0"/>
      <w:marBottom w:val="0"/>
      <w:divBdr>
        <w:top w:val="none" w:sz="0" w:space="0" w:color="auto"/>
        <w:left w:val="none" w:sz="0" w:space="0" w:color="auto"/>
        <w:bottom w:val="none" w:sz="0" w:space="0" w:color="auto"/>
        <w:right w:val="none" w:sz="0" w:space="0" w:color="auto"/>
      </w:divBdr>
    </w:div>
    <w:div w:id="1346906049">
      <w:bodyDiv w:val="1"/>
      <w:marLeft w:val="0"/>
      <w:marRight w:val="0"/>
      <w:marTop w:val="0"/>
      <w:marBottom w:val="0"/>
      <w:divBdr>
        <w:top w:val="none" w:sz="0" w:space="0" w:color="auto"/>
        <w:left w:val="none" w:sz="0" w:space="0" w:color="auto"/>
        <w:bottom w:val="none" w:sz="0" w:space="0" w:color="auto"/>
        <w:right w:val="none" w:sz="0" w:space="0" w:color="auto"/>
      </w:divBdr>
    </w:div>
    <w:div w:id="1483540583">
      <w:bodyDiv w:val="1"/>
      <w:marLeft w:val="0"/>
      <w:marRight w:val="0"/>
      <w:marTop w:val="0"/>
      <w:marBottom w:val="0"/>
      <w:divBdr>
        <w:top w:val="none" w:sz="0" w:space="0" w:color="auto"/>
        <w:left w:val="none" w:sz="0" w:space="0" w:color="auto"/>
        <w:bottom w:val="none" w:sz="0" w:space="0" w:color="auto"/>
        <w:right w:val="none" w:sz="0" w:space="0" w:color="auto"/>
      </w:divBdr>
    </w:div>
    <w:div w:id="1626279407">
      <w:bodyDiv w:val="1"/>
      <w:marLeft w:val="0"/>
      <w:marRight w:val="0"/>
      <w:marTop w:val="0"/>
      <w:marBottom w:val="0"/>
      <w:divBdr>
        <w:top w:val="none" w:sz="0" w:space="0" w:color="auto"/>
        <w:left w:val="none" w:sz="0" w:space="0" w:color="auto"/>
        <w:bottom w:val="none" w:sz="0" w:space="0" w:color="auto"/>
        <w:right w:val="none" w:sz="0" w:space="0" w:color="auto"/>
      </w:divBdr>
    </w:div>
    <w:div w:id="1899241264">
      <w:bodyDiv w:val="1"/>
      <w:marLeft w:val="0"/>
      <w:marRight w:val="0"/>
      <w:marTop w:val="0"/>
      <w:marBottom w:val="0"/>
      <w:divBdr>
        <w:top w:val="none" w:sz="0" w:space="0" w:color="auto"/>
        <w:left w:val="none" w:sz="0" w:space="0" w:color="auto"/>
        <w:bottom w:val="none" w:sz="0" w:space="0" w:color="auto"/>
        <w:right w:val="none" w:sz="0" w:space="0" w:color="auto"/>
      </w:divBdr>
    </w:div>
    <w:div w:id="206066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Mar15</b:Tag>
    <b:SourceType>JournalArticle</b:SourceType>
    <b:Guid>{601DB4D3-848E-43B2-9E8C-F815CD86D859}</b:Guid>
    <b:Author>
      <b:Author>
        <b:NameList>
          <b:Person>
            <b:Last>Margarida Abreu</b:Last>
            <b:First>Nilza</b:First>
            <b:Middle>Caldevilla</b:Middle>
          </b:Person>
        </b:NameList>
      </b:Author>
    </b:Author>
    <b:Title>Attitudes toward Aging in Portuguese Nursing Students</b:Title>
    <b:JournalName>Procedia - Social and Behavioral Sciences</b:JournalName>
    <b:Year>2015</b:Year>
    <b:Pages>961-967</b:Pages>
    <b:RefOrder>1</b:RefOrder>
  </b:Source>
  <b:Source>
    <b:Tag>Eri15</b:Tag>
    <b:SourceType>JournalArticle</b:SourceType>
    <b:Guid>{097ACCA2-1BFD-4DD6-B5D9-A3DE87216832}</b:Guid>
    <b:Author>
      <b:Author>
        <b:NameList>
          <b:Person>
            <b:Last>Erin L. Woodhead</b:Last>
            <b:First>Lynn</b:First>
            <b:Middle>Northrop, Barry Edelstein</b:Middle>
          </b:Person>
        </b:NameList>
      </b:Author>
    </b:Author>
    <b:Year>2015</b:Year>
    <b:Title>Stress, Social Support, and Burnout Among Long-Term Care Nursing Staff</b:Title>
    <b:JournalName>Journal of Applied Gerontology </b:JournalName>
    <b:Pages>84-105</b:Pages>
    <b:RefOrder>2</b:RefOrder>
  </b:Source>
  <b:Source>
    <b:Tag>Ada15</b:Tag>
    <b:SourceType>JournalArticle</b:SourceType>
    <b:Guid>{C956B3B0-73BB-4E19-8AFA-29A8239C4026}</b:Guid>
    <b:Author>
      <b:Author>
        <b:NameList>
          <b:Person>
            <b:Last>Adam G. Golden</b:Last>
            <b:First>Michael</b:First>
            <b:Middle>A. Silverman and S. Barry Issenberg</b:Middle>
          </b:Person>
        </b:NameList>
      </b:Author>
    </b:Author>
    <b:Title>Addressing the Shortage of Geriatricians: What Medical Educators Can Learn From the Nurse Practitioner Training Model</b:Title>
    <b:JournalName>Academic Medicine</b:JournalName>
    <b:Year>2015</b:Year>
    <b:Pages>1236-1240</b:Pages>
    <b:RefOrder>3</b:RefOrder>
  </b:Source>
  <b:Source>
    <b:Tag>Kat15</b:Tag>
    <b:SourceType>JournalArticle</b:SourceType>
    <b:Guid>{3F5C9F47-426D-45BA-8ECD-622C97A404EE}</b:Guid>
    <b:Author>
      <b:Author>
        <b:NameList>
          <b:Person>
            <b:Last>Kathleen Krichbaum</b:Last>
            <b:First>Merrie</b:First>
            <b:Middle>J. Kaas, Jean F. Wyman and Catherine R. Van Son</b:Middle>
          </b:Person>
        </b:NameList>
      </b:Author>
    </b:Author>
    <b:Title>Facilitated Learning to Advance Geriatrics: Increasing the Capacity of Nurse Faculty to Teach Students About Caring for Older Adults</b:Title>
    <b:JournalName>The Gerontologist </b:JournalName>
    <b:Year>2015</b:Year>
    <b:Pages>s154-s164</b:Pages>
    <b:RefOrder>4</b:RefOrder>
  </b:Source>
</b:Sources>
</file>

<file path=customXml/itemProps1.xml><?xml version="1.0" encoding="utf-8"?>
<ds:datastoreItem xmlns:ds="http://schemas.openxmlformats.org/officeDocument/2006/customXml" ds:itemID="{630B3A47-8F5C-48D9-BFE1-DBC0B2DD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2019-08-31T22:04:00Z</dcterms:created>
  <dcterms:modified xsi:type="dcterms:W3CDTF">2019-08-31T22:43:00Z</dcterms:modified>
</cp:coreProperties>
</file>