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DB750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053590E6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0D191D48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65A1436B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64318148" w14:textId="77777777" w:rsidR="00262CDC" w:rsidRDefault="00262CDC" w:rsidP="00527068">
      <w:pPr>
        <w:spacing w:before="180" w:after="180" w:line="48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6BCE8008" w14:textId="326AC8B2" w:rsidR="00262CDC" w:rsidRDefault="00527068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Oracle vs.</w:t>
      </w:r>
      <w:r w:rsidR="005A120B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Google</w:t>
      </w:r>
    </w:p>
    <w:p w14:paraId="1F8143BE" w14:textId="2909FB12" w:rsidR="004E4242" w:rsidRDefault="004E4242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Name of Student </w:t>
      </w:r>
    </w:p>
    <w:p w14:paraId="7EF1A02D" w14:textId="70A162DE" w:rsidR="004E4242" w:rsidRDefault="004E4242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Institutional Affil</w:t>
      </w:r>
      <w:r w:rsidR="00353D00">
        <w:rPr>
          <w:rFonts w:ascii="Times New Roman" w:eastAsia="Times New Roman" w:hAnsi="Times New Roman" w:cs="Times New Roman"/>
          <w:color w:val="2D3B4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ation</w:t>
      </w:r>
      <w:r w:rsidR="003429B7">
        <w:rPr>
          <w:rFonts w:ascii="Times New Roman" w:eastAsia="Times New Roman" w:hAnsi="Times New Roman" w:cs="Times New Roman"/>
          <w:color w:val="2D3B45"/>
          <w:sz w:val="24"/>
          <w:szCs w:val="24"/>
        </w:rPr>
        <w:t>s</w:t>
      </w:r>
    </w:p>
    <w:p w14:paraId="7C5DDBB5" w14:textId="77777777" w:rsidR="00527068" w:rsidRDefault="00527068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37C2A0CC" w14:textId="77777777" w:rsidR="00527068" w:rsidRDefault="00527068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409F7745" w14:textId="77777777" w:rsidR="00527068" w:rsidRDefault="00527068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40AF5EA5" w14:textId="2F42E262" w:rsidR="00527068" w:rsidRDefault="00527068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Author Note</w:t>
      </w:r>
    </w:p>
    <w:p w14:paraId="1F5505A3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137FA8DB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23CED5FA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2C6CDAAD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1C6C5C3C" w14:textId="77777777" w:rsidR="00262CDC" w:rsidRDefault="00262CDC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33F39342" w14:textId="77777777" w:rsidR="00527068" w:rsidRDefault="00527068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23356361" w14:textId="273520BB" w:rsidR="00DD32EA" w:rsidRPr="001A5061" w:rsidRDefault="00DD32EA" w:rsidP="001A5061">
      <w:pPr>
        <w:spacing w:before="180" w:after="180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lastRenderedPageBreak/>
        <w:t>Case Analysis: </w:t>
      </w:r>
      <w:r w:rsidRPr="003429B7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Oracle </w:t>
      </w:r>
      <w:r w:rsidR="00527068" w:rsidRPr="003429B7">
        <w:rPr>
          <w:rFonts w:ascii="Times New Roman" w:eastAsia="Times New Roman" w:hAnsi="Times New Roman" w:cs="Times New Roman"/>
          <w:color w:val="2D3B45"/>
          <w:sz w:val="24"/>
          <w:szCs w:val="24"/>
        </w:rPr>
        <w:t>v</w:t>
      </w:r>
      <w:r w:rsidR="00527068">
        <w:rPr>
          <w:rFonts w:ascii="Times New Roman" w:eastAsia="Times New Roman" w:hAnsi="Times New Roman" w:cs="Times New Roman"/>
          <w:color w:val="2D3B45"/>
          <w:sz w:val="24"/>
          <w:szCs w:val="24"/>
        </w:rPr>
        <w:t>s.</w:t>
      </w:r>
      <w:r w:rsidRPr="003429B7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Google</w:t>
      </w:r>
    </w:p>
    <w:p w14:paraId="5E4E34BD" w14:textId="045EA71D" w:rsidR="00DD32EA" w:rsidRPr="00D01B0F" w:rsidRDefault="00DD32EA" w:rsidP="00D01B0F">
      <w:pPr>
        <w:spacing w:before="100" w:beforeAutospacing="1" w:after="100" w:afterAutospacing="1" w:line="48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Issue</w:t>
      </w:r>
    </w:p>
    <w:p w14:paraId="794A11EB" w14:textId="1858A433" w:rsidR="00DD32EA" w:rsidRPr="001A5061" w:rsidRDefault="00DD32EA" w:rsidP="001A5061">
      <w:pPr>
        <w:numPr>
          <w:ilvl w:val="1"/>
          <w:numId w:val="1"/>
        </w:numPr>
        <w:spacing w:before="100" w:beforeAutospacing="1" w:after="100" w:afterAutospacing="1" w:line="480" w:lineRule="auto"/>
        <w:ind w:left="75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What is the legal question that, when answered, determines the legal result of the case? What are the parties disputing and what do they want the court to decide?</w:t>
      </w:r>
    </w:p>
    <w:p w14:paraId="1B9FF0F3" w14:textId="557603E6" w:rsidR="00323BDF" w:rsidRPr="001A5061" w:rsidRDefault="00323BDF" w:rsidP="008C26F1">
      <w:pPr>
        <w:spacing w:before="100" w:beforeAutospacing="1" w:after="100" w:afterAutospacing="1" w:line="480" w:lineRule="auto"/>
        <w:ind w:left="375"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 legal question is whether Oracle can claim copyright </w:t>
      </w:r>
      <w:r w:rsidR="00E80F6B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on Java APIs</w:t>
      </w:r>
      <w:r w:rsidR="0017482D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and whether Google broke these copyright rules or not?</w:t>
      </w:r>
      <w:r w:rsidR="00902FAA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The Android operating system was based on a new system of Java that was written by Google itself. </w:t>
      </w:r>
      <w:r w:rsidR="003A705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There were certain similarities in the Java APIs used by Google and Oracle</w:t>
      </w:r>
      <w:r w:rsidR="00377C9C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. These specifications allow the various programs to communicate with each other</w:t>
      </w:r>
      <w:sdt>
        <w:sdtPr>
          <w:rPr>
            <w:rFonts w:ascii="Times New Roman" w:eastAsia="Times New Roman" w:hAnsi="Times New Roman" w:cs="Times New Roman"/>
            <w:color w:val="2D3B45"/>
            <w:sz w:val="24"/>
            <w:szCs w:val="24"/>
          </w:rPr>
          <w:id w:val="-705719847"/>
          <w:citation/>
        </w:sdtPr>
        <w:sdtEndPr/>
        <w:sdtContent>
          <w:r w:rsidR="001A5061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fldChar w:fldCharType="begin"/>
          </w:r>
          <w:r w:rsidR="001A5061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instrText xml:space="preserve"> CITATION Jef18 \l 1033 </w:instrText>
          </w:r>
          <w:r w:rsidR="001A5061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fldChar w:fldCharType="separate"/>
          </w:r>
          <w:r w:rsidR="001A5061" w:rsidRPr="001A5061">
            <w:rPr>
              <w:rFonts w:ascii="Times New Roman" w:eastAsia="Times New Roman" w:hAnsi="Times New Roman" w:cs="Times New Roman"/>
              <w:noProof/>
              <w:color w:val="2D3B45"/>
              <w:sz w:val="24"/>
              <w:szCs w:val="24"/>
            </w:rPr>
            <w:t xml:space="preserve"> (Lazarto, 2018)</w:t>
          </w:r>
          <w:r w:rsidR="001A5061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fldChar w:fldCharType="end"/>
          </w:r>
        </w:sdtContent>
      </w:sdt>
      <w:r w:rsidR="00377C9C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. </w:t>
      </w:r>
      <w:r w:rsidR="0046201E">
        <w:rPr>
          <w:rFonts w:ascii="Times New Roman" w:eastAsia="Times New Roman" w:hAnsi="Times New Roman" w:cs="Times New Roman"/>
          <w:color w:val="2D3B45"/>
          <w:sz w:val="24"/>
          <w:szCs w:val="24"/>
        </w:rPr>
        <w:t>The court will decide whether the use of APIs by google was fair or not</w:t>
      </w:r>
      <w:r w:rsidR="0083269E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and whether the use broke the copyright laws. </w:t>
      </w:r>
    </w:p>
    <w:p w14:paraId="69B061D2" w14:textId="4FC434BA" w:rsidR="00DD32EA" w:rsidRPr="00D01B0F" w:rsidRDefault="00DD32EA" w:rsidP="00D01B0F">
      <w:pPr>
        <w:spacing w:before="100" w:beforeAutospacing="1" w:after="100" w:afterAutospacing="1" w:line="48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 w:rsidRPr="00D01B0F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Rule</w:t>
      </w:r>
    </w:p>
    <w:p w14:paraId="2EA5AD1A" w14:textId="1B04DB1F" w:rsidR="00DD32EA" w:rsidRPr="001A5061" w:rsidRDefault="00DD32EA" w:rsidP="001A5061">
      <w:pPr>
        <w:numPr>
          <w:ilvl w:val="1"/>
          <w:numId w:val="1"/>
        </w:numPr>
        <w:spacing w:before="100" w:beforeAutospacing="1" w:after="100" w:afterAutospacing="1" w:line="480" w:lineRule="auto"/>
        <w:ind w:left="75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What law or test applies to the issue?</w:t>
      </w:r>
    </w:p>
    <w:p w14:paraId="2456F47A" w14:textId="0E4C6CEB" w:rsidR="00E67BFC" w:rsidRPr="001A5061" w:rsidRDefault="005E3773" w:rsidP="001A5061">
      <w:pPr>
        <w:spacing w:before="100" w:beforeAutospacing="1" w:after="100" w:afterAutospacing="1" w:line="480" w:lineRule="auto"/>
        <w:ind w:left="390"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The law is associated to API and copyright law. The dispute is based upon the use of several lines of code</w:t>
      </w:r>
      <w:r w:rsidR="00C24383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including the application programming interfaces. </w:t>
      </w:r>
      <w:r w:rsidR="0025011F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These interfaces were owned by Oracle. Google has shifted the use of </w:t>
      </w:r>
      <w:r w:rsidR="008345A8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APIs to other engine and claims that its use of APIs wa</w:t>
      </w:r>
      <w:r w:rsidR="00DA3CDF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s</w:t>
      </w:r>
      <w:r w:rsidR="008345A8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under fair use. The initial lawsuit stated that the APIs </w:t>
      </w:r>
      <w:r w:rsidR="00DA3CDF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come under </w:t>
      </w:r>
      <w:r w:rsidR="004B2E0C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the copyright material.</w:t>
      </w:r>
    </w:p>
    <w:p w14:paraId="2147FEE1" w14:textId="77777777" w:rsidR="00527068" w:rsidRDefault="00527068" w:rsidP="00D01B0F">
      <w:pPr>
        <w:spacing w:before="100" w:beforeAutospacing="1" w:after="100" w:afterAutospacing="1" w:line="48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</w:p>
    <w:p w14:paraId="6209B0FD" w14:textId="77777777" w:rsidR="00527068" w:rsidRDefault="00527068" w:rsidP="00D01B0F">
      <w:pPr>
        <w:spacing w:before="100" w:beforeAutospacing="1" w:after="100" w:afterAutospacing="1" w:line="48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</w:p>
    <w:p w14:paraId="6D21BF0C" w14:textId="3ED0EA9D" w:rsidR="00DD32EA" w:rsidRPr="00A71CCA" w:rsidRDefault="00DD32EA" w:rsidP="00D01B0F">
      <w:pPr>
        <w:spacing w:before="100" w:beforeAutospacing="1" w:after="100" w:afterAutospacing="1" w:line="480" w:lineRule="auto"/>
        <w:ind w:left="375"/>
        <w:jc w:val="center"/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</w:pPr>
      <w:r w:rsidRPr="00A71CCA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lastRenderedPageBreak/>
        <w:t>Analysis</w:t>
      </w:r>
    </w:p>
    <w:p w14:paraId="45F2D217" w14:textId="77777777" w:rsidR="00527068" w:rsidRDefault="00527068" w:rsidP="00527068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          </w:t>
      </w:r>
      <w:r w:rsidR="00124801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Some courts decided the case in favor of Google stating that the Aps do not fall under the copyright issues. </w:t>
      </w:r>
      <w:r w:rsidR="005A650B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The problem with </w:t>
      </w:r>
      <w:r w:rsidR="00A826E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favoring Oracle was that it would have provided an almost monopoly to Oracle </w:t>
      </w:r>
      <w:r w:rsidR="000F2FB7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regarding technological development. This verdict of the </w:t>
      </w:r>
      <w:r w:rsidR="00BD0B85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jury was challenged by Oracle in the US court of appeals. </w:t>
      </w:r>
      <w:r w:rsidR="001C027B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There were </w:t>
      </w:r>
      <w:r w:rsidR="000948F1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37 packages of source code related to computer. The important thing is the content of the codes but nor their names. </w:t>
      </w:r>
      <w:r w:rsidR="009B7349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Oracle filed a suit in the US district cou</w:t>
      </w:r>
      <w:r w:rsidR="003F3610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r</w:t>
      </w:r>
      <w:r w:rsidR="009B7349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ts that Google’s Android Mobile operating </w:t>
      </w:r>
      <w:r w:rsidR="00FB46B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system used the copyrighted material owned by Oracle</w:t>
      </w:r>
      <w:r w:rsidR="003F3610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. </w:t>
      </w:r>
      <w:r w:rsidR="00494D7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 actions taken by Google were found to break the copyright laws against Oracle in a specific computer routine called </w:t>
      </w:r>
      <w:r w:rsidR="002C0623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Range check. The security files were not broken by </w:t>
      </w:r>
      <w:r w:rsidR="007F36F6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Google’s use. There was an equal verdict of the jury in terms of fair use defense fro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>m Google. Google admitted that i</w:t>
      </w:r>
      <w:r w:rsidR="007F36F6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had</w:t>
      </w:r>
      <w:r w:rsidR="007F36F6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copied </w:t>
      </w:r>
      <w:r w:rsidR="00223059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 security files and no jury was </w:t>
      </w:r>
      <w:r w:rsidR="007C150B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able to convince that this copying was de minimis.</w:t>
      </w:r>
      <w:r w:rsidR="008776DE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Since there was a deadlock on the fair use aspect, further hearings of the case were required </w:t>
      </w:r>
      <w:r w:rsidR="001E404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to have a clear verdict on it. The court accepted some part of the previous verdict, reversed some part and called for further proceedings</w:t>
      </w:r>
      <w:sdt>
        <w:sdtPr>
          <w:rPr>
            <w:rFonts w:ascii="Times New Roman" w:eastAsia="Times New Roman" w:hAnsi="Times New Roman" w:cs="Times New Roman"/>
            <w:color w:val="2D3B45"/>
            <w:sz w:val="24"/>
            <w:szCs w:val="24"/>
          </w:rPr>
          <w:id w:val="-2092612071"/>
          <w:citation/>
        </w:sdtPr>
        <w:sdtEndPr/>
        <w:sdtContent>
          <w:r w:rsidR="00EC5DC6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fldChar w:fldCharType="begin"/>
          </w:r>
          <w:r w:rsidR="00EC5DC6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instrText xml:space="preserve"> CITATION eff14 \l 1033 </w:instrText>
          </w:r>
          <w:r w:rsidR="00EC5DC6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fldChar w:fldCharType="separate"/>
          </w:r>
          <w:r w:rsidR="00EC5DC6" w:rsidRPr="001A5061">
            <w:rPr>
              <w:rFonts w:ascii="Times New Roman" w:eastAsia="Times New Roman" w:hAnsi="Times New Roman" w:cs="Times New Roman"/>
              <w:noProof/>
              <w:color w:val="2D3B45"/>
              <w:sz w:val="24"/>
              <w:szCs w:val="24"/>
            </w:rPr>
            <w:t xml:space="preserve"> (eff.org, 2014)</w:t>
          </w:r>
          <w:r w:rsidR="00EC5DC6" w:rsidRPr="001A5061">
            <w:rPr>
              <w:rFonts w:ascii="Times New Roman" w:eastAsia="Times New Roman" w:hAnsi="Times New Roman" w:cs="Times New Roman"/>
              <w:color w:val="2D3B45"/>
              <w:sz w:val="24"/>
              <w:szCs w:val="24"/>
            </w:rPr>
            <w:fldChar w:fldCharType="end"/>
          </w:r>
        </w:sdtContent>
      </w:sdt>
      <w:r w:rsidR="001E404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.</w:t>
      </w:r>
      <w:r w:rsidR="007C150B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</w:p>
    <w:p w14:paraId="723DCE63" w14:textId="0F728963" w:rsidR="007C150B" w:rsidRPr="00527068" w:rsidRDefault="00DD32EA" w:rsidP="00527068">
      <w:pPr>
        <w:spacing w:before="100" w:beforeAutospacing="1" w:after="100" w:afterAutospacing="1" w:line="480" w:lineRule="auto"/>
        <w:jc w:val="center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A71CCA">
        <w:rPr>
          <w:rFonts w:ascii="Times New Roman" w:eastAsia="Times New Roman" w:hAnsi="Times New Roman" w:cs="Times New Roman"/>
          <w:b/>
          <w:bCs/>
          <w:color w:val="2D3B45"/>
          <w:sz w:val="24"/>
          <w:szCs w:val="24"/>
        </w:rPr>
        <w:t>Conclusion</w:t>
      </w:r>
    </w:p>
    <w:p w14:paraId="3578396D" w14:textId="77777777" w:rsidR="009A2FC7" w:rsidRPr="001A5061" w:rsidRDefault="007D707F" w:rsidP="001A5061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The conclusion was that Google did not break the copyright rules by </w:t>
      </w:r>
      <w:r w:rsidR="00AF65CB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replicating the API packages. The district court entered the decision in favor of Google </w:t>
      </w:r>
      <w:r w:rsidR="009A2FC7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and stated that there was no infringement of copyright laws by it.</w:t>
      </w:r>
    </w:p>
    <w:p w14:paraId="47908F2E" w14:textId="2591F3F9" w:rsidR="00DD32EA" w:rsidRPr="001A5061" w:rsidRDefault="00555F98" w:rsidP="001A5061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No</w:t>
      </w:r>
      <w:r w:rsidR="001A786E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,</w:t>
      </w: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I do not agree to the court’s ruling because Google basically misused the code without </w:t>
      </w:r>
      <w:r w:rsidR="00E37B5A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bringing it in the notice of Oracle. There are certain ethical considerations in this case.</w:t>
      </w:r>
      <w:r w:rsidR="001A786E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</w:t>
      </w:r>
      <w:r w:rsidR="001A786E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lastRenderedPageBreak/>
        <w:t>From the Oracle’s perspective, it should have used the available forums to make sure that t</w:t>
      </w:r>
      <w:r w:rsidR="00F23E31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he relevant code is properly protected by copyrights and other related laws.</w:t>
      </w:r>
    </w:p>
    <w:p w14:paraId="0FD1B7D9" w14:textId="77777777" w:rsidR="00DD32EA" w:rsidRPr="001A5061" w:rsidRDefault="00DD32EA" w:rsidP="001A5061">
      <w:pPr>
        <w:numPr>
          <w:ilvl w:val="0"/>
          <w:numId w:val="1"/>
        </w:numPr>
        <w:spacing w:before="100" w:beforeAutospacing="1" w:after="100" w:afterAutospacing="1" w:line="480" w:lineRule="auto"/>
        <w:ind w:left="375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Answer the following questions. </w:t>
      </w:r>
    </w:p>
    <w:p w14:paraId="7B86B507" w14:textId="7777330F" w:rsidR="00DD32EA" w:rsidRPr="001A5061" w:rsidRDefault="005D2317" w:rsidP="001A5061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If I was a judge, I would have ruled it in the favor of Oracle because Google used the codes with prior permission or information to Oracle. </w:t>
      </w:r>
      <w:r w:rsidR="00014B20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Secondly,</w:t>
      </w: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 I </w:t>
      </w:r>
      <w:r w:rsidR="00FF39B2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would have asked the management of Oracle to get all their materials protected with copyrights.</w:t>
      </w:r>
    </w:p>
    <w:p w14:paraId="79DBCC65" w14:textId="42FA43FF" w:rsidR="00DD32EA" w:rsidRPr="001A5061" w:rsidRDefault="00DD32EA" w:rsidP="001A5061">
      <w:pPr>
        <w:numPr>
          <w:ilvl w:val="1"/>
          <w:numId w:val="1"/>
        </w:numPr>
        <w:spacing w:before="100" w:beforeAutospacing="1" w:after="100" w:afterAutospacing="1" w:line="480" w:lineRule="auto"/>
        <w:ind w:left="75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What makes this case significant?</w:t>
      </w:r>
    </w:p>
    <w:p w14:paraId="160F6F7F" w14:textId="263EFD21" w:rsidR="009A0BDB" w:rsidRDefault="00AC1B66" w:rsidP="001A5061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The case is significant for many reasons. If Google had not been able to get the codes under consideration, it is hard to assume that it w</w:t>
      </w:r>
      <w:r w:rsidR="000029FA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 xml:space="preserve">ould have been this successful in the market. Secondly, if the verdict had been in the favor of Oracle, Google would have to </w:t>
      </w:r>
      <w:r w:rsidR="00DC6508" w:rsidRPr="001A5061">
        <w:rPr>
          <w:rFonts w:ascii="Times New Roman" w:eastAsia="Times New Roman" w:hAnsi="Times New Roman" w:cs="Times New Roman"/>
          <w:color w:val="2D3B45"/>
          <w:sz w:val="24"/>
          <w:szCs w:val="24"/>
        </w:rPr>
        <w:t>ground many of its applications resulting in a big loss to the whole information technology field.</w:t>
      </w:r>
    </w:p>
    <w:p w14:paraId="5981B2CE" w14:textId="77777777" w:rsidR="009A0BDB" w:rsidRDefault="009A0BDB">
      <w:pPr>
        <w:rPr>
          <w:rFonts w:ascii="Times New Roman" w:eastAsia="Times New Roman" w:hAnsi="Times New Roman" w:cs="Times New Roman"/>
          <w:color w:val="2D3B45"/>
          <w:sz w:val="24"/>
          <w:szCs w:val="24"/>
        </w:rPr>
      </w:pPr>
      <w:r>
        <w:rPr>
          <w:rFonts w:ascii="Times New Roman" w:eastAsia="Times New Roman" w:hAnsi="Times New Roman" w:cs="Times New Roman"/>
          <w:color w:val="2D3B45"/>
          <w:sz w:val="24"/>
          <w:szCs w:val="24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2089216693"/>
        <w:docPartObj>
          <w:docPartGallery w:val="Bibliographies"/>
          <w:docPartUnique/>
        </w:docPartObj>
      </w:sdtPr>
      <w:sdtEndPr/>
      <w:sdtContent>
        <w:p w14:paraId="65CB1383" w14:textId="25762D85" w:rsidR="009A0BDB" w:rsidRPr="009A0BDB" w:rsidRDefault="009A0BDB" w:rsidP="009A0BDB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9A0BDB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296CE3FE" w14:textId="77777777" w:rsidR="009A0BDB" w:rsidRPr="009A0BDB" w:rsidRDefault="009A0BDB" w:rsidP="009A0BDB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A0BDB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9A0BDB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9A0BDB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9A0BD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eff.org. (2014, November 10). </w:t>
              </w:r>
              <w:r w:rsidRPr="009A0BD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https://www.eff.org/files/2014/11/10/oracle_v_google_13-1021.opinion.5-7-2014.1.pdf.</w:t>
              </w:r>
              <w:r w:rsidRPr="009A0BD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https://www.eff.org: https://www.eff.org/files/2014/11/10/oracle_v_google_13-1021.opinion.5-7-2014.1.pdf</w:t>
              </w:r>
            </w:p>
            <w:p w14:paraId="51733F3E" w14:textId="77777777" w:rsidR="009A0BDB" w:rsidRPr="009A0BDB" w:rsidRDefault="009A0BDB" w:rsidP="009A0BDB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9A0BD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Lazarto, J. (2018, August 21). </w:t>
              </w:r>
              <w:r w:rsidRPr="009A0BDB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https://upperedge.com/oracle/unraveling-the-oracle-vs-google-lawsuit/.</w:t>
              </w:r>
              <w:r w:rsidRPr="009A0BDB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https://upperedge.com: https://upperedge.com/oracle/unraveling-the-oracle-vs-google-lawsuit/</w:t>
              </w:r>
            </w:p>
            <w:p w14:paraId="3AB87E9A" w14:textId="496E3F10" w:rsidR="009A0BDB" w:rsidRDefault="009A0BDB" w:rsidP="009A0BDB">
              <w:pPr>
                <w:spacing w:line="480" w:lineRule="auto"/>
              </w:pPr>
              <w:r w:rsidRPr="009A0BDB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199FE5C9" w14:textId="77777777" w:rsidR="00AC1B66" w:rsidRPr="001A5061" w:rsidRDefault="00AC1B66" w:rsidP="001A5061">
      <w:pPr>
        <w:spacing w:before="100" w:beforeAutospacing="1" w:after="100" w:afterAutospacing="1" w:line="480" w:lineRule="auto"/>
        <w:ind w:firstLine="720"/>
        <w:rPr>
          <w:rFonts w:ascii="Times New Roman" w:eastAsia="Times New Roman" w:hAnsi="Times New Roman" w:cs="Times New Roman"/>
          <w:color w:val="2D3B45"/>
          <w:sz w:val="24"/>
          <w:szCs w:val="24"/>
        </w:rPr>
      </w:pPr>
    </w:p>
    <w:p w14:paraId="2B8E1E72" w14:textId="0632C479" w:rsidR="00DD32EA" w:rsidRDefault="00DD32EA" w:rsidP="00DD32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</w:p>
    <w:p w14:paraId="64A80D41" w14:textId="77777777" w:rsidR="00DD32EA" w:rsidRPr="00DD32EA" w:rsidRDefault="00DD32EA" w:rsidP="00DD32EA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2D3B45"/>
          <w:sz w:val="24"/>
          <w:szCs w:val="24"/>
        </w:rPr>
      </w:pPr>
    </w:p>
    <w:p w14:paraId="5B09BDF6" w14:textId="77777777" w:rsidR="005A6B59" w:rsidRDefault="005527F2"/>
    <w:sectPr w:rsidR="005A6B59" w:rsidSect="001E4E0E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FF556" w14:textId="77777777" w:rsidR="005527F2" w:rsidRDefault="005527F2" w:rsidP="001E4E0E">
      <w:pPr>
        <w:spacing w:after="0" w:line="240" w:lineRule="auto"/>
      </w:pPr>
      <w:r>
        <w:separator/>
      </w:r>
    </w:p>
  </w:endnote>
  <w:endnote w:type="continuationSeparator" w:id="0">
    <w:p w14:paraId="0B3561C6" w14:textId="77777777" w:rsidR="005527F2" w:rsidRDefault="005527F2" w:rsidP="001E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53C65" w14:textId="77777777" w:rsidR="005527F2" w:rsidRDefault="005527F2" w:rsidP="001E4E0E">
      <w:pPr>
        <w:spacing w:after="0" w:line="240" w:lineRule="auto"/>
      </w:pPr>
      <w:r>
        <w:separator/>
      </w:r>
    </w:p>
  </w:footnote>
  <w:footnote w:type="continuationSeparator" w:id="0">
    <w:p w14:paraId="6879FA1D" w14:textId="77777777" w:rsidR="005527F2" w:rsidRDefault="005527F2" w:rsidP="001E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5044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2472BD" w14:textId="1EB9B54F" w:rsidR="00262CDC" w:rsidRDefault="00262CD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6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3863E3C" w14:textId="5FCBBAA9" w:rsidR="00262CDC" w:rsidRPr="00E83ECA" w:rsidRDefault="005270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ORACLE VS. GOOGLE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6869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1A1420" w14:textId="7F28BF06" w:rsidR="001E4E0E" w:rsidRDefault="001E4E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62187" w14:textId="115F0F55" w:rsidR="001E4E0E" w:rsidRPr="006C2742" w:rsidRDefault="0052706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Running head: ORACLE VS. GOOGLE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32A6"/>
    <w:multiLevelType w:val="multilevel"/>
    <w:tmpl w:val="8CF89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EA"/>
    <w:rsid w:val="000029FA"/>
    <w:rsid w:val="00014B20"/>
    <w:rsid w:val="00066D00"/>
    <w:rsid w:val="000948F1"/>
    <w:rsid w:val="000C798D"/>
    <w:rsid w:val="000D7635"/>
    <w:rsid w:val="000F2FB7"/>
    <w:rsid w:val="00124801"/>
    <w:rsid w:val="001427C4"/>
    <w:rsid w:val="0017482D"/>
    <w:rsid w:val="001A5061"/>
    <w:rsid w:val="001A786E"/>
    <w:rsid w:val="001C027B"/>
    <w:rsid w:val="001E4042"/>
    <w:rsid w:val="001E4E0E"/>
    <w:rsid w:val="00223059"/>
    <w:rsid w:val="0025011F"/>
    <w:rsid w:val="00262CDC"/>
    <w:rsid w:val="002C0623"/>
    <w:rsid w:val="00323BDF"/>
    <w:rsid w:val="003429B7"/>
    <w:rsid w:val="00353D00"/>
    <w:rsid w:val="00377C9C"/>
    <w:rsid w:val="003A7052"/>
    <w:rsid w:val="003F3610"/>
    <w:rsid w:val="0046201E"/>
    <w:rsid w:val="00483633"/>
    <w:rsid w:val="00494D72"/>
    <w:rsid w:val="004B2E0C"/>
    <w:rsid w:val="004E4242"/>
    <w:rsid w:val="00527068"/>
    <w:rsid w:val="0054049C"/>
    <w:rsid w:val="005527F2"/>
    <w:rsid w:val="00555F98"/>
    <w:rsid w:val="005A120B"/>
    <w:rsid w:val="005A650B"/>
    <w:rsid w:val="005D2317"/>
    <w:rsid w:val="005E3773"/>
    <w:rsid w:val="006C2742"/>
    <w:rsid w:val="00704CA5"/>
    <w:rsid w:val="007C150B"/>
    <w:rsid w:val="007D707F"/>
    <w:rsid w:val="007F36F6"/>
    <w:rsid w:val="0083269E"/>
    <w:rsid w:val="008345A8"/>
    <w:rsid w:val="008776DE"/>
    <w:rsid w:val="008C26F1"/>
    <w:rsid w:val="00902FAA"/>
    <w:rsid w:val="009343A1"/>
    <w:rsid w:val="009A0BDB"/>
    <w:rsid w:val="009A2FC7"/>
    <w:rsid w:val="009B7349"/>
    <w:rsid w:val="00A3667A"/>
    <w:rsid w:val="00A71CCA"/>
    <w:rsid w:val="00A826E2"/>
    <w:rsid w:val="00AC1B66"/>
    <w:rsid w:val="00AF65CB"/>
    <w:rsid w:val="00B92392"/>
    <w:rsid w:val="00BD0B85"/>
    <w:rsid w:val="00C24383"/>
    <w:rsid w:val="00CF1688"/>
    <w:rsid w:val="00D01B0F"/>
    <w:rsid w:val="00DA3CDF"/>
    <w:rsid w:val="00DC6508"/>
    <w:rsid w:val="00DD32EA"/>
    <w:rsid w:val="00DE53BB"/>
    <w:rsid w:val="00E37B5A"/>
    <w:rsid w:val="00E67BFC"/>
    <w:rsid w:val="00E80F6B"/>
    <w:rsid w:val="00E83ECA"/>
    <w:rsid w:val="00EC5DC6"/>
    <w:rsid w:val="00F23E31"/>
    <w:rsid w:val="00FB46B2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A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A0BDB"/>
  </w:style>
  <w:style w:type="paragraph" w:styleId="Header">
    <w:name w:val="header"/>
    <w:basedOn w:val="Normal"/>
    <w:link w:val="HeaderChar"/>
    <w:uiPriority w:val="99"/>
    <w:unhideWhenUsed/>
    <w:rsid w:val="001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0E"/>
  </w:style>
  <w:style w:type="paragraph" w:styleId="Footer">
    <w:name w:val="footer"/>
    <w:basedOn w:val="Normal"/>
    <w:link w:val="FooterChar"/>
    <w:uiPriority w:val="99"/>
    <w:unhideWhenUsed/>
    <w:rsid w:val="001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0E"/>
  </w:style>
  <w:style w:type="paragraph" w:styleId="BalloonText">
    <w:name w:val="Balloon Text"/>
    <w:basedOn w:val="Normal"/>
    <w:link w:val="BalloonTextChar"/>
    <w:uiPriority w:val="99"/>
    <w:semiHidden/>
    <w:unhideWhenUsed/>
    <w:rsid w:val="005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B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B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A0BDB"/>
  </w:style>
  <w:style w:type="paragraph" w:styleId="Header">
    <w:name w:val="header"/>
    <w:basedOn w:val="Normal"/>
    <w:link w:val="HeaderChar"/>
    <w:uiPriority w:val="99"/>
    <w:unhideWhenUsed/>
    <w:rsid w:val="001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E0E"/>
  </w:style>
  <w:style w:type="paragraph" w:styleId="Footer">
    <w:name w:val="footer"/>
    <w:basedOn w:val="Normal"/>
    <w:link w:val="FooterChar"/>
    <w:uiPriority w:val="99"/>
    <w:unhideWhenUsed/>
    <w:rsid w:val="001E4E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E0E"/>
  </w:style>
  <w:style w:type="paragraph" w:styleId="BalloonText">
    <w:name w:val="Balloon Text"/>
    <w:basedOn w:val="Normal"/>
    <w:link w:val="BalloonTextChar"/>
    <w:uiPriority w:val="99"/>
    <w:semiHidden/>
    <w:unhideWhenUsed/>
    <w:rsid w:val="00527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eff14</b:Tag>
    <b:SourceType>DocumentFromInternetSite</b:SourceType>
    <b:Guid>{4DE5BBA8-C532-4ED1-A67E-2516CF600162}</b:Guid>
    <b:Title>https://www.eff.org/files/2014/11/10/oracle_v_google_13-1021.opinion.5-7-2014.1.pdf</b:Title>
    <b:Year>2014</b:Year>
    <b:Author>
      <b:Author>
        <b:Corporate>eff.org</b:Corporate>
      </b:Author>
    </b:Author>
    <b:InternetSiteTitle>https://www.eff.org</b:InternetSiteTitle>
    <b:Month>November</b:Month>
    <b:Day>10</b:Day>
    <b:URL>https://www.eff.org/files/2014/11/10/oracle_v_google_13-1021.opinion.5-7-2014.1.pdf</b:URL>
    <b:RefOrder>2</b:RefOrder>
  </b:Source>
  <b:Source>
    <b:Tag>Jef18</b:Tag>
    <b:SourceType>DocumentFromInternetSite</b:SourceType>
    <b:Guid>{D1AD156F-A86F-48C9-992F-D1E67ACB8AA9}</b:Guid>
    <b:Author>
      <b:Author>
        <b:NameList>
          <b:Person>
            <b:Last>Lazarto</b:Last>
            <b:First>Jeff</b:First>
          </b:Person>
        </b:NameList>
      </b:Author>
    </b:Author>
    <b:Title>https://upperedge.com/oracle/unraveling-the-oracle-vs-google-lawsuit/</b:Title>
    <b:InternetSiteTitle>https://upperedge.com</b:InternetSiteTitle>
    <b:Year>2018</b:Year>
    <b:Month>August</b:Month>
    <b:Day>21</b:Day>
    <b:URL>https://upperedge.com/oracle/unraveling-the-oracle-vs-google-lawsuit/</b:URL>
    <b:RefOrder>1</b:RefOrder>
  </b:Source>
</b:Sources>
</file>

<file path=customXml/itemProps1.xml><?xml version="1.0" encoding="utf-8"?>
<ds:datastoreItem xmlns:ds="http://schemas.openxmlformats.org/officeDocument/2006/customXml" ds:itemID="{5DC7002A-4EF2-41B2-983F-F5B4D13C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Imani Covv</dc:creator>
  <cp:lastModifiedBy>Suleyman</cp:lastModifiedBy>
  <cp:revision>2</cp:revision>
  <dcterms:created xsi:type="dcterms:W3CDTF">2020-02-01T19:02:00Z</dcterms:created>
  <dcterms:modified xsi:type="dcterms:W3CDTF">2020-02-01T19:02:00Z</dcterms:modified>
</cp:coreProperties>
</file>