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466F0" w:rsidRPr="003466F0" w:rsidRDefault="003466F0" w:rsidP="003466F0">
      <w:pPr>
        <w:pStyle w:val="Title2"/>
        <w:rPr>
          <w:rFonts w:asciiTheme="majorHAnsi" w:eastAsiaTheme="majorEastAsia" w:hAnsiTheme="majorHAnsi" w:cstheme="majorBidi"/>
        </w:rPr>
      </w:pPr>
      <w:r w:rsidRPr="003466F0">
        <w:rPr>
          <w:rFonts w:asciiTheme="majorHAnsi" w:eastAsiaTheme="majorEastAsia" w:hAnsiTheme="majorHAnsi" w:cstheme="majorBidi"/>
        </w:rPr>
        <w:t>Discussion Chapter 9</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55143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4240A" w:rsidRDefault="0014240A" w:rsidP="007E03C9"/>
    <w:p w:rsidR="004B7ACB" w:rsidRDefault="003466F0" w:rsidP="004B7ACB">
      <w:pPr>
        <w:ind w:firstLine="0"/>
        <w:jc w:val="center"/>
      </w:pPr>
      <w:r>
        <w:lastRenderedPageBreak/>
        <w:t>Discussion Chapter 9</w:t>
      </w:r>
    </w:p>
    <w:p w:rsidR="003466F0" w:rsidRPr="003466F0" w:rsidRDefault="003466F0" w:rsidP="004B7ACB">
      <w:pPr>
        <w:ind w:firstLine="0"/>
        <w:jc w:val="center"/>
        <w:rPr>
          <w:b/>
        </w:rPr>
      </w:pPr>
      <w:r w:rsidRPr="003466F0">
        <w:rPr>
          <w:b/>
        </w:rPr>
        <w:t>Response 1</w:t>
      </w:r>
    </w:p>
    <w:p w:rsidR="00810D3E" w:rsidRPr="00BF2482" w:rsidRDefault="00BF2482" w:rsidP="00810D3E">
      <w:pPr>
        <w:rPr>
          <w:color w:val="000000" w:themeColor="text1"/>
        </w:rPr>
      </w:pPr>
      <w:r w:rsidRPr="00BF2482">
        <w:rPr>
          <w:color w:val="000000" w:themeColor="text1"/>
        </w:rPr>
        <w:t>The genus cannabis refers to a plant that has three main species. These species are </w:t>
      </w:r>
      <w:r w:rsidRPr="00BF2482">
        <w:rPr>
          <w:i/>
          <w:iCs/>
          <w:color w:val="000000" w:themeColor="text1"/>
        </w:rPr>
        <w:t>Cannabis sativa</w:t>
      </w:r>
      <w:r w:rsidRPr="00BF2482">
        <w:rPr>
          <w:color w:val="000000" w:themeColor="text1"/>
        </w:rPr>
        <w:t>, </w:t>
      </w:r>
      <w:r w:rsidRPr="00BF2482">
        <w:rPr>
          <w:i/>
          <w:iCs/>
          <w:color w:val="000000" w:themeColor="text1"/>
        </w:rPr>
        <w:t xml:space="preserve">Cannabis </w:t>
      </w:r>
      <w:proofErr w:type="spellStart"/>
      <w:r w:rsidRPr="00BF2482">
        <w:rPr>
          <w:i/>
          <w:iCs/>
          <w:color w:val="000000" w:themeColor="text1"/>
        </w:rPr>
        <w:t>indica</w:t>
      </w:r>
      <w:proofErr w:type="spellEnd"/>
      <w:r w:rsidRPr="00BF2482">
        <w:rPr>
          <w:color w:val="000000" w:themeColor="text1"/>
        </w:rPr>
        <w:t> and </w:t>
      </w:r>
      <w:r w:rsidRPr="00BF2482">
        <w:rPr>
          <w:i/>
          <w:iCs/>
          <w:color w:val="000000" w:themeColor="text1"/>
        </w:rPr>
        <w:t xml:space="preserve">Cannabis </w:t>
      </w:r>
      <w:proofErr w:type="spellStart"/>
      <w:r w:rsidRPr="00BF2482">
        <w:rPr>
          <w:i/>
          <w:iCs/>
          <w:color w:val="000000" w:themeColor="text1"/>
        </w:rPr>
        <w:t>ruderalis</w:t>
      </w:r>
      <w:proofErr w:type="spellEnd"/>
      <w:r w:rsidRPr="00BF2482">
        <w:rPr>
          <w:color w:val="000000" w:themeColor="text1"/>
        </w:rPr>
        <w:t xml:space="preserve"> (Fergusson &amp; Boden, 2006). These plants comprise of numerous biologically active chemicals known as cannabinoids. Several biological </w:t>
      </w:r>
      <w:r w:rsidR="001D161A" w:rsidRPr="00BF2482">
        <w:rPr>
          <w:color w:val="000000" w:themeColor="text1"/>
        </w:rPr>
        <w:t>activities</w:t>
      </w:r>
      <w:r w:rsidRPr="00BF2482">
        <w:rPr>
          <w:color w:val="000000" w:themeColor="text1"/>
        </w:rPr>
        <w:t xml:space="preserve"> of cannabinoids are interceded by their </w:t>
      </w:r>
      <w:r w:rsidR="001D161A">
        <w:rPr>
          <w:color w:val="000000" w:themeColor="text1"/>
        </w:rPr>
        <w:t xml:space="preserve">direct contact </w:t>
      </w:r>
      <w:r w:rsidRPr="00BF2482">
        <w:rPr>
          <w:color w:val="000000" w:themeColor="text1"/>
        </w:rPr>
        <w:t xml:space="preserve">with two receptors that are closely related. These two receptors are </w:t>
      </w:r>
      <w:r w:rsidR="001D161A">
        <w:rPr>
          <w:color w:val="000000" w:themeColor="text1"/>
        </w:rPr>
        <w:t>CB 1 and CB 2</w:t>
      </w:r>
      <w:r w:rsidRPr="00BF2482">
        <w:rPr>
          <w:color w:val="000000" w:themeColor="text1"/>
        </w:rPr>
        <w:t xml:space="preserve">. </w:t>
      </w:r>
      <w:r w:rsidR="001D161A">
        <w:rPr>
          <w:color w:val="000000" w:themeColor="text1"/>
        </w:rPr>
        <w:t>Both of these</w:t>
      </w:r>
      <w:r w:rsidRPr="00BF2482">
        <w:rPr>
          <w:color w:val="000000" w:themeColor="text1"/>
        </w:rPr>
        <w:t xml:space="preserve"> receptors </w:t>
      </w:r>
      <w:r w:rsidR="001D161A">
        <w:rPr>
          <w:color w:val="000000" w:themeColor="text1"/>
        </w:rPr>
        <w:t xml:space="preserve">are represented with the </w:t>
      </w:r>
      <w:r w:rsidRPr="00BF2482">
        <w:rPr>
          <w:color w:val="000000" w:themeColor="text1"/>
        </w:rPr>
        <w:t xml:space="preserve">class of </w:t>
      </w:r>
      <w:proofErr w:type="spellStart"/>
      <w:r w:rsidRPr="00BF2482">
        <w:rPr>
          <w:color w:val="000000" w:themeColor="text1"/>
        </w:rPr>
        <w:t>Gi</w:t>
      </w:r>
      <w:proofErr w:type="spellEnd"/>
      <w:r w:rsidRPr="00BF2482">
        <w:rPr>
          <w:color w:val="000000" w:themeColor="text1"/>
        </w:rPr>
        <w:t>/o-coupled metabotropic receptors. They are scattered across the central nervous system. CB 1 receptors are localized in neurons while CB</w:t>
      </w:r>
      <w:r w:rsidR="002A4D02">
        <w:rPr>
          <w:color w:val="000000" w:themeColor="text1"/>
        </w:rPr>
        <w:t xml:space="preserve"> </w:t>
      </w:r>
      <w:r w:rsidRPr="00BF2482">
        <w:rPr>
          <w:color w:val="000000" w:themeColor="text1"/>
        </w:rPr>
        <w:t>2 receptors are expressed to a much greater extent in microglia which is present in the immune system. After the discovery of cannabinoid receptors facilitates in the search of endogenous substances that interact with the receptors. These endogenous substances are also known as endogenous cannabinoids. Several studies show that endocannabinoids play a vital role in controlling synaptic transmission and neuronal firing rate. Typically, in CBS the CB</w:t>
      </w:r>
      <w:r w:rsidR="002A4D02">
        <w:rPr>
          <w:color w:val="000000" w:themeColor="text1"/>
        </w:rPr>
        <w:t xml:space="preserve"> </w:t>
      </w:r>
      <w:r w:rsidRPr="00BF2482">
        <w:rPr>
          <w:color w:val="000000" w:themeColor="text1"/>
        </w:rPr>
        <w:t xml:space="preserve">1 receptors are expressed on glutamatergic and </w:t>
      </w:r>
      <w:proofErr w:type="spellStart"/>
      <w:r w:rsidRPr="00BF2482">
        <w:rPr>
          <w:color w:val="000000" w:themeColor="text1"/>
        </w:rPr>
        <w:t>gabaergic</w:t>
      </w:r>
      <w:proofErr w:type="spellEnd"/>
      <w:r w:rsidRPr="00BF2482">
        <w:rPr>
          <w:color w:val="000000" w:themeColor="text1"/>
        </w:rPr>
        <w:t xml:space="preserve"> interneurons. Its activations cause inhibition of synaptic transmission. Furthermore, this mechanism is responsible for other clinical effects such as the enhanced activity of glycine receptors and 5-HT receptors (</w:t>
      </w:r>
      <w:proofErr w:type="spellStart"/>
      <w:r w:rsidRPr="00BF2482">
        <w:rPr>
          <w:color w:val="000000" w:themeColor="text1"/>
        </w:rPr>
        <w:t>Cilio</w:t>
      </w:r>
      <w:proofErr w:type="spellEnd"/>
      <w:r w:rsidRPr="00BF2482">
        <w:rPr>
          <w:color w:val="000000" w:themeColor="text1"/>
        </w:rPr>
        <w:t xml:space="preserve"> &amp; </w:t>
      </w:r>
      <w:proofErr w:type="spellStart"/>
      <w:r w:rsidRPr="00BF2482">
        <w:rPr>
          <w:color w:val="000000" w:themeColor="text1"/>
        </w:rPr>
        <w:t>Devinsky</w:t>
      </w:r>
      <w:proofErr w:type="spellEnd"/>
      <w:r w:rsidRPr="00BF2482">
        <w:rPr>
          <w:color w:val="000000" w:themeColor="text1"/>
        </w:rPr>
        <w:t>, 2014). </w:t>
      </w:r>
    </w:p>
    <w:p w:rsidR="00BF2482" w:rsidRPr="00BF2482" w:rsidRDefault="00BF2482" w:rsidP="00BF2482">
      <w:pPr>
        <w:ind w:firstLine="0"/>
        <w:jc w:val="center"/>
        <w:rPr>
          <w:color w:val="000000" w:themeColor="text1"/>
        </w:rPr>
      </w:pPr>
      <w:r w:rsidRPr="00BF2482">
        <w:rPr>
          <w:b/>
          <w:bCs/>
          <w:color w:val="000000" w:themeColor="text1"/>
        </w:rPr>
        <w:t>Response 2</w:t>
      </w:r>
    </w:p>
    <w:p w:rsidR="00BF2482" w:rsidRPr="00BF2482" w:rsidRDefault="00BF2482" w:rsidP="00BF2482">
      <w:pPr>
        <w:rPr>
          <w:color w:val="000000" w:themeColor="text1"/>
        </w:rPr>
      </w:pPr>
      <w:r w:rsidRPr="00BF2482">
        <w:rPr>
          <w:color w:val="000000" w:themeColor="text1"/>
        </w:rPr>
        <w:t xml:space="preserve">Medical marijuana is whole-plant marijuana that is utilized for several medical purposes. Cannabinoids are the substances that exist in medical cannabis that act on cells present in the body. THC and CBD are the </w:t>
      </w:r>
      <w:r w:rsidR="002A4D02">
        <w:rPr>
          <w:color w:val="000000" w:themeColor="text1"/>
        </w:rPr>
        <w:t>two</w:t>
      </w:r>
      <w:bookmarkStart w:id="0" w:name="_GoBack"/>
      <w:bookmarkEnd w:id="0"/>
      <w:r w:rsidRPr="00BF2482">
        <w:rPr>
          <w:color w:val="000000" w:themeColor="text1"/>
        </w:rPr>
        <w:t xml:space="preserve"> cannabinoids that </w:t>
      </w:r>
      <w:r w:rsidR="002A4D02">
        <w:rPr>
          <w:color w:val="000000" w:themeColor="text1"/>
        </w:rPr>
        <w:t xml:space="preserve">specifically </w:t>
      </w:r>
      <w:r w:rsidRPr="00BF2482">
        <w:rPr>
          <w:color w:val="000000" w:themeColor="text1"/>
        </w:rPr>
        <w:t xml:space="preserve">are used for medical purposes. Although the FDA has approved the use of a plant-based formulation of CBD that is </w:t>
      </w:r>
      <w:proofErr w:type="spellStart"/>
      <w:r w:rsidRPr="00BF2482">
        <w:rPr>
          <w:color w:val="000000" w:themeColor="text1"/>
        </w:rPr>
        <w:t>epidiolex</w:t>
      </w:r>
      <w:proofErr w:type="spellEnd"/>
      <w:r w:rsidRPr="00BF2482">
        <w:rPr>
          <w:color w:val="000000" w:themeColor="text1"/>
        </w:rPr>
        <w:t xml:space="preserve"> to treat seizures yet it only helps in treating patients that a history of </w:t>
      </w:r>
      <w:proofErr w:type="spellStart"/>
      <w:r w:rsidRPr="00BF2482">
        <w:rPr>
          <w:color w:val="000000" w:themeColor="text1"/>
        </w:rPr>
        <w:t>Dravet</w:t>
      </w:r>
      <w:proofErr w:type="spellEnd"/>
      <w:r w:rsidRPr="00BF2482">
        <w:rPr>
          <w:color w:val="000000" w:themeColor="text1"/>
        </w:rPr>
        <w:t xml:space="preserve"> and Lennox-</w:t>
      </w:r>
      <w:proofErr w:type="spellStart"/>
      <w:r w:rsidRPr="00BF2482">
        <w:rPr>
          <w:color w:val="000000" w:themeColor="text1"/>
        </w:rPr>
        <w:t>Gastaut</w:t>
      </w:r>
      <w:proofErr w:type="spellEnd"/>
      <w:r w:rsidRPr="00BF2482">
        <w:rPr>
          <w:color w:val="000000" w:themeColor="text1"/>
        </w:rPr>
        <w:t xml:space="preserve"> </w:t>
      </w:r>
      <w:r w:rsidRPr="00BF2482">
        <w:rPr>
          <w:color w:val="000000" w:themeColor="text1"/>
        </w:rPr>
        <w:lastRenderedPageBreak/>
        <w:t>syndrome (</w:t>
      </w:r>
      <w:proofErr w:type="spellStart"/>
      <w:r w:rsidRPr="00BF2482">
        <w:rPr>
          <w:color w:val="000000" w:themeColor="text1"/>
        </w:rPr>
        <w:t>Maa</w:t>
      </w:r>
      <w:proofErr w:type="spellEnd"/>
      <w:r w:rsidRPr="00BF2482">
        <w:rPr>
          <w:color w:val="000000" w:themeColor="text1"/>
        </w:rPr>
        <w:t xml:space="preserve"> &amp; </w:t>
      </w:r>
      <w:proofErr w:type="spellStart"/>
      <w:r w:rsidRPr="00BF2482">
        <w:rPr>
          <w:color w:val="000000" w:themeColor="text1"/>
        </w:rPr>
        <w:t>Figi</w:t>
      </w:r>
      <w:proofErr w:type="spellEnd"/>
      <w:r w:rsidRPr="00BF2482">
        <w:rPr>
          <w:color w:val="000000" w:themeColor="text1"/>
        </w:rPr>
        <w:t>, 2014). CBD and THC both have potential side effects. Some of the side effects associated with the use of CBD are decreased appetite, sleepiness, and fatigue. However, it has been observed that CBD also interacts with several seizure medicines. Thus monitoring of CBD is highly recommended. </w:t>
      </w: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3466F0" w:rsidRDefault="003466F0" w:rsidP="003466F0">
      <w:pPr>
        <w:rPr>
          <w:color w:val="000000" w:themeColor="text1"/>
        </w:rPr>
      </w:pPr>
    </w:p>
    <w:p w:rsidR="00810D3E" w:rsidRDefault="00810D3E" w:rsidP="003466F0">
      <w:pPr>
        <w:rPr>
          <w:color w:val="000000" w:themeColor="text1"/>
        </w:rPr>
      </w:pPr>
    </w:p>
    <w:p w:rsidR="00810D3E" w:rsidRDefault="00810D3E" w:rsidP="003466F0">
      <w:pPr>
        <w:rPr>
          <w:color w:val="000000" w:themeColor="text1"/>
        </w:rPr>
      </w:pPr>
    </w:p>
    <w:p w:rsidR="00810D3E" w:rsidRDefault="00810D3E" w:rsidP="003466F0">
      <w:pPr>
        <w:rPr>
          <w:color w:val="000000" w:themeColor="text1"/>
        </w:rPr>
      </w:pPr>
    </w:p>
    <w:p w:rsidR="003466F0" w:rsidRPr="003466F0" w:rsidRDefault="003466F0" w:rsidP="003466F0">
      <w:pPr>
        <w:rPr>
          <w:color w:val="000000" w:themeColor="text1"/>
        </w:rPr>
      </w:pPr>
    </w:p>
    <w:p w:rsidR="003466F0" w:rsidRPr="003466F0" w:rsidRDefault="003466F0" w:rsidP="003466F0">
      <w:pPr>
        <w:ind w:left="720" w:hanging="720"/>
        <w:jc w:val="center"/>
        <w:rPr>
          <w:b/>
          <w:color w:val="000000" w:themeColor="text1"/>
        </w:rPr>
      </w:pPr>
      <w:r w:rsidRPr="003466F0">
        <w:rPr>
          <w:b/>
          <w:color w:val="000000" w:themeColor="text1"/>
        </w:rPr>
        <w:lastRenderedPageBreak/>
        <w:t>References</w:t>
      </w:r>
    </w:p>
    <w:p w:rsidR="003466F0" w:rsidRPr="003466F0" w:rsidRDefault="003466F0" w:rsidP="003466F0">
      <w:pPr>
        <w:ind w:left="720" w:hanging="720"/>
        <w:rPr>
          <w:color w:val="000000" w:themeColor="text1"/>
        </w:rPr>
      </w:pPr>
      <w:proofErr w:type="spellStart"/>
      <w:r w:rsidRPr="003466F0">
        <w:rPr>
          <w:color w:val="000000" w:themeColor="text1"/>
        </w:rPr>
        <w:t>Cilio</w:t>
      </w:r>
      <w:proofErr w:type="spellEnd"/>
      <w:r w:rsidRPr="003466F0">
        <w:rPr>
          <w:color w:val="000000" w:themeColor="text1"/>
        </w:rPr>
        <w:t xml:space="preserve">, M. R., Thiele, E. A., &amp; </w:t>
      </w:r>
      <w:proofErr w:type="spellStart"/>
      <w:r w:rsidRPr="003466F0">
        <w:rPr>
          <w:color w:val="000000" w:themeColor="text1"/>
        </w:rPr>
        <w:t>Devinsky</w:t>
      </w:r>
      <w:proofErr w:type="spellEnd"/>
      <w:r w:rsidRPr="003466F0">
        <w:rPr>
          <w:color w:val="000000" w:themeColor="text1"/>
        </w:rPr>
        <w:t xml:space="preserve">, O. (2014). The case for assessing </w:t>
      </w:r>
      <w:proofErr w:type="spellStart"/>
      <w:r w:rsidRPr="003466F0">
        <w:rPr>
          <w:color w:val="000000" w:themeColor="text1"/>
        </w:rPr>
        <w:t>cannabidiol</w:t>
      </w:r>
      <w:proofErr w:type="spellEnd"/>
      <w:r w:rsidRPr="003466F0">
        <w:rPr>
          <w:color w:val="000000" w:themeColor="text1"/>
        </w:rPr>
        <w:t xml:space="preserve"> in epilepsy. </w:t>
      </w:r>
      <w:proofErr w:type="spellStart"/>
      <w:r w:rsidRPr="003466F0">
        <w:rPr>
          <w:i/>
          <w:iCs/>
          <w:color w:val="000000" w:themeColor="text1"/>
        </w:rPr>
        <w:t>Epilepsia</w:t>
      </w:r>
      <w:proofErr w:type="spellEnd"/>
      <w:r w:rsidRPr="003466F0">
        <w:rPr>
          <w:color w:val="000000" w:themeColor="text1"/>
        </w:rPr>
        <w:t>, </w:t>
      </w:r>
      <w:r w:rsidRPr="003466F0">
        <w:rPr>
          <w:i/>
          <w:iCs/>
          <w:color w:val="000000" w:themeColor="text1"/>
        </w:rPr>
        <w:t>55</w:t>
      </w:r>
      <w:r w:rsidRPr="003466F0">
        <w:rPr>
          <w:color w:val="000000" w:themeColor="text1"/>
        </w:rPr>
        <w:t>(6), 787-790.</w:t>
      </w:r>
    </w:p>
    <w:p w:rsidR="003466F0" w:rsidRPr="003466F0" w:rsidRDefault="003466F0" w:rsidP="003466F0">
      <w:pPr>
        <w:ind w:left="720" w:hanging="720"/>
        <w:rPr>
          <w:color w:val="000000" w:themeColor="text1"/>
        </w:rPr>
      </w:pPr>
      <w:r w:rsidRPr="003466F0">
        <w:rPr>
          <w:color w:val="000000" w:themeColor="text1"/>
        </w:rPr>
        <w:t xml:space="preserve">Fergusson, D. M., </w:t>
      </w:r>
      <w:proofErr w:type="spellStart"/>
      <w:r w:rsidRPr="003466F0">
        <w:rPr>
          <w:color w:val="000000" w:themeColor="text1"/>
        </w:rPr>
        <w:t>Poulton</w:t>
      </w:r>
      <w:proofErr w:type="spellEnd"/>
      <w:r w:rsidRPr="003466F0">
        <w:rPr>
          <w:color w:val="000000" w:themeColor="text1"/>
        </w:rPr>
        <w:t>, R., Smith, P. F., &amp; Boden, J. M. (2006). Cannabis and psychosis. </w:t>
      </w:r>
      <w:proofErr w:type="spellStart"/>
      <w:r w:rsidRPr="003466F0">
        <w:rPr>
          <w:i/>
          <w:iCs/>
          <w:color w:val="000000" w:themeColor="text1"/>
        </w:rPr>
        <w:t>Bmj</w:t>
      </w:r>
      <w:proofErr w:type="spellEnd"/>
      <w:r w:rsidRPr="003466F0">
        <w:rPr>
          <w:color w:val="000000" w:themeColor="text1"/>
        </w:rPr>
        <w:t>, </w:t>
      </w:r>
      <w:r w:rsidRPr="003466F0">
        <w:rPr>
          <w:i/>
          <w:iCs/>
          <w:color w:val="000000" w:themeColor="text1"/>
        </w:rPr>
        <w:t>332</w:t>
      </w:r>
      <w:r w:rsidRPr="003466F0">
        <w:rPr>
          <w:color w:val="000000" w:themeColor="text1"/>
        </w:rPr>
        <w:t>(7534), 172-175.</w:t>
      </w:r>
    </w:p>
    <w:p w:rsidR="003466F0" w:rsidRPr="003466F0" w:rsidRDefault="003466F0" w:rsidP="003466F0">
      <w:pPr>
        <w:ind w:left="720" w:hanging="720"/>
        <w:rPr>
          <w:color w:val="000000" w:themeColor="text1"/>
        </w:rPr>
      </w:pPr>
      <w:proofErr w:type="spellStart"/>
      <w:r w:rsidRPr="003466F0">
        <w:rPr>
          <w:color w:val="000000" w:themeColor="text1"/>
        </w:rPr>
        <w:t>Maa</w:t>
      </w:r>
      <w:proofErr w:type="spellEnd"/>
      <w:r w:rsidRPr="003466F0">
        <w:rPr>
          <w:color w:val="000000" w:themeColor="text1"/>
        </w:rPr>
        <w:t xml:space="preserve">, E., &amp; </w:t>
      </w:r>
      <w:proofErr w:type="spellStart"/>
      <w:r w:rsidRPr="003466F0">
        <w:rPr>
          <w:color w:val="000000" w:themeColor="text1"/>
        </w:rPr>
        <w:t>Figi</w:t>
      </w:r>
      <w:proofErr w:type="spellEnd"/>
      <w:r w:rsidRPr="003466F0">
        <w:rPr>
          <w:color w:val="000000" w:themeColor="text1"/>
        </w:rPr>
        <w:t>, P. (2014). The case for medical marijuana in epilepsy. </w:t>
      </w:r>
      <w:proofErr w:type="spellStart"/>
      <w:r w:rsidRPr="003466F0">
        <w:rPr>
          <w:i/>
          <w:iCs/>
          <w:color w:val="000000" w:themeColor="text1"/>
        </w:rPr>
        <w:t>Epilepsia</w:t>
      </w:r>
      <w:proofErr w:type="spellEnd"/>
      <w:r w:rsidRPr="003466F0">
        <w:rPr>
          <w:color w:val="000000" w:themeColor="text1"/>
        </w:rPr>
        <w:t>, </w:t>
      </w:r>
      <w:r w:rsidRPr="003466F0">
        <w:rPr>
          <w:i/>
          <w:iCs/>
          <w:color w:val="000000" w:themeColor="text1"/>
        </w:rPr>
        <w:t>55</w:t>
      </w:r>
      <w:r w:rsidRPr="003466F0">
        <w:rPr>
          <w:color w:val="000000" w:themeColor="text1"/>
        </w:rPr>
        <w:t>(6), 783-786.</w:t>
      </w:r>
    </w:p>
    <w:p w:rsidR="003466F0" w:rsidRPr="003466F0" w:rsidRDefault="003466F0" w:rsidP="003466F0">
      <w:pPr>
        <w:ind w:left="720" w:hanging="720"/>
        <w:rPr>
          <w:color w:val="000000" w:themeColor="text1"/>
        </w:rPr>
      </w:pPr>
    </w:p>
    <w:p w:rsidR="00F47B71" w:rsidRPr="00284270" w:rsidRDefault="00F47B71" w:rsidP="003614EC">
      <w:pPr>
        <w:ind w:left="720" w:hanging="720"/>
        <w:rPr>
          <w:color w:val="000000" w:themeColor="text1"/>
        </w:rPr>
      </w:pPr>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37" w:rsidRDefault="00551437">
      <w:pPr>
        <w:spacing w:line="240" w:lineRule="auto"/>
      </w:pPr>
      <w:r>
        <w:separator/>
      </w:r>
    </w:p>
    <w:p w:rsidR="00551437" w:rsidRDefault="00551437"/>
  </w:endnote>
  <w:endnote w:type="continuationSeparator" w:id="0">
    <w:p w:rsidR="00551437" w:rsidRDefault="00551437">
      <w:pPr>
        <w:spacing w:line="240" w:lineRule="auto"/>
      </w:pPr>
      <w:r>
        <w:continuationSeparator/>
      </w:r>
    </w:p>
    <w:p w:rsidR="00551437" w:rsidRDefault="0055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37" w:rsidRDefault="00551437">
      <w:pPr>
        <w:spacing w:line="240" w:lineRule="auto"/>
      </w:pPr>
      <w:r>
        <w:separator/>
      </w:r>
    </w:p>
    <w:p w:rsidR="00551437" w:rsidRDefault="00551437"/>
  </w:footnote>
  <w:footnote w:type="continuationSeparator" w:id="0">
    <w:p w:rsidR="00551437" w:rsidRDefault="00551437">
      <w:pPr>
        <w:spacing w:line="240" w:lineRule="auto"/>
      </w:pPr>
      <w:r>
        <w:continuationSeparator/>
      </w:r>
    </w:p>
    <w:p w:rsidR="00551437" w:rsidRDefault="005514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466F0">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A4D0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3466F0">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D161A" w:rsidRPr="001D161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D131F"/>
    <w:rsid w:val="001D161A"/>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4270"/>
    <w:rsid w:val="00295816"/>
    <w:rsid w:val="00296FED"/>
    <w:rsid w:val="002A1132"/>
    <w:rsid w:val="002A4D02"/>
    <w:rsid w:val="002A57D1"/>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F6409"/>
    <w:rsid w:val="00501A34"/>
    <w:rsid w:val="0050407C"/>
    <w:rsid w:val="005055DB"/>
    <w:rsid w:val="0050795B"/>
    <w:rsid w:val="0051086C"/>
    <w:rsid w:val="005227F8"/>
    <w:rsid w:val="00532242"/>
    <w:rsid w:val="0053467A"/>
    <w:rsid w:val="0054163A"/>
    <w:rsid w:val="0054276E"/>
    <w:rsid w:val="00551437"/>
    <w:rsid w:val="00551737"/>
    <w:rsid w:val="00551A02"/>
    <w:rsid w:val="005534FA"/>
    <w:rsid w:val="005565B4"/>
    <w:rsid w:val="00557963"/>
    <w:rsid w:val="00577822"/>
    <w:rsid w:val="00581568"/>
    <w:rsid w:val="00586712"/>
    <w:rsid w:val="00587636"/>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2633"/>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33DD9"/>
    <w:rsid w:val="00742895"/>
    <w:rsid w:val="0074632E"/>
    <w:rsid w:val="00764C83"/>
    <w:rsid w:val="00785B9D"/>
    <w:rsid w:val="00797F6D"/>
    <w:rsid w:val="007A6C57"/>
    <w:rsid w:val="007B29CD"/>
    <w:rsid w:val="007C62C6"/>
    <w:rsid w:val="007D6BF9"/>
    <w:rsid w:val="007E03C9"/>
    <w:rsid w:val="007E7431"/>
    <w:rsid w:val="007F0FE0"/>
    <w:rsid w:val="008002C0"/>
    <w:rsid w:val="008016AF"/>
    <w:rsid w:val="00803CBA"/>
    <w:rsid w:val="00810D3E"/>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2482"/>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046999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5181A"/>
    <w:rsid w:val="00271548"/>
    <w:rsid w:val="002A02A4"/>
    <w:rsid w:val="002C6A0E"/>
    <w:rsid w:val="002D55D5"/>
    <w:rsid w:val="00321589"/>
    <w:rsid w:val="0036564A"/>
    <w:rsid w:val="0037295D"/>
    <w:rsid w:val="005116D2"/>
    <w:rsid w:val="0051221C"/>
    <w:rsid w:val="005859E3"/>
    <w:rsid w:val="005A0EC0"/>
    <w:rsid w:val="005B5596"/>
    <w:rsid w:val="005D7291"/>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6F5B"/>
    <w:rsid w:val="009C23FE"/>
    <w:rsid w:val="009C40B7"/>
    <w:rsid w:val="009E624F"/>
    <w:rsid w:val="00A2548B"/>
    <w:rsid w:val="00A91B7B"/>
    <w:rsid w:val="00AA19D8"/>
    <w:rsid w:val="00AA21D4"/>
    <w:rsid w:val="00AD4E26"/>
    <w:rsid w:val="00B00A1A"/>
    <w:rsid w:val="00B0293A"/>
    <w:rsid w:val="00BA48ED"/>
    <w:rsid w:val="00BA7732"/>
    <w:rsid w:val="00BC33BC"/>
    <w:rsid w:val="00BF2707"/>
    <w:rsid w:val="00BF3AFD"/>
    <w:rsid w:val="00CC0448"/>
    <w:rsid w:val="00CC55B5"/>
    <w:rsid w:val="00CF0618"/>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1498F030-3620-4962-95AC-8F0597B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2019-09-26T07:54:00Z</dcterms:created>
  <dcterms:modified xsi:type="dcterms:W3CDTF">2019-09-26T08:31:00Z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