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7F" w:rsidRDefault="00242E7F" w:rsidP="00242E7F">
      <w:pPr>
        <w:spacing w:line="480" w:lineRule="auto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242E7F" w:rsidRDefault="00242E7F" w:rsidP="00242E7F">
      <w:pPr>
        <w:spacing w:line="480" w:lineRule="auto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242E7F" w:rsidRDefault="00242E7F" w:rsidP="00242E7F">
      <w:pPr>
        <w:spacing w:line="480" w:lineRule="auto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242E7F" w:rsidRDefault="00242E7F" w:rsidP="00242E7F">
      <w:pPr>
        <w:spacing w:line="480" w:lineRule="auto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242E7F" w:rsidRDefault="00242E7F" w:rsidP="00242E7F">
      <w:pPr>
        <w:spacing w:line="480" w:lineRule="auto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242E7F" w:rsidRDefault="00242E7F" w:rsidP="00242E7F">
      <w:pPr>
        <w:spacing w:line="480" w:lineRule="auto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242E7F" w:rsidRDefault="00242E7F" w:rsidP="00242E7F">
      <w:pPr>
        <w:spacing w:line="480" w:lineRule="auto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242E7F" w:rsidRDefault="00242E7F" w:rsidP="00242E7F">
      <w:pPr>
        <w:spacing w:line="480" w:lineRule="auto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242E7F" w:rsidRDefault="00242E7F" w:rsidP="00242E7F">
      <w:pPr>
        <w:spacing w:line="480" w:lineRule="auto"/>
        <w:jc w:val="center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FB6F4B" w:rsidRDefault="00C72E7F" w:rsidP="00242E7F">
      <w:pPr>
        <w:spacing w:line="480" w:lineRule="auto"/>
        <w:jc w:val="center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93939"/>
          <w:sz w:val="20"/>
          <w:szCs w:val="20"/>
          <w:shd w:val="clear" w:color="auto" w:fill="FFFFFF"/>
        </w:rPr>
        <w:t>Neighborhood Efforts to Reduce C</w:t>
      </w:r>
      <w:r w:rsidR="00144950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>rime</w:t>
      </w:r>
    </w:p>
    <w:p w:rsidR="00242E7F" w:rsidRDefault="00C72E7F" w:rsidP="00242E7F">
      <w:pPr>
        <w:spacing w:line="480" w:lineRule="auto"/>
        <w:jc w:val="center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93939"/>
          <w:sz w:val="20"/>
          <w:szCs w:val="20"/>
          <w:shd w:val="clear" w:color="auto" w:fill="FFFFFF"/>
        </w:rPr>
        <w:t>Student’s Name</w:t>
      </w:r>
    </w:p>
    <w:p w:rsidR="00242E7F" w:rsidRDefault="00C72E7F" w:rsidP="00242E7F">
      <w:pPr>
        <w:spacing w:line="480" w:lineRule="auto"/>
        <w:jc w:val="center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93939"/>
          <w:sz w:val="20"/>
          <w:szCs w:val="20"/>
          <w:shd w:val="clear" w:color="auto" w:fill="FFFFFF"/>
        </w:rPr>
        <w:t>Institutional Affiliation</w:t>
      </w:r>
    </w:p>
    <w:p w:rsidR="00242E7F" w:rsidRDefault="00242E7F" w:rsidP="00242E7F">
      <w:pPr>
        <w:spacing w:line="480" w:lineRule="auto"/>
        <w:jc w:val="center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242E7F" w:rsidRDefault="00242E7F" w:rsidP="00242E7F">
      <w:pPr>
        <w:spacing w:line="480" w:lineRule="auto"/>
        <w:jc w:val="center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242E7F" w:rsidRDefault="00242E7F" w:rsidP="00242E7F">
      <w:pPr>
        <w:spacing w:line="480" w:lineRule="auto"/>
        <w:jc w:val="center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242E7F" w:rsidRDefault="00242E7F" w:rsidP="00242E7F">
      <w:pPr>
        <w:spacing w:line="480" w:lineRule="auto"/>
        <w:jc w:val="center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242E7F" w:rsidRDefault="00242E7F" w:rsidP="00242E7F">
      <w:pPr>
        <w:spacing w:line="480" w:lineRule="auto"/>
        <w:jc w:val="center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242E7F" w:rsidRDefault="00242E7F" w:rsidP="00242E7F">
      <w:pPr>
        <w:spacing w:line="480" w:lineRule="auto"/>
        <w:jc w:val="center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242E7F" w:rsidRPr="00242E7F" w:rsidRDefault="00242E7F" w:rsidP="00242E7F">
      <w:pPr>
        <w:spacing w:line="480" w:lineRule="auto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144950" w:rsidRPr="00242E7F" w:rsidRDefault="00C72E7F" w:rsidP="00CB564A">
      <w:pPr>
        <w:spacing w:line="480" w:lineRule="auto"/>
        <w:ind w:firstLine="720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  <w:r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lastRenderedPageBreak/>
        <w:t xml:space="preserve">The neighborhood watch is a prevalent crime prevention method. </w:t>
      </w:r>
      <w:r w:rsidR="0092393E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Its primary aim is always to reduce the crime rate as well as reduce the burglary that happens within </w:t>
      </w:r>
      <w:r w:rsidR="00884D76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the neighborhoods and households. The neighborhood efforts are usually implemented as a comprehensive </w:t>
      </w:r>
      <w:r w:rsidR="00177BD1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>package as it is vital in reducing the rate of crime</w:t>
      </w:r>
      <w:r w:rsidR="00242E7F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 (</w:t>
      </w:r>
      <w:r w:rsidR="00242E7F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MacDonald et al., 2009)</w:t>
      </w:r>
      <w:r w:rsidR="00177BD1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. </w:t>
      </w:r>
      <w:r w:rsidR="00F878A9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The neighborhood effort came up as a result of </w:t>
      </w:r>
      <w:r w:rsidR="00105A3E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the movement that started during the 1960s in a bid to involve the citizens in the fight against crime. </w:t>
      </w:r>
      <w:r w:rsidR="006B431F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>The use of the neighborhood watch to combat crime ha</w:t>
      </w:r>
      <w:r w:rsidR="00004B40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s steadily grown over the years. </w:t>
      </w:r>
      <w:r w:rsidR="00F347E4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The National Crime Prevention Council reported that by the year 2001, 40% of the American </w:t>
      </w:r>
      <w:r w:rsidR="005C0310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>population</w:t>
      </w:r>
      <w:r w:rsidR="00F347E4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 were involved either directly or indirectly in the neighborhood watch plan. </w:t>
      </w:r>
      <w:r w:rsidR="00F54303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As such, it is true to say that neighborhood watch schemes are one of the best ways through which criminal activities can be reduced. </w:t>
      </w:r>
    </w:p>
    <w:p w:rsidR="00727BEF" w:rsidRPr="00242E7F" w:rsidRDefault="00C72E7F" w:rsidP="00CB564A">
      <w:pPr>
        <w:spacing w:line="480" w:lineRule="auto"/>
        <w:ind w:firstLine="720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  <w:r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>Various scholars argue that neighborhood efforts are one of the most common crime prevention methods that are used by var</w:t>
      </w:r>
      <w:r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ious governments. Some of the existing </w:t>
      </w:r>
      <w:r w:rsidR="00B72D08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>evaluations</w:t>
      </w:r>
      <w:r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 indicate that although the impact of the neighborhood effort in reducing crime is positive, there is need to </w:t>
      </w:r>
      <w:r w:rsidR="004E2BDB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find out the differences between strategies that are more effective </w:t>
      </w:r>
      <w:r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>from those that are less eff</w:t>
      </w:r>
      <w:r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ective. Kondo et al. (2018) argue that </w:t>
      </w:r>
      <w:r w:rsidR="00C116E5">
        <w:rPr>
          <w:rFonts w:ascii="Verdana" w:hAnsi="Verdana" w:cs="Arial"/>
          <w:color w:val="393939"/>
          <w:sz w:val="20"/>
          <w:szCs w:val="20"/>
          <w:shd w:val="clear" w:color="auto" w:fill="FFFFFF"/>
        </w:rPr>
        <w:t>many authors have tried to examine the effects of neighborhood efforts in crime prevention</w:t>
      </w:r>
      <w:r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. </w:t>
      </w:r>
      <w:r w:rsidR="00D1603F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These authors go ahead to postulate that </w:t>
      </w:r>
      <w:r w:rsidR="008730E8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the </w:t>
      </w:r>
      <w:r w:rsidR="00516825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>utmost</w:t>
      </w:r>
      <w:r w:rsidR="008730E8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 </w:t>
      </w:r>
      <w:r w:rsidR="00516825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>dependable</w:t>
      </w:r>
      <w:r w:rsidR="008730E8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 evidence found is located in the </w:t>
      </w:r>
      <w:r w:rsidR="00516825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>territory</w:t>
      </w:r>
      <w:r w:rsidR="008730E8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 of </w:t>
      </w:r>
      <w:r w:rsidR="00623FD7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blight remediation and housing. </w:t>
      </w:r>
      <w:r w:rsidR="00C21199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They also found out that </w:t>
      </w:r>
      <w:r w:rsidR="00DC25CC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>the demolition of public housing considered as high rise, and the rehabilitation or construction of new houses</w:t>
      </w:r>
      <w:r w:rsidR="007D2C44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 has been very instrumental in reducing the homicides, violent crime rates, and </w:t>
      </w:r>
      <w:r w:rsidR="004E1AB7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>assault</w:t>
      </w:r>
      <w:r w:rsidR="007D2C44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. </w:t>
      </w:r>
      <w:r w:rsidR="009E471F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The scholars further add that many studies have shown that solving the housing problem in some neighborhoods can help in </w:t>
      </w:r>
      <w:r w:rsidR="00F02F31"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reducing gun violence and other types of violence. </w:t>
      </w:r>
    </w:p>
    <w:p w:rsidR="00AB29F6" w:rsidRPr="00242E7F" w:rsidRDefault="00C72E7F" w:rsidP="00CB564A">
      <w:pPr>
        <w:spacing w:line="480" w:lineRule="auto"/>
        <w:ind w:firstLine="720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Floyd, (2016) in his study found out that the local institutions have an influence </w:t>
      </w:r>
      <w:r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when </w:t>
      </w:r>
      <w:r w:rsidR="003838D2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it comes to neighborhood violence, even though their impact is still quite unclear. </w:t>
      </w:r>
      <w:r w:rsidR="00FA1EBE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Despite the public institutions lacking any </w:t>
      </w:r>
      <w:r w:rsidR="00D00E31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connection</w:t>
      </w:r>
      <w:r w:rsidR="00FA1EBE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between crime levels, </w:t>
      </w:r>
      <w:r w:rsidR="0081548B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the vacant slots </w:t>
      </w:r>
      <w:r w:rsidR="0081548B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lastRenderedPageBreak/>
        <w:t>that a</w:t>
      </w:r>
      <w:r w:rsidR="0051682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re publicly owned however seem</w:t>
      </w:r>
      <w:r w:rsidR="0081548B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to have a major </w:t>
      </w:r>
      <w:r w:rsidR="0051682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correlation</w:t>
      </w:r>
      <w:r w:rsidR="0081548B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to the racial </w:t>
      </w:r>
      <w:r w:rsidR="00D00E31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make-up</w:t>
      </w:r>
      <w:r w:rsidR="0081548B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of any neighborhood. This implies that Floyd (2016)</w:t>
      </w:r>
      <w:r w:rsidR="00D00E31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supports the theory that neighborhoods with higher </w:t>
      </w:r>
      <w:r w:rsidR="00036844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minorities have higher chances of ex</w:t>
      </w:r>
      <w:r w:rsidR="00CB564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periencing higher crime levels, as opposed to neighborhoods with majority populations. </w:t>
      </w:r>
    </w:p>
    <w:p w:rsidR="006A53F1" w:rsidRPr="00242E7F" w:rsidRDefault="00C72E7F" w:rsidP="00CB564A">
      <w:pPr>
        <w:spacing w:line="480" w:lineRule="auto"/>
        <w:ind w:firstLine="720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  <w:r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Xie and McDowall (2014) in their study realized that the resi</w:t>
      </w:r>
      <w:r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dential movement, especially in </w:t>
      </w:r>
      <w:r w:rsidR="00C0456E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instances</w:t>
      </w:r>
      <w:r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where it is caused by crime, </w:t>
      </w:r>
      <w:r w:rsidR="00C0456E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has a very long time a concern for the governments. </w:t>
      </w:r>
      <w:r w:rsidR="00450C16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Their study gave further evidence that </w:t>
      </w:r>
      <w:r w:rsidR="00B4088F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crime victims usually change their residents after victimization. This is always true with those from the White households. </w:t>
      </w:r>
      <w:r w:rsidR="00F03C32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These two scholars further found out that service providers within the neighborhoods ought to be very sensitive to the divergent needs of the different races and ethnicities. </w:t>
      </w:r>
      <w:r w:rsidR="004E7018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They outl</w:t>
      </w:r>
      <w:r w:rsidR="00063BA7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ine that the Black victim has their mobility influenced by the property victimization and violence. </w:t>
      </w:r>
      <w:r w:rsidR="00332847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They conclude their study by arguing that there is a need to go beyond the number of crimes being committed to studying the </w:t>
      </w:r>
      <w:r w:rsidR="003912CA"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circumstances of any incident of the neighborhood crime. This should incorporate the social, structural, and financial constraints when it comes to making decisions on where to live after victimization. </w:t>
      </w:r>
    </w:p>
    <w:p w:rsidR="00727BEF" w:rsidRPr="00242E7F" w:rsidRDefault="00727BEF" w:rsidP="00242E7F">
      <w:pPr>
        <w:spacing w:line="480" w:lineRule="auto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727BEF" w:rsidRPr="00242E7F" w:rsidRDefault="00727BEF" w:rsidP="00242E7F">
      <w:pPr>
        <w:spacing w:line="480" w:lineRule="auto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727BEF" w:rsidRPr="00242E7F" w:rsidRDefault="00727BEF" w:rsidP="00242E7F">
      <w:pPr>
        <w:spacing w:line="480" w:lineRule="auto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727BEF" w:rsidRPr="00242E7F" w:rsidRDefault="00727BEF" w:rsidP="00242E7F">
      <w:pPr>
        <w:spacing w:line="480" w:lineRule="auto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727BEF" w:rsidRDefault="00727BEF" w:rsidP="00242E7F">
      <w:pPr>
        <w:spacing w:line="480" w:lineRule="auto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CB564A" w:rsidRDefault="00CB564A" w:rsidP="00242E7F">
      <w:pPr>
        <w:spacing w:line="480" w:lineRule="auto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CB564A" w:rsidRPr="00242E7F" w:rsidRDefault="00CB564A" w:rsidP="00242E7F">
      <w:pPr>
        <w:spacing w:line="480" w:lineRule="auto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</w:p>
    <w:p w:rsidR="00242E7F" w:rsidRDefault="00242E7F" w:rsidP="00242E7F">
      <w:pPr>
        <w:spacing w:line="480" w:lineRule="auto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  <w:bookmarkStart w:id="0" w:name="_GoBack"/>
      <w:bookmarkEnd w:id="0"/>
    </w:p>
    <w:p w:rsidR="00727BEF" w:rsidRPr="00242E7F" w:rsidRDefault="00C72E7F" w:rsidP="00242E7F">
      <w:pPr>
        <w:spacing w:line="480" w:lineRule="auto"/>
        <w:jc w:val="center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  <w:r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lastRenderedPageBreak/>
        <w:t>References</w:t>
      </w:r>
    </w:p>
    <w:p w:rsidR="00242E7F" w:rsidRPr="00242E7F" w:rsidRDefault="00C72E7F" w:rsidP="00242E7F">
      <w:pPr>
        <w:spacing w:line="480" w:lineRule="auto"/>
        <w:ind w:left="720" w:hanging="720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Floyd, M. </w:t>
      </w:r>
      <w:r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(2016). Neighborhood Violence and Crime: Do Public Institutions Reduce Crime In Neighborhoods?. </w:t>
      </w:r>
      <w:r w:rsidRPr="00242E7F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Clocks and Clouds</w:t>
      </w:r>
      <w:r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 </w:t>
      </w:r>
      <w:r w:rsidRPr="00242E7F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6</w:t>
      </w:r>
      <w:r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(2).</w:t>
      </w:r>
    </w:p>
    <w:p w:rsidR="00242E7F" w:rsidRPr="00242E7F" w:rsidRDefault="00C72E7F" w:rsidP="00242E7F">
      <w:pPr>
        <w:spacing w:line="480" w:lineRule="auto"/>
        <w:ind w:left="720" w:hanging="720"/>
        <w:rPr>
          <w:rFonts w:ascii="Verdana" w:hAnsi="Verdana" w:cs="Arial"/>
          <w:color w:val="393939"/>
          <w:sz w:val="20"/>
          <w:szCs w:val="20"/>
          <w:shd w:val="clear" w:color="auto" w:fill="FFFFFF"/>
        </w:rPr>
      </w:pPr>
      <w:r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Kondo, M. C., Andreyeva, E., South, E. C., MacDonald, J. M., &amp; Branas, C. C. (2018). Neighborhood interventions to reduce violence. </w:t>
      </w:r>
      <w:r w:rsidRPr="00242E7F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Annual review of public health</w:t>
      </w:r>
      <w:r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 </w:t>
      </w:r>
      <w:r w:rsidRPr="00242E7F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39</w:t>
      </w:r>
      <w:r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253-271.</w:t>
      </w:r>
      <w:r w:rsidRPr="00242E7F">
        <w:rPr>
          <w:rFonts w:ascii="Verdana" w:hAnsi="Verdana" w:cs="Arial"/>
          <w:color w:val="393939"/>
          <w:sz w:val="20"/>
          <w:szCs w:val="20"/>
          <w:shd w:val="clear" w:color="auto" w:fill="FFFFFF"/>
        </w:rPr>
        <w:t xml:space="preserve"> </w:t>
      </w:r>
    </w:p>
    <w:p w:rsidR="00242E7F" w:rsidRPr="00242E7F" w:rsidRDefault="00C72E7F" w:rsidP="00242E7F">
      <w:pPr>
        <w:spacing w:line="480" w:lineRule="auto"/>
        <w:ind w:left="720" w:hanging="720"/>
        <w:rPr>
          <w:rFonts w:ascii="Verdana" w:hAnsi="Verdana"/>
        </w:rPr>
      </w:pPr>
      <w:r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MacDonald, J., MacDonald, J. M., Bluthenthan, R. N., Golinelli, D., Kofner, A., &amp; Stokes, R. J. (2009). </w:t>
      </w:r>
      <w:r w:rsidRPr="00242E7F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Neighborhood effects on crime and youth violence: the role of business improvement districts in Los Angele</w:t>
      </w:r>
      <w:r w:rsidRPr="00242E7F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s</w:t>
      </w:r>
      <w:r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 (Vol. 622). Rand Corporation.</w:t>
      </w:r>
    </w:p>
    <w:p w:rsidR="00242E7F" w:rsidRPr="00242E7F" w:rsidRDefault="00C72E7F" w:rsidP="00242E7F">
      <w:pPr>
        <w:spacing w:line="480" w:lineRule="auto"/>
        <w:ind w:left="720" w:hanging="720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Xie, M., &amp; McDowall, D. (2014). Impact of victimization on residential mobility: Explaining racial and ethnic patterns using the National Crime Victimization Survey. </w:t>
      </w:r>
      <w:r w:rsidRPr="00242E7F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Criminology</w:t>
      </w:r>
      <w:r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 </w:t>
      </w:r>
      <w:r w:rsidRPr="00242E7F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52</w:t>
      </w:r>
      <w:r w:rsidRPr="00242E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(4), 553-587.</w:t>
      </w:r>
    </w:p>
    <w:sectPr w:rsidR="00242E7F" w:rsidRPr="00242E7F" w:rsidSect="00242E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7F" w:rsidRDefault="00C72E7F">
      <w:pPr>
        <w:spacing w:after="0" w:line="240" w:lineRule="auto"/>
      </w:pPr>
      <w:r>
        <w:separator/>
      </w:r>
    </w:p>
  </w:endnote>
  <w:endnote w:type="continuationSeparator" w:id="0">
    <w:p w:rsidR="00C72E7F" w:rsidRDefault="00C7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38" w:rsidRDefault="00FF4E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38" w:rsidRDefault="00FF4E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38" w:rsidRDefault="00FF4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7F" w:rsidRDefault="00C72E7F">
      <w:pPr>
        <w:spacing w:after="0" w:line="240" w:lineRule="auto"/>
      </w:pPr>
      <w:r>
        <w:separator/>
      </w:r>
    </w:p>
  </w:footnote>
  <w:footnote w:type="continuationSeparator" w:id="0">
    <w:p w:rsidR="00C72E7F" w:rsidRDefault="00C7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38" w:rsidRDefault="00FF4E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  <w:szCs w:val="20"/>
      </w:rPr>
      <w:id w:val="-443306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2E7F" w:rsidRPr="00242E7F" w:rsidRDefault="00C72E7F">
        <w:pPr>
          <w:pStyle w:val="Header"/>
          <w:jc w:val="right"/>
          <w:rPr>
            <w:rFonts w:ascii="Verdana" w:hAnsi="Verdana"/>
            <w:sz w:val="20"/>
            <w:szCs w:val="20"/>
          </w:rPr>
        </w:pPr>
        <w:r w:rsidRPr="00242E7F">
          <w:rPr>
            <w:rFonts w:ascii="Verdana" w:hAnsi="Verdana" w:cs="Arial"/>
            <w:color w:val="222222"/>
            <w:sz w:val="20"/>
            <w:szCs w:val="20"/>
            <w:shd w:val="clear" w:color="auto" w:fill="FFFFFF"/>
          </w:rPr>
          <w:t xml:space="preserve">NEIGHBORHOOD EFFORTS TO REDUCE CRIME </w:t>
        </w:r>
        <w:r w:rsidRPr="00242E7F">
          <w:rPr>
            <w:rFonts w:ascii="Verdana" w:hAnsi="Verdana" w:cs="Arial"/>
            <w:color w:val="222222"/>
            <w:sz w:val="20"/>
            <w:szCs w:val="20"/>
            <w:shd w:val="clear" w:color="auto" w:fill="FFFFFF"/>
          </w:rPr>
          <w:tab/>
        </w:r>
        <w:r w:rsidRPr="00242E7F">
          <w:rPr>
            <w:rFonts w:ascii="Verdana" w:hAnsi="Verdana"/>
            <w:sz w:val="20"/>
            <w:szCs w:val="20"/>
          </w:rPr>
          <w:fldChar w:fldCharType="begin"/>
        </w:r>
        <w:r w:rsidRPr="00242E7F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242E7F">
          <w:rPr>
            <w:rFonts w:ascii="Verdana" w:hAnsi="Verdana"/>
            <w:sz w:val="20"/>
            <w:szCs w:val="20"/>
          </w:rPr>
          <w:fldChar w:fldCharType="separate"/>
        </w:r>
        <w:r w:rsidR="00FF4E38">
          <w:rPr>
            <w:rFonts w:ascii="Verdana" w:hAnsi="Verdana"/>
            <w:noProof/>
            <w:sz w:val="20"/>
            <w:szCs w:val="20"/>
          </w:rPr>
          <w:t>4</w:t>
        </w:r>
        <w:r w:rsidRPr="00242E7F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:rsidR="00242E7F" w:rsidRPr="00242E7F" w:rsidRDefault="00242E7F">
    <w:pPr>
      <w:pStyle w:val="Head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7F" w:rsidRPr="00242E7F" w:rsidRDefault="00C72E7F">
    <w:pPr>
      <w:pStyle w:val="Header"/>
      <w:rPr>
        <w:rFonts w:ascii="Verdana" w:hAnsi="Verdana"/>
        <w:sz w:val="20"/>
        <w:szCs w:val="20"/>
        <w:lang w:val="en-CA"/>
      </w:rPr>
    </w:pPr>
    <w:r w:rsidRPr="00242E7F">
      <w:rPr>
        <w:rFonts w:ascii="Verdana" w:hAnsi="Verdana"/>
        <w:sz w:val="20"/>
        <w:szCs w:val="20"/>
        <w:lang w:val="en-CA"/>
      </w:rPr>
      <w:t xml:space="preserve">Running head: </w:t>
    </w:r>
    <w:r w:rsidRPr="00242E7F">
      <w:rPr>
        <w:rFonts w:ascii="Verdana" w:hAnsi="Verdana" w:cs="Arial"/>
        <w:color w:val="222222"/>
        <w:sz w:val="20"/>
        <w:szCs w:val="20"/>
        <w:shd w:val="clear" w:color="auto" w:fill="FFFFFF"/>
      </w:rPr>
      <w:t xml:space="preserve">NEIGHBORHOOD EFFORTS TO REDUCE CRIME </w:t>
    </w:r>
    <w:r w:rsidRPr="00242E7F">
      <w:rPr>
        <w:rFonts w:ascii="Verdana" w:hAnsi="Verdana" w:cs="Arial"/>
        <w:color w:val="222222"/>
        <w:sz w:val="20"/>
        <w:szCs w:val="20"/>
        <w:shd w:val="clear" w:color="auto" w:fill="FFFFFF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50"/>
    <w:rsid w:val="00004B40"/>
    <w:rsid w:val="00036844"/>
    <w:rsid w:val="00063BA7"/>
    <w:rsid w:val="00105A3E"/>
    <w:rsid w:val="00144950"/>
    <w:rsid w:val="00177BD1"/>
    <w:rsid w:val="00242E7F"/>
    <w:rsid w:val="002836AB"/>
    <w:rsid w:val="002B402A"/>
    <w:rsid w:val="00332847"/>
    <w:rsid w:val="003838D2"/>
    <w:rsid w:val="003912CA"/>
    <w:rsid w:val="00450C16"/>
    <w:rsid w:val="004E1AB7"/>
    <w:rsid w:val="004E2BDB"/>
    <w:rsid w:val="004E7018"/>
    <w:rsid w:val="00516825"/>
    <w:rsid w:val="005C0310"/>
    <w:rsid w:val="00623FD7"/>
    <w:rsid w:val="00650D78"/>
    <w:rsid w:val="006A53F1"/>
    <w:rsid w:val="006B431F"/>
    <w:rsid w:val="00727BEF"/>
    <w:rsid w:val="007D2C44"/>
    <w:rsid w:val="0081548B"/>
    <w:rsid w:val="008730E8"/>
    <w:rsid w:val="00884D76"/>
    <w:rsid w:val="0092393E"/>
    <w:rsid w:val="009E471F"/>
    <w:rsid w:val="00A4495A"/>
    <w:rsid w:val="00AB29F6"/>
    <w:rsid w:val="00B4088F"/>
    <w:rsid w:val="00B72D08"/>
    <w:rsid w:val="00C0456E"/>
    <w:rsid w:val="00C116E5"/>
    <w:rsid w:val="00C21199"/>
    <w:rsid w:val="00C72E7F"/>
    <w:rsid w:val="00CB564A"/>
    <w:rsid w:val="00D00E31"/>
    <w:rsid w:val="00D1603F"/>
    <w:rsid w:val="00DC25CC"/>
    <w:rsid w:val="00F02F31"/>
    <w:rsid w:val="00F03C32"/>
    <w:rsid w:val="00F347E4"/>
    <w:rsid w:val="00F54303"/>
    <w:rsid w:val="00F878A9"/>
    <w:rsid w:val="00FA1EBE"/>
    <w:rsid w:val="00FB6F4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7F"/>
  </w:style>
  <w:style w:type="paragraph" w:styleId="Footer">
    <w:name w:val="footer"/>
    <w:basedOn w:val="Normal"/>
    <w:link w:val="FooterChar"/>
    <w:uiPriority w:val="99"/>
    <w:unhideWhenUsed/>
    <w:rsid w:val="00242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2019-03-11T17:27:00Z</dcterms:created>
  <dcterms:modified xsi:type="dcterms:W3CDTF">2019-03-11T17:27:00Z</dcterms:modified>
</cp:coreProperties>
</file>