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334B31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AA4E1E">
            <w:t>Letter to Journal Editor</w:t>
          </w:r>
        </w:sdtContent>
      </w:sdt>
    </w:p>
    <w:p w:rsidR="00B823AA" w:rsidRDefault="00334B31" w:rsidP="00B823AA">
      <w:pPr>
        <w:pStyle w:val="Title2"/>
      </w:pPr>
      <w:r>
        <w:t>[Name of the Student]</w:t>
      </w:r>
    </w:p>
    <w:p w:rsidR="00E81978" w:rsidRDefault="00334B31" w:rsidP="00B823AA">
      <w:pPr>
        <w:pStyle w:val="Title2"/>
      </w:pPr>
      <w:r>
        <w:t>[Name of the Institution]</w:t>
      </w:r>
    </w:p>
    <w:p w:rsidR="00F2324A" w:rsidRDefault="00334B31">
      <w:r>
        <w:br w:type="page"/>
      </w:r>
    </w:p>
    <w:p w:rsidR="0075601D" w:rsidRDefault="00334B31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r>
        <w:rPr>
          <w:rFonts w:asciiTheme="minorHAnsi" w:eastAsiaTheme="minorEastAsia" w:hAnsiTheme="minorHAnsi" w:cstheme="minorBidi"/>
          <w:b w:val="0"/>
          <w:bCs w:val="0"/>
        </w:rPr>
        <w:lastRenderedPageBreak/>
        <w:t>Letter to Journal Editor</w:t>
      </w:r>
    </w:p>
    <w:bookmarkEnd w:id="0"/>
    <w:bookmarkEnd w:id="1"/>
    <w:p w:rsidR="001E0A96" w:rsidRPr="00F9185E" w:rsidRDefault="00334B31" w:rsidP="001E0A96">
      <w:pPr>
        <w:pStyle w:val="Title2"/>
        <w:jc w:val="left"/>
        <w:rPr>
          <w:i/>
        </w:rPr>
      </w:pPr>
      <w:r w:rsidRPr="00F9185E">
        <w:rPr>
          <w:i/>
        </w:rPr>
        <w:t>Prof James Giordano</w:t>
      </w:r>
    </w:p>
    <w:p w:rsidR="00864EE2" w:rsidRPr="00F9185E" w:rsidRDefault="00864EE2" w:rsidP="001E0A96">
      <w:pPr>
        <w:pStyle w:val="Title2"/>
        <w:jc w:val="left"/>
        <w:rPr>
          <w:i/>
        </w:rPr>
      </w:pPr>
    </w:p>
    <w:p w:rsidR="00864EE2" w:rsidRPr="00F9185E" w:rsidRDefault="00334B31" w:rsidP="001E0A96">
      <w:pPr>
        <w:pStyle w:val="Title2"/>
        <w:jc w:val="left"/>
        <w:rPr>
          <w:i/>
        </w:rPr>
      </w:pPr>
      <w:r w:rsidRPr="00F9185E">
        <w:rPr>
          <w:i/>
        </w:rPr>
        <w:t>Editor-in-Chief</w:t>
      </w:r>
    </w:p>
    <w:p w:rsidR="00864EE2" w:rsidRPr="00F9185E" w:rsidRDefault="00334B31" w:rsidP="001E0A96">
      <w:pPr>
        <w:pStyle w:val="Title2"/>
        <w:jc w:val="left"/>
        <w:rPr>
          <w:i/>
        </w:rPr>
      </w:pPr>
      <w:r w:rsidRPr="00F9185E">
        <w:rPr>
          <w:i/>
        </w:rPr>
        <w:t>Philosophy, Ethics, and Humanities in Medicine</w:t>
      </w:r>
    </w:p>
    <w:p w:rsidR="00864EE2" w:rsidRPr="00F9185E" w:rsidRDefault="00334B31" w:rsidP="001E0A96">
      <w:pPr>
        <w:pStyle w:val="Title2"/>
        <w:jc w:val="left"/>
        <w:rPr>
          <w:i/>
        </w:rPr>
      </w:pPr>
      <w:r w:rsidRPr="00F9185E">
        <w:rPr>
          <w:i/>
        </w:rPr>
        <w:t>Springer Nature</w:t>
      </w:r>
    </w:p>
    <w:p w:rsidR="00D12F3E" w:rsidRPr="00F9185E" w:rsidRDefault="00334B31" w:rsidP="001E0A96">
      <w:pPr>
        <w:pStyle w:val="Title2"/>
        <w:jc w:val="left"/>
        <w:rPr>
          <w:i/>
        </w:rPr>
      </w:pPr>
      <w:r w:rsidRPr="00F9185E">
        <w:rPr>
          <w:i/>
        </w:rPr>
        <w:t>December 27, 2019</w:t>
      </w:r>
    </w:p>
    <w:p w:rsidR="00D12F3E" w:rsidRDefault="00D12F3E" w:rsidP="001E0A96">
      <w:pPr>
        <w:pStyle w:val="Title2"/>
        <w:jc w:val="left"/>
      </w:pPr>
    </w:p>
    <w:p w:rsidR="00D12F3E" w:rsidRDefault="00334B31" w:rsidP="001E0A96">
      <w:pPr>
        <w:pStyle w:val="Title2"/>
        <w:jc w:val="left"/>
      </w:pPr>
      <w:r>
        <w:t>Dear Sir</w:t>
      </w:r>
      <w:r w:rsidR="006F6C3C">
        <w:t>,</w:t>
      </w:r>
    </w:p>
    <w:p w:rsidR="006F6C3C" w:rsidRDefault="006F6C3C" w:rsidP="001E0A96">
      <w:pPr>
        <w:pStyle w:val="Title2"/>
        <w:jc w:val="left"/>
      </w:pPr>
    </w:p>
    <w:p w:rsidR="006F6C3C" w:rsidRDefault="00334B31" w:rsidP="001E0A96">
      <w:pPr>
        <w:pStyle w:val="Title2"/>
        <w:jc w:val="left"/>
      </w:pPr>
      <w:r>
        <w:t xml:space="preserve">With reference to the </w:t>
      </w:r>
      <w:r>
        <w:t>journal article “</w:t>
      </w:r>
      <w:r w:rsidRPr="00C45B7F">
        <w:t>The Role of Culture/Ethnicity in Communicating with Cancer Patients about Mental Health Distress and Suicidality</w:t>
      </w:r>
      <w:r>
        <w:t>”, I wou</w:t>
      </w:r>
      <w:r w:rsidR="00B9174E">
        <w:t>ld like to emphasize the need for</w:t>
      </w:r>
      <w:r>
        <w:t xml:space="preserve"> promoting communication skills in Health Care Professionals (HCPs)</w:t>
      </w:r>
      <w:r w:rsidR="00B9174E">
        <w:t xml:space="preserve"> so t</w:t>
      </w:r>
      <w:r w:rsidR="002C0FA5">
        <w:t xml:space="preserve">hat the patients can </w:t>
      </w:r>
      <w:r w:rsidR="002E4E7D">
        <w:t>avail</w:t>
      </w:r>
      <w:r w:rsidR="002C0FA5">
        <w:t xml:space="preserve"> </w:t>
      </w:r>
      <w:r w:rsidR="00331362">
        <w:t>standard</w:t>
      </w:r>
      <w:r w:rsidR="002C0FA5">
        <w:t xml:space="preserve"> </w:t>
      </w:r>
      <w:r w:rsidR="002E4E7D">
        <w:t xml:space="preserve">healthcare benefits in the treatment of diseases. </w:t>
      </w:r>
      <w:r w:rsidR="00331362">
        <w:t xml:space="preserve">The article mentioned above discusses the involvement of culture in </w:t>
      </w:r>
      <w:r w:rsidR="00DA3E81">
        <w:t>facilitating or hindering communication betw</w:t>
      </w:r>
      <w:r w:rsidR="00F57654">
        <w:t>een physicians and patients. The research was conducted in the con</w:t>
      </w:r>
      <w:r w:rsidR="00954AA3">
        <w:t xml:space="preserve">text of cancer patients to </w:t>
      </w:r>
      <w:r w:rsidR="007519AB">
        <w:t>communicate with them openly</w:t>
      </w:r>
      <w:r w:rsidR="00954AA3">
        <w:t xml:space="preserve"> about </w:t>
      </w:r>
      <w:r w:rsidR="007519AB">
        <w:t>mental health distress and suicidality.</w:t>
      </w:r>
      <w:r w:rsidR="0064303A">
        <w:t xml:space="preserve"> Cross-cultural influences were studied how they affect the communication of these topics between health care professionals and patients. The study </w:t>
      </w:r>
      <w:r w:rsidR="001B557A">
        <w:t xml:space="preserve">concluded that the need for training HCPs to communicate effectively in cross-cultural contexts </w:t>
      </w:r>
      <w:r w:rsidR="00DB7106">
        <w:t xml:space="preserve">to ensure satisfactory </w:t>
      </w:r>
      <w:r w:rsidR="000D60F1">
        <w:t>counseling</w:t>
      </w:r>
      <w:r w:rsidR="00DB7106">
        <w:t xml:space="preserve"> of cancer patients is undeniable.</w:t>
      </w:r>
      <w:r w:rsidR="000D60F1">
        <w:t xml:space="preserve"> I am writing to you this letter</w:t>
      </w:r>
      <w:r w:rsidR="00200227">
        <w:t xml:space="preserve"> to insist on urge researchers conduct extensive studies on the </w:t>
      </w:r>
      <w:r w:rsidR="00AB04FD">
        <w:t xml:space="preserve">role of culture in facilitating or hindering communication between healthcare professionals and patients </w:t>
      </w:r>
      <w:r w:rsidR="00DC57BD">
        <w:t xml:space="preserve">to communicate openly on the necessary details involved in their </w:t>
      </w:r>
      <w:r w:rsidR="00DC57BD">
        <w:lastRenderedPageBreak/>
        <w:t xml:space="preserve">cases. This </w:t>
      </w:r>
      <w:r w:rsidR="001D007A">
        <w:t>awareness</w:t>
      </w:r>
      <w:r w:rsidR="00DC57BD">
        <w:t xml:space="preserve"> will ensure the development of </w:t>
      </w:r>
      <w:r w:rsidR="00A657B6">
        <w:t>training programs for the health ca</w:t>
      </w:r>
      <w:r w:rsidR="00D32016">
        <w:t xml:space="preserve">re professionals that </w:t>
      </w:r>
      <w:r w:rsidR="00562BD6">
        <w:t xml:space="preserve">inculcate </w:t>
      </w:r>
      <w:r w:rsidR="008D65B4">
        <w:t xml:space="preserve">in them </w:t>
      </w:r>
      <w:r w:rsidR="00A841C2">
        <w:t xml:space="preserve">certain </w:t>
      </w:r>
      <w:r w:rsidR="008D65B4">
        <w:t xml:space="preserve">essential attitudes and skills </w:t>
      </w:r>
      <w:r w:rsidR="00A841C2">
        <w:t xml:space="preserve">to remove </w:t>
      </w:r>
      <w:r w:rsidR="001D007A">
        <w:t>communication gaps.</w:t>
      </w:r>
    </w:p>
    <w:p w:rsidR="002358AE" w:rsidRDefault="002358AE" w:rsidP="001E0A96">
      <w:pPr>
        <w:pStyle w:val="Title2"/>
        <w:jc w:val="left"/>
      </w:pPr>
    </w:p>
    <w:p w:rsidR="00DE3C37" w:rsidRDefault="00334B31" w:rsidP="001E0A96">
      <w:pPr>
        <w:pStyle w:val="Title2"/>
        <w:jc w:val="left"/>
      </w:pPr>
      <w:r>
        <w:t xml:space="preserve">Health care professionals must show empathy towards patients, especially those who have been diagnosed with serious health disorders. They must </w:t>
      </w:r>
      <w:r>
        <w:t>understand the condition and distress that the patients</w:t>
      </w:r>
      <w:r w:rsidR="00743E55">
        <w:t xml:space="preserve"> are suffering from, and strive for facilitating the patients to the utmost to ensure the best possible treatment.</w:t>
      </w:r>
      <w:r w:rsidR="0050565C">
        <w:t xml:space="preserve"> The </w:t>
      </w:r>
      <w:r w:rsidR="005B384F">
        <w:t>patients with severe diseases often acquire mental health distress and suicidal tendencies mor</w:t>
      </w:r>
      <w:r w:rsidR="00482715">
        <w:t>e frequently than other patients. The health care professionals must feel this difference of sev</w:t>
      </w:r>
      <w:r w:rsidR="003760F2">
        <w:t xml:space="preserve">erity in clinical situations when dealing with different patients. </w:t>
      </w:r>
      <w:r w:rsidR="00C30EFF">
        <w:t xml:space="preserve">To this end, barriers of communication between HCPs and patients should be eliminated. </w:t>
      </w:r>
      <w:r w:rsidR="003B1B22">
        <w:t xml:space="preserve">In identifying </w:t>
      </w:r>
      <w:r w:rsidR="001F6863">
        <w:t xml:space="preserve">thoughts and tendencies of patients suffering from </w:t>
      </w:r>
      <w:r w:rsidR="003B1B22">
        <w:t xml:space="preserve">severe diseases, certain barriers </w:t>
      </w:r>
      <w:r w:rsidR="001F6863">
        <w:t xml:space="preserve">exist that must be removed, including </w:t>
      </w:r>
      <w:r w:rsidR="006439B7">
        <w:t xml:space="preserve">lack of sufficient screening tools, lack of time, discomfort in discussing with patients about their illnesses due to </w:t>
      </w:r>
      <w:r w:rsidR="00F73E45">
        <w:t xml:space="preserve">cultural restraints or associated taboos, incapability to understand patients’ </w:t>
      </w:r>
      <w:r w:rsidR="00EC26D1">
        <w:t>views or tendencies due to communication gaps, and other factors</w:t>
      </w:r>
      <w:r w:rsidR="0087696F">
        <w:t xml:space="preserve"> (Granek, Nakash, Ariad, Shapira, &amp; Ben-David, 2019)</w:t>
      </w:r>
      <w:r w:rsidR="00EC26D1">
        <w:t xml:space="preserve">. </w:t>
      </w:r>
    </w:p>
    <w:p w:rsidR="00DE3C37" w:rsidRDefault="00DE3C37" w:rsidP="001E0A96">
      <w:pPr>
        <w:pStyle w:val="Title2"/>
        <w:jc w:val="left"/>
      </w:pPr>
    </w:p>
    <w:p w:rsidR="002358AE" w:rsidRDefault="00334B31" w:rsidP="001E0A96">
      <w:pPr>
        <w:pStyle w:val="Title2"/>
        <w:jc w:val="left"/>
      </w:pPr>
      <w:r>
        <w:t>The communication gaps increase between HCPs and pa</w:t>
      </w:r>
      <w:r>
        <w:t xml:space="preserve">tients due to cultural differences that prohibit them to talk openly on particular issues of health. Certain religious factors </w:t>
      </w:r>
      <w:r w:rsidR="00E258FF">
        <w:t xml:space="preserve">are also involved in making this communication ineffective. For instance, Judaism and Islam prohibits suicide and, therefore, patients observing these religions would definitely </w:t>
      </w:r>
      <w:r w:rsidR="00092977">
        <w:t xml:space="preserve">hesitate to discuss their inner thoughts with health care professionals. This will make it difficult for the HCPs to </w:t>
      </w:r>
      <w:r w:rsidR="00DE13D8">
        <w:t xml:space="preserve">identify the risks of suicide and degree of distress among such patients. This situation calls for adequate </w:t>
      </w:r>
      <w:r w:rsidR="00DE13D8">
        <w:lastRenderedPageBreak/>
        <w:t xml:space="preserve">training of the HCPs </w:t>
      </w:r>
      <w:r w:rsidR="00607873">
        <w:t>for developing cross-cultural competency as well as cross-cultural humility</w:t>
      </w:r>
      <w:r w:rsidR="002641E7">
        <w:t xml:space="preserve"> (Granek, et. al, 2019)</w:t>
      </w:r>
      <w:r w:rsidR="00607873">
        <w:t>.</w:t>
      </w:r>
      <w:r w:rsidR="00EC26D1">
        <w:t xml:space="preserve"> </w:t>
      </w:r>
      <w:r w:rsidR="00433A57">
        <w:t xml:space="preserve">Cross-cultural competence will prepare them to deal with patients' diversity, whereas cross-cultural </w:t>
      </w:r>
      <w:r w:rsidR="007C6EEB">
        <w:t xml:space="preserve">humility will create in them a respect for other cultures, increased empathy toward patients’ varying backgrounds, and </w:t>
      </w:r>
      <w:r w:rsidR="00350B9D">
        <w:t xml:space="preserve">long-term capability to endure difficulties of dealing with cultural disparities. </w:t>
      </w:r>
    </w:p>
    <w:p w:rsidR="006F6C3C" w:rsidRDefault="006F6C3C" w:rsidP="001E0A96">
      <w:pPr>
        <w:pStyle w:val="Title2"/>
        <w:jc w:val="left"/>
      </w:pPr>
    </w:p>
    <w:p w:rsidR="00486A6F" w:rsidRDefault="00334B31" w:rsidP="001E0A96">
      <w:pPr>
        <w:pStyle w:val="Title2"/>
        <w:jc w:val="left"/>
      </w:pPr>
      <w:r>
        <w:t xml:space="preserve">Commitment to profession and sincerity towards the patients must be the basic guiding principles of every medical professional. They are bound by their professional ethics to provide necessary information and </w:t>
      </w:r>
      <w:r w:rsidR="00BF0114">
        <w:t>have patience in replying to the patients’ queries. Belittling the patients or</w:t>
      </w:r>
      <w:r w:rsidR="00D140B2">
        <w:t xml:space="preserve"> keeping them ignorant of the facts can increase their distress and negative tendencies</w:t>
      </w:r>
      <w:r w:rsidR="00590654">
        <w:t xml:space="preserve"> (“Barriers </w:t>
      </w:r>
      <w:r w:rsidR="008F2CD0">
        <w:t>for the</w:t>
      </w:r>
      <w:r w:rsidR="00590654">
        <w:t xml:space="preserve"> Doctor and The Patient,” </w:t>
      </w:r>
      <w:r w:rsidR="000E4F86">
        <w:t>2019</w:t>
      </w:r>
      <w:r w:rsidR="00590654">
        <w:t>)</w:t>
      </w:r>
      <w:r w:rsidR="00D140B2">
        <w:t>.</w:t>
      </w:r>
      <w:r w:rsidR="00491862">
        <w:t xml:space="preserve"> This indicates the non-professional behavior of health care professionals. The only thing that can mend this way of practice is to </w:t>
      </w:r>
      <w:r w:rsidR="00AC1081">
        <w:t xml:space="preserve">promote awareness by publishing relevant literature more frequently and urging the medical institutions to arrange training sessions for the practitioner to enable them to </w:t>
      </w:r>
      <w:r w:rsidR="008F2CD0">
        <w:t>treat patients fairly and competently, overcoming their personal</w:t>
      </w:r>
      <w:r w:rsidR="00F70CE5">
        <w:t xml:space="preserve"> shortcomings and weaknesses. </w:t>
      </w:r>
      <w:r w:rsidR="00654940">
        <w:t xml:space="preserve">Another aspect of insufficient communication between doctor and patient is the </w:t>
      </w:r>
      <w:r w:rsidR="005F2899">
        <w:t xml:space="preserve">unjustifiable behavior of patients during their examination by the doctor. Mostly, patients ask irrelevant questions and consciously or unconsciously elongate the </w:t>
      </w:r>
      <w:r w:rsidR="00FB3B93">
        <w:t>dialogue to unnecessary limit. They oft</w:t>
      </w:r>
      <w:r w:rsidR="00106886">
        <w:t xml:space="preserve">en irritate the practitioner such that he or she is compelled to treat them strictly. </w:t>
      </w:r>
      <w:r w:rsidR="00E41AF2">
        <w:t xml:space="preserve">The illuminating literature published in </w:t>
      </w:r>
      <w:r w:rsidR="00A26372">
        <w:t>authoritative</w:t>
      </w:r>
      <w:r w:rsidR="00E41AF2">
        <w:t xml:space="preserve"> journals </w:t>
      </w:r>
      <w:r w:rsidR="00A26372">
        <w:t xml:space="preserve">will create awareness in the practitioners how to handle such situations and the training sessions </w:t>
      </w:r>
      <w:r w:rsidR="00C40920">
        <w:t>organized</w:t>
      </w:r>
      <w:r w:rsidR="00A26372">
        <w:t xml:space="preserve"> for them will instill in them the required practical skills to cope </w:t>
      </w:r>
      <w:r w:rsidR="00C40920">
        <w:t>with the patients’ irrational mannerism.</w:t>
      </w:r>
    </w:p>
    <w:p w:rsidR="00486A6F" w:rsidRDefault="00486A6F" w:rsidP="001E0A96">
      <w:pPr>
        <w:pStyle w:val="Title2"/>
        <w:jc w:val="left"/>
      </w:pPr>
    </w:p>
    <w:p w:rsidR="009D4A6A" w:rsidRDefault="00334B31" w:rsidP="001E0A96">
      <w:pPr>
        <w:pStyle w:val="Title2"/>
        <w:jc w:val="left"/>
      </w:pPr>
      <w:r>
        <w:lastRenderedPageBreak/>
        <w:t>The doct</w:t>
      </w:r>
      <w:r w:rsidR="006B5470">
        <w:t xml:space="preserve">or and patient relationship is supposed to be active from both sides. The doctors are supposed to provide the patients with sufficient information related to their cases, and the patients </w:t>
      </w:r>
      <w:r w:rsidR="008B401B">
        <w:t>are expected to talk openly and take an almost decisive position in their clinical condition to ensure fairness of treatment.</w:t>
      </w:r>
      <w:r w:rsidR="00C40920">
        <w:t xml:space="preserve"> </w:t>
      </w:r>
      <w:r w:rsidR="00721CED">
        <w:t>However, in a comprehensive study conducted by involving 327 medical practitioners and 764 patients with different diseases (mostly severe), it was di</w:t>
      </w:r>
      <w:r w:rsidR="002827C1">
        <w:t>sclosed that patients do not tend to make decisions in clinical situations, out of the unce</w:t>
      </w:r>
      <w:r w:rsidR="00360C99">
        <w:t>rtainty about their health condition, lack of necessary information, and distress suffered due to the illness</w:t>
      </w:r>
      <w:r w:rsidR="009A60E2">
        <w:t xml:space="preserve"> (Mira, Guilabert, Pérez-Jover, &amp; Lorenzo, 2014)</w:t>
      </w:r>
      <w:r w:rsidR="00360C99">
        <w:t xml:space="preserve">. This implies that doctors mostly do not inform patients of the essential details of their health conditions with clarification. </w:t>
      </w:r>
      <w:r w:rsidR="00230776">
        <w:t xml:space="preserve">Patients are not left with enough confidence to understand their health disorder precisely besides knowing the possible implications of </w:t>
      </w:r>
      <w:r w:rsidR="00FE4F6D">
        <w:t>the acquired disorder.</w:t>
      </w:r>
      <w:r w:rsidR="00F21EE9">
        <w:t xml:space="preserve"> It is urgently needed that responsible publishers undertake the responsibility of </w:t>
      </w:r>
      <w:r w:rsidR="00AA715C">
        <w:t>creating awareness in doctors and patients to increase the involvement of patients in clinical safety.</w:t>
      </w:r>
    </w:p>
    <w:p w:rsidR="00730DCF" w:rsidRDefault="00730DCF" w:rsidP="001E0A96">
      <w:pPr>
        <w:pStyle w:val="Title2"/>
        <w:jc w:val="left"/>
      </w:pPr>
    </w:p>
    <w:p w:rsidR="00730DCF" w:rsidRDefault="00334B31" w:rsidP="001E0A96">
      <w:pPr>
        <w:pStyle w:val="Title2"/>
        <w:jc w:val="left"/>
      </w:pPr>
      <w:r>
        <w:t xml:space="preserve">Doctor-patient communication is at the core of treatment procedures carried out </w:t>
      </w:r>
      <w:r w:rsidR="00C76D87">
        <w:t xml:space="preserve">at medical institutions. </w:t>
      </w:r>
      <w:r w:rsidR="0095150B">
        <w:t xml:space="preserve">It is necessary </w:t>
      </w:r>
      <w:r w:rsidR="00D737AE">
        <w:t xml:space="preserve">for the doctors </w:t>
      </w:r>
      <w:r w:rsidR="00D960FA">
        <w:t xml:space="preserve">to have precise communication with patients. However, studies have reported that many doctors demonstrate over-confidence in dealing with patients </w:t>
      </w:r>
      <w:r w:rsidR="00A74573">
        <w:t xml:space="preserve">and assume mistakenly that they understand patients’ problems clearly and that the communication held between them and their patients has been efficient. </w:t>
      </w:r>
      <w:r w:rsidR="00FB530B">
        <w:t xml:space="preserve">In a study conducted with orthopedic surgeons, </w:t>
      </w:r>
      <w:r w:rsidR="001021D4">
        <w:t>75 percent of the surgeons reported that they had commu</w:t>
      </w:r>
      <w:r w:rsidR="000E6F82">
        <w:t xml:space="preserve">nicated with their patients up to the satisfactory level. However, 21 percent only of the patients in those cases reported that </w:t>
      </w:r>
      <w:r w:rsidR="00A476BE">
        <w:t xml:space="preserve">they had satisfactory communication with their doctors. </w:t>
      </w:r>
      <w:r w:rsidR="007422BE">
        <w:t xml:space="preserve">Further, many surveys </w:t>
      </w:r>
      <w:r w:rsidR="007422BE">
        <w:lastRenderedPageBreak/>
        <w:t xml:space="preserve">show that patients in most clinical situations demand better communication </w:t>
      </w:r>
      <w:r w:rsidR="00B936BA">
        <w:t>with their consultants (Ha &amp; Longnecker, 2010).</w:t>
      </w:r>
    </w:p>
    <w:p w:rsidR="00B936BA" w:rsidRDefault="00B936BA" w:rsidP="001E0A96">
      <w:pPr>
        <w:pStyle w:val="Title2"/>
        <w:jc w:val="left"/>
      </w:pPr>
    </w:p>
    <w:p w:rsidR="00B936BA" w:rsidRDefault="00334B31" w:rsidP="001E0A96">
      <w:pPr>
        <w:pStyle w:val="Title2"/>
        <w:jc w:val="left"/>
      </w:pPr>
      <w:r>
        <w:t>Communication between physicians and patients is a constant requirement of the medical profession, and to ensure effective communication, the physicians must continue to strive for i</w:t>
      </w:r>
      <w:r>
        <w:t xml:space="preserve">mproving their skills in this regard. </w:t>
      </w:r>
      <w:r w:rsidR="00A4671E">
        <w:t xml:space="preserve">The physician-patient encounter if not happened appropriately can cause several health care disparities. Therefore, </w:t>
      </w:r>
      <w:r w:rsidR="000E78CA">
        <w:t xml:space="preserve">health care professionals have to observe certain practices to ensure the improvement of </w:t>
      </w:r>
      <w:r w:rsidR="00BF275C">
        <w:t xml:space="preserve">communication. The physicians should make themselves accustomed to deal with patients of different cultures. They should presume that people despite having </w:t>
      </w:r>
      <w:r w:rsidR="001C4CB1">
        <w:t>standard education often lack the understanding of medical terms due to the specific origins of these terms</w:t>
      </w:r>
      <w:r w:rsidR="00B95990">
        <w:t xml:space="preserve"> (Misra-Hebert &amp; Isaacson, 2012)</w:t>
      </w:r>
      <w:r w:rsidR="001C4CB1">
        <w:t xml:space="preserve">. Hence, physicians should use simple language when communicating with the patients </w:t>
      </w:r>
      <w:r w:rsidR="00B95990">
        <w:t xml:space="preserve">by avoiding medical jargon. </w:t>
      </w:r>
    </w:p>
    <w:p w:rsidR="00B95990" w:rsidRDefault="00B95990" w:rsidP="001E0A96">
      <w:pPr>
        <w:pStyle w:val="Title2"/>
        <w:jc w:val="left"/>
      </w:pPr>
    </w:p>
    <w:p w:rsidR="00B95990" w:rsidRDefault="00334B31" w:rsidP="001E0A96">
      <w:pPr>
        <w:pStyle w:val="Title2"/>
        <w:jc w:val="left"/>
      </w:pPr>
      <w:r>
        <w:t xml:space="preserve">It is the need of the hour that publishers understand their responsibility towards increasing awareness among physicians to </w:t>
      </w:r>
      <w:r w:rsidR="000E40ED">
        <w:t xml:space="preserve">get sufficient training so that the barriers could be removed from their communication with patients. Cultural and language barriers create great hindrance </w:t>
      </w:r>
      <w:r w:rsidR="00B12D48">
        <w:t>in providing standard treatment to patients. Medical instit</w:t>
      </w:r>
      <w:r w:rsidR="00553A17">
        <w:t xml:space="preserve">utions should arrange training sessions for </w:t>
      </w:r>
      <w:r w:rsidR="000D2864">
        <w:t>practitioners to enable them to make effective communication in cross-cultural settings.</w:t>
      </w:r>
    </w:p>
    <w:p w:rsidR="00B11C7A" w:rsidRDefault="00B11C7A" w:rsidP="001E0A96">
      <w:pPr>
        <w:pStyle w:val="Title2"/>
        <w:jc w:val="left"/>
      </w:pPr>
    </w:p>
    <w:p w:rsidR="00B11C7A" w:rsidRDefault="00B11C7A" w:rsidP="001E0A96">
      <w:pPr>
        <w:pStyle w:val="Title2"/>
        <w:jc w:val="left"/>
      </w:pPr>
      <w:r>
        <w:t>Sincerely,</w:t>
      </w:r>
    </w:p>
    <w:p w:rsidR="00B95990" w:rsidRDefault="00B95990" w:rsidP="001E0A96">
      <w:pPr>
        <w:pStyle w:val="Title2"/>
        <w:jc w:val="left"/>
      </w:pPr>
      <w:bookmarkStart w:id="2" w:name="_GoBack"/>
      <w:bookmarkEnd w:id="2"/>
    </w:p>
    <w:p w:rsidR="006F6C3C" w:rsidRPr="00C10A21" w:rsidRDefault="00334B31" w:rsidP="001E0A96">
      <w:pPr>
        <w:pStyle w:val="Title2"/>
        <w:jc w:val="left"/>
        <w:rPr>
          <w:i/>
        </w:rPr>
      </w:pPr>
      <w:r w:rsidRPr="00C10A21">
        <w:rPr>
          <w:i/>
        </w:rPr>
        <w:t>[Name of the Student]</w:t>
      </w:r>
    </w:p>
    <w:p w:rsidR="006F6C3C" w:rsidRPr="00C10A21" w:rsidRDefault="00334B31" w:rsidP="001E0A96">
      <w:pPr>
        <w:pStyle w:val="Title2"/>
        <w:jc w:val="left"/>
        <w:rPr>
          <w:i/>
        </w:rPr>
      </w:pPr>
      <w:r w:rsidRPr="00C10A21">
        <w:rPr>
          <w:i/>
        </w:rPr>
        <w:t>[Name of the Ins</w:t>
      </w:r>
      <w:r w:rsidRPr="00C10A21">
        <w:rPr>
          <w:i/>
        </w:rPr>
        <w:t>titution]</w:t>
      </w:r>
    </w:p>
    <w:p w:rsidR="006F6C3C" w:rsidRPr="00C10A21" w:rsidRDefault="00334B31" w:rsidP="001E0A96">
      <w:pPr>
        <w:pStyle w:val="Title2"/>
        <w:jc w:val="left"/>
        <w:rPr>
          <w:i/>
        </w:rPr>
      </w:pPr>
      <w:r w:rsidRPr="00C10A21">
        <w:rPr>
          <w:i/>
        </w:rPr>
        <w:lastRenderedPageBreak/>
        <w:t>[Email Address]</w:t>
      </w:r>
    </w:p>
    <w:p w:rsidR="00F01035" w:rsidRDefault="00334B31" w:rsidP="001E0A96">
      <w:pPr>
        <w:pStyle w:val="Title2"/>
        <w:jc w:val="left"/>
        <w:rPr>
          <w:i/>
        </w:rPr>
      </w:pPr>
      <w:r w:rsidRPr="00C10A21">
        <w:rPr>
          <w:i/>
        </w:rPr>
        <w:t>[Phone Number]</w:t>
      </w:r>
    </w:p>
    <w:p w:rsidR="00F01035" w:rsidRDefault="00334B31">
      <w:pPr>
        <w:rPr>
          <w:i/>
        </w:rPr>
      </w:pPr>
      <w:r>
        <w:rPr>
          <w:i/>
        </w:rPr>
        <w:br w:type="page"/>
      </w:r>
    </w:p>
    <w:p w:rsidR="006F6C3C" w:rsidRDefault="00334B31" w:rsidP="00F01035">
      <w:pPr>
        <w:pStyle w:val="Title2"/>
      </w:pPr>
      <w:r>
        <w:lastRenderedPageBreak/>
        <w:t>References</w:t>
      </w:r>
    </w:p>
    <w:p w:rsidR="00F01035" w:rsidRPr="00F01035" w:rsidRDefault="00334B31" w:rsidP="00F01035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Barriers </w:t>
      </w:r>
      <w:r w:rsidR="000E4F86" w:rsidRPr="00F01035">
        <w:rPr>
          <w:rFonts w:ascii="Times New Roman" w:eastAsia="Times New Roman" w:hAnsi="Times New Roman" w:cs="Times New Roman"/>
          <w:kern w:val="0"/>
          <w:lang w:eastAsia="en-US"/>
        </w:rPr>
        <w:t>for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 </w:t>
      </w:r>
      <w:r w:rsidR="000E4F86" w:rsidRPr="00F01035">
        <w:rPr>
          <w:rFonts w:ascii="Times New Roman" w:eastAsia="Times New Roman" w:hAnsi="Times New Roman" w:cs="Times New Roman"/>
          <w:kern w:val="0"/>
          <w:lang w:eastAsia="en-US"/>
        </w:rPr>
        <w:t>the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 Doctor and The Patient. (</w:t>
      </w:r>
      <w:r w:rsidR="000E4F86">
        <w:rPr>
          <w:rFonts w:ascii="Times New Roman" w:eastAsia="Times New Roman" w:hAnsi="Times New Roman" w:cs="Times New Roman"/>
          <w:kern w:val="0"/>
          <w:lang w:eastAsia="en-US"/>
        </w:rPr>
        <w:t>2019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). Retrieved December 27, 2019, from NCCS - National Coalition for Cancer Survivorship website: </w:t>
      </w:r>
      <w:hyperlink r:id="rId9" w:history="1">
        <w:r w:rsidRPr="00F01035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https://www.canceradvocacy.org/resources/communicating-with-your-doctor/barriers-for-the-doctor-and-the-patient/</w:t>
        </w:r>
      </w:hyperlink>
    </w:p>
    <w:p w:rsidR="00F01035" w:rsidRPr="00F01035" w:rsidRDefault="00334B31" w:rsidP="00F01035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01035">
        <w:rPr>
          <w:rFonts w:ascii="Times New Roman" w:eastAsia="Times New Roman" w:hAnsi="Times New Roman" w:cs="Times New Roman"/>
          <w:kern w:val="0"/>
          <w:lang w:eastAsia="en-US"/>
        </w:rPr>
        <w:t>Granek, L., Naka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sh, O., Ariad, S., Shapira, S., &amp; Ben-David, M. A. (2019). The Role of Culture/Ethnicity in Communicating with Cancer Patients About Mental Health Distress and Suicidality. </w:t>
      </w:r>
      <w:r w:rsidRPr="00F01035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Culture, Medicine, and Psychiatry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. </w:t>
      </w:r>
      <w:hyperlink r:id="rId10" w:history="1">
        <w:r w:rsidRPr="00F01035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https://doi.org/10.1007/s11013-019-09650-9</w:t>
        </w:r>
      </w:hyperlink>
    </w:p>
    <w:p w:rsidR="00F01035" w:rsidRPr="00F01035" w:rsidRDefault="00334B31" w:rsidP="00F01035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Ha, J. F., &amp; Longnecker, N. (2010). Doctor-Patient Communication: A Review. </w:t>
      </w:r>
      <w:r w:rsidRPr="00F01035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The Ochsner Journal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F01035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10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>(1), 38–43.</w:t>
      </w:r>
    </w:p>
    <w:p w:rsidR="00F01035" w:rsidRPr="00F01035" w:rsidRDefault="00334B31" w:rsidP="00F01035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01035">
        <w:rPr>
          <w:rFonts w:ascii="Times New Roman" w:eastAsia="Times New Roman" w:hAnsi="Times New Roman" w:cs="Times New Roman"/>
          <w:kern w:val="0"/>
          <w:lang w:eastAsia="en-US"/>
        </w:rPr>
        <w:t>Mira, J. J., Guilabert, M., Pérez-Jover, V., &amp; Lorenzo, S. (2014). Barriers to effective co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mmunication around clinical decision making: An analysis of the gaps between doctors' and patients' point of view. </w:t>
      </w:r>
      <w:r w:rsidRPr="00F01035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Health Expectations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F01035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17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(6), 826–839. </w:t>
      </w:r>
      <w:hyperlink r:id="rId11" w:history="1">
        <w:r w:rsidRPr="00F01035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https://doi.org/10.1111/j.1369-7625.201</w:t>
        </w:r>
        <w:r w:rsidRPr="00F01035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2.00809.x</w:t>
        </w:r>
      </w:hyperlink>
    </w:p>
    <w:p w:rsidR="00F01035" w:rsidRPr="00F01035" w:rsidRDefault="00334B31" w:rsidP="00F01035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Misra-Hebert, A. D., &amp; Isaacson, J. H. (2012). Overcoming health care disparities via better cross-cultural communication and health literacy. </w:t>
      </w:r>
      <w:r w:rsidRPr="00F01035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Cleveland Clinic Journal of Medicine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F01035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79</w:t>
      </w:r>
      <w:r w:rsidRPr="00F01035">
        <w:rPr>
          <w:rFonts w:ascii="Times New Roman" w:eastAsia="Times New Roman" w:hAnsi="Times New Roman" w:cs="Times New Roman"/>
          <w:kern w:val="0"/>
          <w:lang w:eastAsia="en-US"/>
        </w:rPr>
        <w:t xml:space="preserve">(2), 127–133. </w:t>
      </w:r>
      <w:hyperlink r:id="rId12" w:history="1">
        <w:r w:rsidRPr="00F01035">
          <w:rPr>
            <w:rFonts w:ascii="Times New Roman" w:eastAsia="Times New Roman" w:hAnsi="Times New Roman" w:cs="Times New Roman"/>
            <w:kern w:val="0"/>
            <w:u w:val="single"/>
            <w:lang w:eastAsia="en-US"/>
          </w:rPr>
          <w:t>https://doi.org/10.3949/ccjm.79a.11006</w:t>
        </w:r>
      </w:hyperlink>
    </w:p>
    <w:p w:rsidR="00F01035" w:rsidRPr="00F01035" w:rsidRDefault="00F01035" w:rsidP="001E0A96">
      <w:pPr>
        <w:pStyle w:val="Title2"/>
        <w:jc w:val="left"/>
      </w:pPr>
    </w:p>
    <w:p w:rsidR="00864EE2" w:rsidRDefault="00864EE2" w:rsidP="001E0A96">
      <w:pPr>
        <w:pStyle w:val="Title2"/>
        <w:jc w:val="left"/>
      </w:pPr>
    </w:p>
    <w:sectPr w:rsidR="00864EE2">
      <w:headerReference w:type="default" r:id="rId13"/>
      <w:head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31" w:rsidRDefault="00334B31">
      <w:pPr>
        <w:spacing w:line="240" w:lineRule="auto"/>
      </w:pPr>
      <w:r>
        <w:separator/>
      </w:r>
    </w:p>
  </w:endnote>
  <w:endnote w:type="continuationSeparator" w:id="0">
    <w:p w:rsidR="00334B31" w:rsidRDefault="00334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31" w:rsidRDefault="00334B31">
      <w:pPr>
        <w:spacing w:line="240" w:lineRule="auto"/>
      </w:pPr>
      <w:r>
        <w:separator/>
      </w:r>
    </w:p>
  </w:footnote>
  <w:footnote w:type="continuationSeparator" w:id="0">
    <w:p w:rsidR="00334B31" w:rsidRDefault="00334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334B31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A4E1E">
          <w:rPr>
            <w:rStyle w:val="Strong"/>
          </w:rPr>
          <w:t>english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11C7A">
      <w:rPr>
        <w:rStyle w:val="Strong"/>
        <w:noProof/>
      </w:rPr>
      <w:t>7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334B31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A4E1E">
          <w:rPr>
            <w:rStyle w:val="Strong"/>
          </w:rPr>
          <w:t>english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11C7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 w:tplc="8CD68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3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8C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8B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AA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CD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AC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C2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E7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 w:tplc="C2A48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E0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C1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D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C6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43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1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46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E3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265F6"/>
    <w:rsid w:val="000414F1"/>
    <w:rsid w:val="00092977"/>
    <w:rsid w:val="000A3CBB"/>
    <w:rsid w:val="000B52F9"/>
    <w:rsid w:val="000D2864"/>
    <w:rsid w:val="000D3F41"/>
    <w:rsid w:val="000D5C41"/>
    <w:rsid w:val="000D60F1"/>
    <w:rsid w:val="000E0D9C"/>
    <w:rsid w:val="000E40ED"/>
    <w:rsid w:val="000E4F86"/>
    <w:rsid w:val="000E6F82"/>
    <w:rsid w:val="000E78CA"/>
    <w:rsid w:val="001021D4"/>
    <w:rsid w:val="00106886"/>
    <w:rsid w:val="00131F4B"/>
    <w:rsid w:val="001744D8"/>
    <w:rsid w:val="00180CBF"/>
    <w:rsid w:val="001A1EBB"/>
    <w:rsid w:val="001B557A"/>
    <w:rsid w:val="001C1B79"/>
    <w:rsid w:val="001C4CB1"/>
    <w:rsid w:val="001D007A"/>
    <w:rsid w:val="001E0A96"/>
    <w:rsid w:val="001F6863"/>
    <w:rsid w:val="00200227"/>
    <w:rsid w:val="00215A3C"/>
    <w:rsid w:val="00230776"/>
    <w:rsid w:val="002358AE"/>
    <w:rsid w:val="002641E7"/>
    <w:rsid w:val="00281ADE"/>
    <w:rsid w:val="002827C1"/>
    <w:rsid w:val="00286195"/>
    <w:rsid w:val="00296720"/>
    <w:rsid w:val="002C0FA5"/>
    <w:rsid w:val="002C104B"/>
    <w:rsid w:val="002D0BE7"/>
    <w:rsid w:val="002E4E7D"/>
    <w:rsid w:val="002E5780"/>
    <w:rsid w:val="002F06B7"/>
    <w:rsid w:val="00326655"/>
    <w:rsid w:val="00331362"/>
    <w:rsid w:val="00334B31"/>
    <w:rsid w:val="00350B9D"/>
    <w:rsid w:val="00355DCA"/>
    <w:rsid w:val="00360C99"/>
    <w:rsid w:val="0036172E"/>
    <w:rsid w:val="003760F2"/>
    <w:rsid w:val="003A278A"/>
    <w:rsid w:val="003B1B22"/>
    <w:rsid w:val="003F32C6"/>
    <w:rsid w:val="003F7078"/>
    <w:rsid w:val="0041282D"/>
    <w:rsid w:val="00431004"/>
    <w:rsid w:val="00433A57"/>
    <w:rsid w:val="004370D5"/>
    <w:rsid w:val="00482715"/>
    <w:rsid w:val="00486A6F"/>
    <w:rsid w:val="00491862"/>
    <w:rsid w:val="004C5E61"/>
    <w:rsid w:val="004F6F82"/>
    <w:rsid w:val="00504EAD"/>
    <w:rsid w:val="0050565C"/>
    <w:rsid w:val="00515B64"/>
    <w:rsid w:val="00534BA6"/>
    <w:rsid w:val="005438C7"/>
    <w:rsid w:val="00551A02"/>
    <w:rsid w:val="005534FA"/>
    <w:rsid w:val="00553A17"/>
    <w:rsid w:val="00562BD6"/>
    <w:rsid w:val="00587B98"/>
    <w:rsid w:val="00590654"/>
    <w:rsid w:val="00591B03"/>
    <w:rsid w:val="00594FAA"/>
    <w:rsid w:val="005B384F"/>
    <w:rsid w:val="005D3A03"/>
    <w:rsid w:val="005D42D3"/>
    <w:rsid w:val="005F2899"/>
    <w:rsid w:val="00607873"/>
    <w:rsid w:val="00607FAE"/>
    <w:rsid w:val="006369D5"/>
    <w:rsid w:val="0064303A"/>
    <w:rsid w:val="006439B7"/>
    <w:rsid w:val="00654940"/>
    <w:rsid w:val="006B5470"/>
    <w:rsid w:val="006D601B"/>
    <w:rsid w:val="006F6C3C"/>
    <w:rsid w:val="00721CED"/>
    <w:rsid w:val="007262C0"/>
    <w:rsid w:val="00730DCF"/>
    <w:rsid w:val="007332BC"/>
    <w:rsid w:val="007422BE"/>
    <w:rsid w:val="00743E55"/>
    <w:rsid w:val="007519AB"/>
    <w:rsid w:val="0075601D"/>
    <w:rsid w:val="00786E0A"/>
    <w:rsid w:val="007A20CB"/>
    <w:rsid w:val="007B20B6"/>
    <w:rsid w:val="007C6EEB"/>
    <w:rsid w:val="007E0397"/>
    <w:rsid w:val="007F4815"/>
    <w:rsid w:val="008002C0"/>
    <w:rsid w:val="00805834"/>
    <w:rsid w:val="00864EE2"/>
    <w:rsid w:val="008704E5"/>
    <w:rsid w:val="00875AE8"/>
    <w:rsid w:val="0087696F"/>
    <w:rsid w:val="008958B5"/>
    <w:rsid w:val="008A02DD"/>
    <w:rsid w:val="008B401B"/>
    <w:rsid w:val="008C5323"/>
    <w:rsid w:val="008D65B4"/>
    <w:rsid w:val="008E03D1"/>
    <w:rsid w:val="008F2CD0"/>
    <w:rsid w:val="00907D69"/>
    <w:rsid w:val="0091780F"/>
    <w:rsid w:val="00930C02"/>
    <w:rsid w:val="0095150B"/>
    <w:rsid w:val="00954AA3"/>
    <w:rsid w:val="009A60E2"/>
    <w:rsid w:val="009A6A3B"/>
    <w:rsid w:val="009D4A6A"/>
    <w:rsid w:val="009E42BB"/>
    <w:rsid w:val="009E7C31"/>
    <w:rsid w:val="00A043F0"/>
    <w:rsid w:val="00A26372"/>
    <w:rsid w:val="00A40E95"/>
    <w:rsid w:val="00A45F47"/>
    <w:rsid w:val="00A4671E"/>
    <w:rsid w:val="00A476BE"/>
    <w:rsid w:val="00A657B6"/>
    <w:rsid w:val="00A74573"/>
    <w:rsid w:val="00A841C2"/>
    <w:rsid w:val="00A861A8"/>
    <w:rsid w:val="00AA4E1E"/>
    <w:rsid w:val="00AA715C"/>
    <w:rsid w:val="00AB04FD"/>
    <w:rsid w:val="00AC1081"/>
    <w:rsid w:val="00AC674A"/>
    <w:rsid w:val="00B00F85"/>
    <w:rsid w:val="00B11C7A"/>
    <w:rsid w:val="00B12D48"/>
    <w:rsid w:val="00B33D88"/>
    <w:rsid w:val="00B823AA"/>
    <w:rsid w:val="00B9174E"/>
    <w:rsid w:val="00B936BA"/>
    <w:rsid w:val="00B95990"/>
    <w:rsid w:val="00BA45DB"/>
    <w:rsid w:val="00BF0114"/>
    <w:rsid w:val="00BF275C"/>
    <w:rsid w:val="00BF4184"/>
    <w:rsid w:val="00C0601E"/>
    <w:rsid w:val="00C10A21"/>
    <w:rsid w:val="00C16C1A"/>
    <w:rsid w:val="00C30EFF"/>
    <w:rsid w:val="00C31D30"/>
    <w:rsid w:val="00C34737"/>
    <w:rsid w:val="00C40920"/>
    <w:rsid w:val="00C45B7F"/>
    <w:rsid w:val="00C50272"/>
    <w:rsid w:val="00C5617F"/>
    <w:rsid w:val="00C57C72"/>
    <w:rsid w:val="00C628A3"/>
    <w:rsid w:val="00C73F57"/>
    <w:rsid w:val="00C75620"/>
    <w:rsid w:val="00C76D87"/>
    <w:rsid w:val="00C8502E"/>
    <w:rsid w:val="00C87B62"/>
    <w:rsid w:val="00C9415C"/>
    <w:rsid w:val="00CD10A1"/>
    <w:rsid w:val="00CD6E39"/>
    <w:rsid w:val="00CF6E91"/>
    <w:rsid w:val="00D12F3E"/>
    <w:rsid w:val="00D138E4"/>
    <w:rsid w:val="00D140B2"/>
    <w:rsid w:val="00D147D0"/>
    <w:rsid w:val="00D2259C"/>
    <w:rsid w:val="00D32016"/>
    <w:rsid w:val="00D567FD"/>
    <w:rsid w:val="00D737AE"/>
    <w:rsid w:val="00D80E7C"/>
    <w:rsid w:val="00D85B68"/>
    <w:rsid w:val="00D960FA"/>
    <w:rsid w:val="00DA3E81"/>
    <w:rsid w:val="00DB1144"/>
    <w:rsid w:val="00DB7106"/>
    <w:rsid w:val="00DC57BD"/>
    <w:rsid w:val="00DE13D8"/>
    <w:rsid w:val="00DE3C37"/>
    <w:rsid w:val="00E258FF"/>
    <w:rsid w:val="00E32F40"/>
    <w:rsid w:val="00E41AF2"/>
    <w:rsid w:val="00E51150"/>
    <w:rsid w:val="00E6004D"/>
    <w:rsid w:val="00E6123A"/>
    <w:rsid w:val="00E743B1"/>
    <w:rsid w:val="00E81978"/>
    <w:rsid w:val="00E95337"/>
    <w:rsid w:val="00EA2EC1"/>
    <w:rsid w:val="00EC26D1"/>
    <w:rsid w:val="00EF4D6D"/>
    <w:rsid w:val="00F01035"/>
    <w:rsid w:val="00F06DF1"/>
    <w:rsid w:val="00F21EE9"/>
    <w:rsid w:val="00F2324A"/>
    <w:rsid w:val="00F379B7"/>
    <w:rsid w:val="00F47BC9"/>
    <w:rsid w:val="00F525FA"/>
    <w:rsid w:val="00F57654"/>
    <w:rsid w:val="00F70CE5"/>
    <w:rsid w:val="00F73E45"/>
    <w:rsid w:val="00F9185E"/>
    <w:rsid w:val="00FA1355"/>
    <w:rsid w:val="00FB3B93"/>
    <w:rsid w:val="00FB530B"/>
    <w:rsid w:val="00FC10E3"/>
    <w:rsid w:val="00FE4F6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F01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i.org/10.3949/ccjm.79a.1100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11/j.1369-7625.2012.00809.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7/s11013-019-09650-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advocacy.org/resources/communicating-with-your-doctor/barriers-for-the-doctor-and-the-patient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 w:rsidRDefault="003E6BAC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 w:rsidRDefault="003E6BAC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 w:rsidRDefault="003E6BAC">
          <w:pPr>
            <w:pStyle w:val="7A918DA0B38C4BD3A23C697838EC9315"/>
          </w:pPr>
          <w:r>
            <w:t xml:space="preserve">[Include all figures in their own section, following references (and footnotes and tables, if applicable).  Include a numbered caption for each figure.  Use the Table/Figure style for easy </w:t>
          </w:r>
          <w:r>
            <w:t>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336195"/>
    <w:rsid w:val="003E6BAC"/>
    <w:rsid w:val="00574D68"/>
    <w:rsid w:val="007262C0"/>
    <w:rsid w:val="00D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english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BED92-E553-46C9-AEC9-0BB17064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207</TotalTime>
  <Pages>8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Assignment All Sources Annotated Bibliography</vt:lpstr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Journal Editor</dc:title>
  <dc:creator>Zack Gold</dc:creator>
  <cp:lastModifiedBy>SALAHUDDIN AZIZ</cp:lastModifiedBy>
  <cp:revision>37</cp:revision>
  <dcterms:created xsi:type="dcterms:W3CDTF">2019-12-26T19:21:00Z</dcterms:created>
  <dcterms:modified xsi:type="dcterms:W3CDTF">2019-12-27T03:41:00Z</dcterms:modified>
</cp:coreProperties>
</file>