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B7D36" w14:textId="77777777" w:rsidR="00E81978" w:rsidRDefault="00612DA2">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A4341">
            <w:t>Compare and Contrast Depreciation Methods</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752F5FEC" w14:textId="77777777" w:rsidR="00B823AA" w:rsidRDefault="00B823AA" w:rsidP="00B823AA">
          <w:pPr>
            <w:pStyle w:val="Title2"/>
          </w:pPr>
          <w:r>
            <w:t>[Author Name(s), First M. Last, Omit Titles and Degrees]</w:t>
          </w:r>
        </w:p>
      </w:sdtContent>
    </w:sdt>
    <w:p w14:paraId="357FE2BC" w14:textId="77777777" w:rsidR="00E81978" w:rsidRDefault="00612DA2"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062A25D6"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19FA2690" w14:textId="77777777" w:rsidR="00E81978" w:rsidRDefault="005D3A03" w:rsidP="00B823AA">
          <w:pPr>
            <w:pStyle w:val="Title2"/>
          </w:pPr>
          <w:r>
            <w:t>[Include any grant/funding information and a complete correspondence address.]</w:t>
          </w:r>
        </w:p>
      </w:sdtContent>
    </w:sdt>
    <w:p w14:paraId="2CA60F0C" w14:textId="77777777" w:rsidR="00E81978" w:rsidRPr="00E0022E" w:rsidRDefault="00612DA2">
      <w:pPr>
        <w:pStyle w:val="SectionTitle"/>
        <w:rPr>
          <w:rFonts w:asciiTheme="minorHAnsi" w:eastAsiaTheme="minorEastAsia" w:hAnsiTheme="minorHAnsi" w:cstheme="minorHAnsi"/>
          <w:color w:val="222222"/>
          <w:shd w:val="clear" w:color="auto" w:fill="FFFFFF"/>
        </w:rPr>
      </w:pPr>
      <w:sdt>
        <w:sdtPr>
          <w:rPr>
            <w:rFonts w:asciiTheme="minorHAnsi" w:eastAsiaTheme="minorEastAsia" w:hAnsiTheme="minorHAnsi" w:cstheme="minorHAnsi"/>
            <w:color w:val="222222"/>
            <w:shd w:val="clear" w:color="auto" w:fill="FFFFFF"/>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A4341">
            <w:rPr>
              <w:rFonts w:asciiTheme="minorHAnsi" w:eastAsiaTheme="minorEastAsia" w:hAnsiTheme="minorHAnsi" w:cstheme="minorHAnsi"/>
              <w:color w:val="222222"/>
              <w:shd w:val="clear" w:color="auto" w:fill="FFFFFF"/>
            </w:rPr>
            <w:t>Compare and Contrast Depreciation Methods</w:t>
          </w:r>
        </w:sdtContent>
      </w:sdt>
    </w:p>
    <w:p w14:paraId="799C03B1" w14:textId="3A672726" w:rsidR="00F064FE" w:rsidRDefault="005E2D7C">
      <w:pPr>
        <w:rPr>
          <w:rFonts w:cstheme="minorHAnsi"/>
          <w:color w:val="222222"/>
          <w:shd w:val="clear" w:color="auto" w:fill="FFFFFF"/>
        </w:rPr>
      </w:pPr>
      <w:r>
        <w:rPr>
          <w:rFonts w:cstheme="minorHAnsi"/>
          <w:color w:val="222222"/>
          <w:shd w:val="clear" w:color="auto" w:fill="FFFFFF"/>
        </w:rPr>
        <w:t>T</w:t>
      </w:r>
      <w:r w:rsidR="00F064FE">
        <w:rPr>
          <w:rFonts w:cstheme="minorHAnsi"/>
          <w:color w:val="222222"/>
          <w:shd w:val="clear" w:color="auto" w:fill="FFFFFF"/>
        </w:rPr>
        <w:t xml:space="preserve">here are four </w:t>
      </w:r>
      <w:r w:rsidR="00AC48B9">
        <w:rPr>
          <w:rFonts w:cstheme="minorHAnsi"/>
          <w:color w:val="222222"/>
          <w:shd w:val="clear" w:color="auto" w:fill="FFFFFF"/>
        </w:rPr>
        <w:t xml:space="preserve">common </w:t>
      </w:r>
      <w:r w:rsidR="00F064FE">
        <w:rPr>
          <w:rFonts w:cstheme="minorHAnsi"/>
          <w:color w:val="222222"/>
          <w:shd w:val="clear" w:color="auto" w:fill="FFFFFF"/>
        </w:rPr>
        <w:t xml:space="preserve">methods of depreciation which are </w:t>
      </w:r>
      <w:r>
        <w:rPr>
          <w:rFonts w:cstheme="minorHAnsi"/>
          <w:color w:val="222222"/>
          <w:shd w:val="clear" w:color="auto" w:fill="FFFFFF"/>
        </w:rPr>
        <w:t>mostly</w:t>
      </w:r>
      <w:r w:rsidR="00F064FE">
        <w:rPr>
          <w:rFonts w:cstheme="minorHAnsi"/>
          <w:color w:val="222222"/>
          <w:shd w:val="clear" w:color="auto" w:fill="FFFFFF"/>
        </w:rPr>
        <w:t xml:space="preserve"> used</w:t>
      </w:r>
      <w:r>
        <w:rPr>
          <w:rFonts w:cstheme="minorHAnsi"/>
          <w:color w:val="222222"/>
          <w:shd w:val="clear" w:color="auto" w:fill="FFFFFF"/>
        </w:rPr>
        <w:t xml:space="preserve"> for determining the levels of revenue and the condition of various assets</w:t>
      </w:r>
      <w:r w:rsidR="00F064FE">
        <w:rPr>
          <w:rFonts w:cstheme="minorHAnsi"/>
          <w:color w:val="222222"/>
          <w:shd w:val="clear" w:color="auto" w:fill="FFFFFF"/>
        </w:rPr>
        <w:t xml:space="preserve">. The four methods are named as units of production, double-declining balance, straight line, and sum-of-years-digits. </w:t>
      </w:r>
    </w:p>
    <w:p w14:paraId="71469050" w14:textId="77777777" w:rsidR="00E0022E" w:rsidRDefault="00E0022E" w:rsidP="00E0022E">
      <w:pPr>
        <w:pStyle w:val="Heading2"/>
        <w:rPr>
          <w:shd w:val="clear" w:color="auto" w:fill="FFFFFF"/>
        </w:rPr>
      </w:pPr>
      <w:r>
        <w:rPr>
          <w:shd w:val="clear" w:color="auto" w:fill="FFFFFF"/>
        </w:rPr>
        <w:t>Straight</w:t>
      </w:r>
      <w:r w:rsidR="00675C32">
        <w:rPr>
          <w:shd w:val="clear" w:color="auto" w:fill="FFFFFF"/>
        </w:rPr>
        <w:t>-Line Method</w:t>
      </w:r>
    </w:p>
    <w:p w14:paraId="3B1B465F" w14:textId="364032D0" w:rsidR="00217BE2" w:rsidRDefault="00F064FE">
      <w:pPr>
        <w:rPr>
          <w:rFonts w:cstheme="minorHAnsi"/>
          <w:color w:val="222222"/>
          <w:shd w:val="clear" w:color="auto" w:fill="FFFFFF"/>
        </w:rPr>
      </w:pPr>
      <w:r>
        <w:rPr>
          <w:rFonts w:cstheme="minorHAnsi"/>
          <w:color w:val="222222"/>
          <w:shd w:val="clear" w:color="auto" w:fill="FFFFFF"/>
        </w:rPr>
        <w:t>The simplest method of determining the book value of an asset is the straight</w:t>
      </w:r>
      <w:r w:rsidR="00AC48B9">
        <w:rPr>
          <w:rFonts w:cstheme="minorHAnsi"/>
          <w:color w:val="222222"/>
          <w:shd w:val="clear" w:color="auto" w:fill="FFFFFF"/>
        </w:rPr>
        <w:t>-</w:t>
      </w:r>
      <w:r>
        <w:rPr>
          <w:rFonts w:cstheme="minorHAnsi"/>
          <w:color w:val="222222"/>
          <w:shd w:val="clear" w:color="auto" w:fill="FFFFFF"/>
        </w:rPr>
        <w:t xml:space="preserve">line </w:t>
      </w:r>
      <w:r w:rsidR="00FA2061">
        <w:rPr>
          <w:rFonts w:cstheme="minorHAnsi"/>
          <w:color w:val="222222"/>
          <w:shd w:val="clear" w:color="auto" w:fill="FFFFFF"/>
        </w:rPr>
        <w:t xml:space="preserve">method which is very common. It assists in figuring out the loss in the value of an asset as time passes. It is computed by dividing the cost minus expected salvage value by the expected number of useful years of an asset. </w:t>
      </w:r>
      <w:r w:rsidR="005E2D7C">
        <w:rPr>
          <w:rFonts w:cstheme="minorHAnsi"/>
          <w:color w:val="222222"/>
          <w:shd w:val="clear" w:color="auto" w:fill="FFFFFF"/>
        </w:rPr>
        <w:t>It</w:t>
      </w:r>
      <w:r w:rsidR="00217BE2">
        <w:rPr>
          <w:rFonts w:cstheme="minorHAnsi"/>
          <w:color w:val="222222"/>
          <w:shd w:val="clear" w:color="auto" w:fill="FFFFFF"/>
        </w:rPr>
        <w:t xml:space="preserve"> is most useful in those situations where the benefits of an asset are procured at a constant rate</w:t>
      </w:r>
      <w:r w:rsidR="002C0944">
        <w:rPr>
          <w:rFonts w:cstheme="minorHAnsi"/>
          <w:color w:val="222222"/>
          <w:shd w:val="clear" w:color="auto" w:fill="FFFFFF"/>
        </w:rPr>
        <w:t xml:space="preserve"> </w:t>
      </w:r>
      <w:sdt>
        <w:sdtPr>
          <w:rPr>
            <w:rFonts w:cstheme="minorHAnsi"/>
            <w:color w:val="222222"/>
            <w:shd w:val="clear" w:color="auto" w:fill="FFFFFF"/>
          </w:rPr>
          <w:id w:val="1312288038"/>
          <w:citation/>
        </w:sdtPr>
        <w:sdtEndPr/>
        <w:sdtContent>
          <w:r w:rsidR="002C0944">
            <w:rPr>
              <w:rFonts w:cstheme="minorHAnsi"/>
              <w:color w:val="222222"/>
              <w:shd w:val="clear" w:color="auto" w:fill="FFFFFF"/>
            </w:rPr>
            <w:fldChar w:fldCharType="begin"/>
          </w:r>
          <w:r w:rsidR="002C0944">
            <w:rPr>
              <w:rFonts w:cstheme="minorHAnsi"/>
              <w:color w:val="222222"/>
              <w:shd w:val="clear" w:color="auto" w:fill="FFFFFF"/>
            </w:rPr>
            <w:instrText xml:space="preserve"> CITATION Sin17 \l 1033 </w:instrText>
          </w:r>
          <w:r w:rsidR="002C0944">
            <w:rPr>
              <w:rFonts w:cstheme="minorHAnsi"/>
              <w:color w:val="222222"/>
              <w:shd w:val="clear" w:color="auto" w:fill="FFFFFF"/>
            </w:rPr>
            <w:fldChar w:fldCharType="separate"/>
          </w:r>
          <w:r w:rsidR="001A4341" w:rsidRPr="001A4341">
            <w:rPr>
              <w:rFonts w:cstheme="minorHAnsi"/>
              <w:noProof/>
              <w:color w:val="222222"/>
              <w:shd w:val="clear" w:color="auto" w:fill="FFFFFF"/>
            </w:rPr>
            <w:t>(Singh, 2017)</w:t>
          </w:r>
          <w:r w:rsidR="002C0944">
            <w:rPr>
              <w:rFonts w:cstheme="minorHAnsi"/>
              <w:color w:val="222222"/>
              <w:shd w:val="clear" w:color="auto" w:fill="FFFFFF"/>
            </w:rPr>
            <w:fldChar w:fldCharType="end"/>
          </w:r>
        </w:sdtContent>
      </w:sdt>
      <w:r w:rsidR="00217BE2">
        <w:rPr>
          <w:rFonts w:cstheme="minorHAnsi"/>
          <w:color w:val="222222"/>
          <w:shd w:val="clear" w:color="auto" w:fill="FFFFFF"/>
        </w:rPr>
        <w:t xml:space="preserve">. </w:t>
      </w:r>
      <w:r w:rsidR="005E2D7C">
        <w:rPr>
          <w:rFonts w:cstheme="minorHAnsi"/>
          <w:color w:val="222222"/>
          <w:shd w:val="clear" w:color="auto" w:fill="FFFFFF"/>
        </w:rPr>
        <w:t>C</w:t>
      </w:r>
      <w:r w:rsidR="00217BE2" w:rsidRPr="00E0022E">
        <w:rPr>
          <w:rFonts w:cstheme="minorHAnsi"/>
          <w:color w:val="222222"/>
          <w:shd w:val="clear" w:color="auto" w:fill="FFFFFF"/>
        </w:rPr>
        <w:t xml:space="preserve">alculating the depreciation rate of specifically those assets </w:t>
      </w:r>
      <w:r w:rsidR="005D7111">
        <w:rPr>
          <w:rFonts w:cstheme="minorHAnsi"/>
          <w:color w:val="222222"/>
          <w:shd w:val="clear" w:color="auto" w:fill="FFFFFF"/>
        </w:rPr>
        <w:t xml:space="preserve">which </w:t>
      </w:r>
      <w:r w:rsidR="00217BE2" w:rsidRPr="00E0022E">
        <w:rPr>
          <w:rFonts w:cstheme="minorHAnsi"/>
          <w:color w:val="222222"/>
          <w:shd w:val="clear" w:color="auto" w:fill="FFFFFF"/>
        </w:rPr>
        <w:t>have a uniform and consistent operation over their life span</w:t>
      </w:r>
      <w:r w:rsidR="005E2D7C">
        <w:rPr>
          <w:rFonts w:cstheme="minorHAnsi"/>
          <w:color w:val="222222"/>
          <w:shd w:val="clear" w:color="auto" w:fill="FFFFFF"/>
        </w:rPr>
        <w:t xml:space="preserve"> is also made easier</w:t>
      </w:r>
      <w:r w:rsidR="00217BE2" w:rsidRPr="00E0022E">
        <w:rPr>
          <w:rFonts w:cstheme="minorHAnsi"/>
          <w:color w:val="222222"/>
          <w:shd w:val="clear" w:color="auto" w:fill="FFFFFF"/>
        </w:rPr>
        <w:t xml:space="preserve">. </w:t>
      </w:r>
      <w:r w:rsidR="005E2D7C">
        <w:rPr>
          <w:rFonts w:cstheme="minorHAnsi"/>
          <w:color w:val="222222"/>
          <w:shd w:val="clear" w:color="auto" w:fill="FFFFFF"/>
        </w:rPr>
        <w:t>Straight-line method</w:t>
      </w:r>
      <w:r w:rsidR="00217BE2" w:rsidRPr="00E0022E">
        <w:rPr>
          <w:rFonts w:cstheme="minorHAnsi"/>
          <w:color w:val="222222"/>
          <w:shd w:val="clear" w:color="auto" w:fill="FFFFFF"/>
        </w:rPr>
        <w:t xml:space="preserve"> is also suitable for those items which are not so expensive and are fixed at a reasonable price, for instance, furniture. </w:t>
      </w:r>
      <w:r w:rsidR="005E2D7C">
        <w:rPr>
          <w:rFonts w:cstheme="minorHAnsi"/>
          <w:color w:val="222222"/>
          <w:shd w:val="clear" w:color="auto" w:fill="FFFFFF"/>
        </w:rPr>
        <w:t xml:space="preserve">It </w:t>
      </w:r>
      <w:r w:rsidR="00217BE2" w:rsidRPr="00E0022E">
        <w:rPr>
          <w:rFonts w:cstheme="minorHAnsi"/>
          <w:color w:val="222222"/>
          <w:shd w:val="clear" w:color="auto" w:fill="FFFFFF"/>
        </w:rPr>
        <w:t>works withi</w:t>
      </w:r>
      <w:r w:rsidR="005D7111">
        <w:rPr>
          <w:rFonts w:cstheme="minorHAnsi"/>
          <w:color w:val="222222"/>
          <w:shd w:val="clear" w:color="auto" w:fill="FFFFFF"/>
        </w:rPr>
        <w:t>n the defined commercial, legal</w:t>
      </w:r>
      <w:r w:rsidR="00217BE2" w:rsidRPr="00E0022E">
        <w:rPr>
          <w:rFonts w:cstheme="minorHAnsi"/>
          <w:color w:val="222222"/>
          <w:shd w:val="clear" w:color="auto" w:fill="FFFFFF"/>
        </w:rPr>
        <w:t xml:space="preserve"> or </w:t>
      </w:r>
      <w:r w:rsidR="005D7111" w:rsidRPr="00E0022E">
        <w:rPr>
          <w:rFonts w:cstheme="minorHAnsi"/>
          <w:color w:val="222222"/>
          <w:shd w:val="clear" w:color="auto" w:fill="FFFFFF"/>
        </w:rPr>
        <w:t>estimated</w:t>
      </w:r>
      <w:r w:rsidR="00217BE2" w:rsidRPr="00E0022E">
        <w:rPr>
          <w:rFonts w:cstheme="minorHAnsi"/>
          <w:color w:val="222222"/>
          <w:shd w:val="clear" w:color="auto" w:fill="FFFFFF"/>
        </w:rPr>
        <w:t xml:space="preserve"> life span of the </w:t>
      </w:r>
      <w:r w:rsidR="005D7111" w:rsidRPr="00E0022E">
        <w:rPr>
          <w:rFonts w:cstheme="minorHAnsi"/>
          <w:color w:val="222222"/>
          <w:shd w:val="clear" w:color="auto" w:fill="FFFFFF"/>
        </w:rPr>
        <w:t>asset, therefore</w:t>
      </w:r>
      <w:r w:rsidR="005D7111">
        <w:rPr>
          <w:rFonts w:cstheme="minorHAnsi"/>
          <w:color w:val="222222"/>
          <w:shd w:val="clear" w:color="auto" w:fill="FFFFFF"/>
        </w:rPr>
        <w:t>,</w:t>
      </w:r>
      <w:r w:rsidR="00217BE2" w:rsidRPr="00E0022E">
        <w:rPr>
          <w:rFonts w:cstheme="minorHAnsi"/>
          <w:color w:val="222222"/>
          <w:shd w:val="clear" w:color="auto" w:fill="FFFFFF"/>
        </w:rPr>
        <w:t xml:space="preserve"> it can only be used to calculate the depreciation rate of those assets whose life can be predicted. </w:t>
      </w:r>
      <w:r w:rsidR="00E0022E" w:rsidRPr="00E0022E">
        <w:rPr>
          <w:rFonts w:cstheme="minorHAnsi"/>
          <w:color w:val="222222"/>
          <w:shd w:val="clear" w:color="auto" w:fill="FFFFFF"/>
        </w:rPr>
        <w:t>There are also s</w:t>
      </w:r>
      <w:r w:rsidR="005E2D7C">
        <w:rPr>
          <w:rFonts w:cstheme="minorHAnsi"/>
          <w:color w:val="222222"/>
          <w:shd w:val="clear" w:color="auto" w:fill="FFFFFF"/>
        </w:rPr>
        <w:t xml:space="preserve">ome </w:t>
      </w:r>
      <w:r w:rsidR="005E2D7C" w:rsidRPr="005E2D7C">
        <w:rPr>
          <w:rFonts w:cstheme="minorHAnsi"/>
          <w:color w:val="222222"/>
          <w:shd w:val="clear" w:color="auto" w:fill="FFFFFF"/>
        </w:rPr>
        <w:t>disadvantages of using the straight-line method.</w:t>
      </w:r>
      <w:r w:rsidR="00E0022E" w:rsidRPr="00E0022E">
        <w:rPr>
          <w:rFonts w:cstheme="minorHAnsi"/>
          <w:color w:val="222222"/>
          <w:shd w:val="clear" w:color="auto" w:fill="FFFFFF"/>
        </w:rPr>
        <w:t xml:space="preserve"> Firstl</w:t>
      </w:r>
      <w:r w:rsidR="00CC246B">
        <w:rPr>
          <w:rFonts w:cstheme="minorHAnsi"/>
          <w:color w:val="222222"/>
          <w:shd w:val="clear" w:color="auto" w:fill="FFFFFF"/>
        </w:rPr>
        <w:t>y, it does not include the loss</w:t>
      </w:r>
      <w:r w:rsidR="00E0022E" w:rsidRPr="00E0022E">
        <w:rPr>
          <w:rFonts w:cstheme="minorHAnsi"/>
          <w:color w:val="222222"/>
          <w:shd w:val="clear" w:color="auto" w:fill="FFFFFF"/>
        </w:rPr>
        <w:t xml:space="preserve"> in efficiency while calculating the depreciation rate for an asset. </w:t>
      </w:r>
      <w:r w:rsidR="005E2D7C">
        <w:rPr>
          <w:rFonts w:cstheme="minorHAnsi"/>
          <w:color w:val="222222"/>
          <w:shd w:val="clear" w:color="auto" w:fill="FFFFFF"/>
        </w:rPr>
        <w:t>It</w:t>
      </w:r>
      <w:r w:rsidR="00E0022E" w:rsidRPr="00E0022E">
        <w:rPr>
          <w:rFonts w:cstheme="minorHAnsi"/>
          <w:color w:val="222222"/>
          <w:shd w:val="clear" w:color="auto" w:fill="FFFFFF"/>
        </w:rPr>
        <w:t xml:space="preserve"> is</w:t>
      </w:r>
      <w:r w:rsidR="005E2D7C">
        <w:rPr>
          <w:rFonts w:cstheme="minorHAnsi"/>
          <w:color w:val="222222"/>
          <w:shd w:val="clear" w:color="auto" w:fill="FFFFFF"/>
        </w:rPr>
        <w:t xml:space="preserve"> also</w:t>
      </w:r>
      <w:r w:rsidR="00E0022E" w:rsidRPr="00E0022E">
        <w:rPr>
          <w:rFonts w:cstheme="minorHAnsi"/>
          <w:color w:val="222222"/>
          <w:shd w:val="clear" w:color="auto" w:fill="FFFFFF"/>
        </w:rPr>
        <w:t xml:space="preserve"> not suitable for those assets that are expensive, for example, huge plants or fragile equipment. Secondly, </w:t>
      </w:r>
      <w:r w:rsidR="005E2D7C">
        <w:rPr>
          <w:rFonts w:cstheme="minorHAnsi"/>
          <w:color w:val="222222"/>
          <w:shd w:val="clear" w:color="auto" w:fill="FFFFFF"/>
        </w:rPr>
        <w:t>the calculation of</w:t>
      </w:r>
      <w:r w:rsidR="00E0022E" w:rsidRPr="00E0022E">
        <w:rPr>
          <w:rFonts w:cstheme="minorHAnsi"/>
          <w:color w:val="222222"/>
          <w:shd w:val="clear" w:color="auto" w:fill="FFFFFF"/>
        </w:rPr>
        <w:t xml:space="preserve"> the functional life of an asset </w:t>
      </w:r>
      <w:r w:rsidR="005E2D7C">
        <w:rPr>
          <w:rFonts w:cstheme="minorHAnsi"/>
          <w:color w:val="222222"/>
          <w:shd w:val="clear" w:color="auto" w:fill="FFFFFF"/>
        </w:rPr>
        <w:t>is also not possible when the straight-line method is used.</w:t>
      </w:r>
      <w:r w:rsidR="00E0022E" w:rsidRPr="00E0022E">
        <w:rPr>
          <w:rFonts w:cstheme="minorHAnsi"/>
          <w:color w:val="222222"/>
          <w:shd w:val="clear" w:color="auto" w:fill="FFFFFF"/>
        </w:rPr>
        <w:t xml:space="preserve"> Financial analysts and accountants do not prescribe </w:t>
      </w:r>
      <w:r w:rsidR="005E2D7C">
        <w:rPr>
          <w:rFonts w:cstheme="minorHAnsi"/>
          <w:color w:val="222222"/>
          <w:shd w:val="clear" w:color="auto" w:fill="FFFFFF"/>
        </w:rPr>
        <w:t>this formuala</w:t>
      </w:r>
      <w:r w:rsidR="00E0022E" w:rsidRPr="00E0022E">
        <w:rPr>
          <w:rFonts w:cstheme="minorHAnsi"/>
          <w:color w:val="222222"/>
          <w:shd w:val="clear" w:color="auto" w:fill="FFFFFF"/>
        </w:rPr>
        <w:t xml:space="preserve"> when the usage of an asset over its life span cannot be predicted. </w:t>
      </w:r>
    </w:p>
    <w:p w14:paraId="2067875A" w14:textId="77777777" w:rsidR="00E0022E" w:rsidRDefault="00E0022E" w:rsidP="00E0022E">
      <w:pPr>
        <w:pStyle w:val="Heading2"/>
        <w:rPr>
          <w:shd w:val="clear" w:color="auto" w:fill="FFFFFF"/>
        </w:rPr>
      </w:pPr>
      <w:r>
        <w:rPr>
          <w:shd w:val="clear" w:color="auto" w:fill="FFFFFF"/>
        </w:rPr>
        <w:t>Double</w:t>
      </w:r>
      <w:r w:rsidR="00675C32">
        <w:rPr>
          <w:shd w:val="clear" w:color="auto" w:fill="FFFFFF"/>
        </w:rPr>
        <w:t>-Declining Balance</w:t>
      </w:r>
    </w:p>
    <w:p w14:paraId="3EC03D32" w14:textId="0955C67E" w:rsidR="00384689" w:rsidRPr="00447B1D" w:rsidRDefault="002C0944" w:rsidP="00384689">
      <w:pPr>
        <w:pStyle w:val="NormalWeb"/>
        <w:shd w:val="clear" w:color="auto" w:fill="FCFCFC"/>
        <w:rPr>
          <w:rFonts w:asciiTheme="minorHAnsi" w:hAnsiTheme="minorHAnsi" w:cstheme="minorHAnsi"/>
          <w:color w:val="222222"/>
          <w:shd w:val="clear" w:color="auto" w:fill="FFFFFF"/>
        </w:rPr>
      </w:pPr>
      <w:r>
        <w:rPr>
          <w:rFonts w:ascii="Helvetica" w:hAnsi="Helvetica" w:cs="Helvetica"/>
          <w:color w:val="333333"/>
          <w:sz w:val="21"/>
          <w:szCs w:val="21"/>
          <w:shd w:val="clear" w:color="auto" w:fill="FFFFFF"/>
        </w:rPr>
        <w:tab/>
      </w:r>
      <w:r w:rsidRPr="00447B1D">
        <w:rPr>
          <w:rFonts w:asciiTheme="minorHAnsi" w:hAnsiTheme="minorHAnsi" w:cstheme="minorHAnsi"/>
          <w:color w:val="222222"/>
          <w:shd w:val="clear" w:color="auto" w:fill="FFFFFF"/>
        </w:rPr>
        <w:t>Also known as the 200% declining balance method of depreciation, the double</w:t>
      </w:r>
      <w:r w:rsidR="00AC48B9">
        <w:rPr>
          <w:rFonts w:asciiTheme="minorHAnsi" w:hAnsiTheme="minorHAnsi" w:cstheme="minorHAnsi"/>
          <w:color w:val="222222"/>
          <w:shd w:val="clear" w:color="auto" w:fill="FFFFFF"/>
        </w:rPr>
        <w:t>-</w:t>
      </w:r>
      <w:r w:rsidRPr="00447B1D">
        <w:rPr>
          <w:rFonts w:asciiTheme="minorHAnsi" w:hAnsiTheme="minorHAnsi" w:cstheme="minorHAnsi"/>
          <w:color w:val="222222"/>
          <w:shd w:val="clear" w:color="auto" w:fill="FFFFFF"/>
        </w:rPr>
        <w:t xml:space="preserve">declining balance method for computing </w:t>
      </w:r>
      <w:r w:rsidR="00CC246B">
        <w:rPr>
          <w:rFonts w:asciiTheme="minorHAnsi" w:hAnsiTheme="minorHAnsi" w:cstheme="minorHAnsi"/>
          <w:color w:val="222222"/>
          <w:shd w:val="clear" w:color="auto" w:fill="FFFFFF"/>
        </w:rPr>
        <w:t xml:space="preserve">the </w:t>
      </w:r>
      <w:r w:rsidRPr="00447B1D">
        <w:rPr>
          <w:rFonts w:asciiTheme="minorHAnsi" w:hAnsiTheme="minorHAnsi" w:cstheme="minorHAnsi"/>
          <w:color w:val="222222"/>
          <w:shd w:val="clear" w:color="auto" w:fill="FFFFFF"/>
        </w:rPr>
        <w:t xml:space="preserve">level of depreciation calculates depreciation in its accelerated </w:t>
      </w:r>
      <w:r w:rsidRPr="00447B1D">
        <w:rPr>
          <w:rFonts w:asciiTheme="minorHAnsi" w:hAnsiTheme="minorHAnsi" w:cstheme="minorHAnsi"/>
          <w:color w:val="222222"/>
          <w:shd w:val="clear" w:color="auto" w:fill="FFFFFF"/>
        </w:rPr>
        <w:lastRenderedPageBreak/>
        <w:t>form. This implies that in comparison to the straight-line method, the expense of depreciation will be accelerated in the early years of the asset’s usage, but it will get slowed down in the later years.</w:t>
      </w:r>
      <w:r w:rsidR="00384689" w:rsidRPr="00447B1D">
        <w:rPr>
          <w:rFonts w:asciiTheme="minorHAnsi" w:hAnsiTheme="minorHAnsi" w:cstheme="minorHAnsi"/>
          <w:color w:val="222222"/>
          <w:shd w:val="clear" w:color="auto" w:fill="FFFFFF"/>
        </w:rPr>
        <w:t xml:space="preserve"> It does not advocate any difference in the total amount of depreciation during the expected useful life of the asset. This can easily be calculated by multiplying the result of </w:t>
      </w:r>
      <w:r w:rsidR="00AC48B9">
        <w:rPr>
          <w:rFonts w:asciiTheme="minorHAnsi" w:hAnsiTheme="minorHAnsi" w:cstheme="minorHAnsi"/>
          <w:color w:val="222222"/>
          <w:shd w:val="clear" w:color="auto" w:fill="FFFFFF"/>
        </w:rPr>
        <w:t xml:space="preserve">the </w:t>
      </w:r>
      <w:r w:rsidR="00384689" w:rsidRPr="00447B1D">
        <w:rPr>
          <w:rFonts w:asciiTheme="minorHAnsi" w:hAnsiTheme="minorHAnsi" w:cstheme="minorHAnsi"/>
          <w:color w:val="222222"/>
          <w:shd w:val="clear" w:color="auto" w:fill="FFFFFF"/>
        </w:rPr>
        <w:t>straight-line method with 2</w:t>
      </w:r>
      <w:r w:rsidR="00D23DB7">
        <w:rPr>
          <w:rFonts w:asciiTheme="minorHAnsi" w:hAnsiTheme="minorHAnsi" w:cstheme="minorHAnsi"/>
          <w:color w:val="222222"/>
          <w:shd w:val="clear" w:color="auto" w:fill="FFFFFF"/>
        </w:rPr>
        <w:t xml:space="preserve"> </w:t>
      </w:r>
      <w:sdt>
        <w:sdtPr>
          <w:rPr>
            <w:rFonts w:asciiTheme="minorHAnsi" w:hAnsiTheme="minorHAnsi" w:cstheme="minorHAnsi"/>
            <w:color w:val="222222"/>
            <w:shd w:val="clear" w:color="auto" w:fill="FFFFFF"/>
          </w:rPr>
          <w:id w:val="1652939101"/>
          <w:citation/>
        </w:sdtPr>
        <w:sdtEndPr/>
        <w:sdtContent>
          <w:r w:rsidR="00D23DB7">
            <w:rPr>
              <w:rFonts w:asciiTheme="minorHAnsi" w:hAnsiTheme="minorHAnsi" w:cstheme="minorHAnsi"/>
              <w:color w:val="222222"/>
              <w:shd w:val="clear" w:color="auto" w:fill="FFFFFF"/>
            </w:rPr>
            <w:fldChar w:fldCharType="begin"/>
          </w:r>
          <w:r w:rsidR="00D23DB7">
            <w:rPr>
              <w:rFonts w:asciiTheme="minorHAnsi" w:hAnsiTheme="minorHAnsi" w:cstheme="minorHAnsi"/>
              <w:color w:val="222222"/>
              <w:shd w:val="clear" w:color="auto" w:fill="FFFFFF"/>
            </w:rPr>
            <w:instrText xml:space="preserve"> CITATION Del16 \l 1033 </w:instrText>
          </w:r>
          <w:r w:rsidR="00D23DB7">
            <w:rPr>
              <w:rFonts w:asciiTheme="minorHAnsi" w:hAnsiTheme="minorHAnsi" w:cstheme="minorHAnsi"/>
              <w:color w:val="222222"/>
              <w:shd w:val="clear" w:color="auto" w:fill="FFFFFF"/>
            </w:rPr>
            <w:fldChar w:fldCharType="separate"/>
          </w:r>
          <w:r w:rsidR="001A4341" w:rsidRPr="001A4341">
            <w:rPr>
              <w:rFonts w:asciiTheme="minorHAnsi" w:hAnsiTheme="minorHAnsi" w:cstheme="minorHAnsi"/>
              <w:noProof/>
              <w:color w:val="222222"/>
              <w:shd w:val="clear" w:color="auto" w:fill="FFFFFF"/>
            </w:rPr>
            <w:t>(Del Giudice, 2016)</w:t>
          </w:r>
          <w:r w:rsidR="00D23DB7">
            <w:rPr>
              <w:rFonts w:asciiTheme="minorHAnsi" w:hAnsiTheme="minorHAnsi" w:cstheme="minorHAnsi"/>
              <w:color w:val="222222"/>
              <w:shd w:val="clear" w:color="auto" w:fill="FFFFFF"/>
            </w:rPr>
            <w:fldChar w:fldCharType="end"/>
          </w:r>
        </w:sdtContent>
      </w:sdt>
      <w:r w:rsidR="00384689" w:rsidRPr="00447B1D">
        <w:rPr>
          <w:rFonts w:asciiTheme="minorHAnsi" w:hAnsiTheme="minorHAnsi" w:cstheme="minorHAnsi"/>
          <w:color w:val="222222"/>
          <w:shd w:val="clear" w:color="auto" w:fill="FFFFFF"/>
        </w:rPr>
        <w:t xml:space="preserve">. </w:t>
      </w:r>
      <w:r w:rsidR="005E2D7C">
        <w:rPr>
          <w:rFonts w:asciiTheme="minorHAnsi" w:hAnsiTheme="minorHAnsi" w:cstheme="minorHAnsi"/>
          <w:color w:val="222222"/>
          <w:shd w:val="clear" w:color="auto" w:fill="FFFFFF"/>
        </w:rPr>
        <w:t>Double-declining balance method</w:t>
      </w:r>
      <w:r w:rsidR="00384689" w:rsidRPr="00447B1D">
        <w:rPr>
          <w:rFonts w:asciiTheme="minorHAnsi" w:hAnsiTheme="minorHAnsi" w:cstheme="minorHAnsi"/>
          <w:color w:val="222222"/>
          <w:shd w:val="clear" w:color="auto" w:fill="FFFFFF"/>
        </w:rPr>
        <w:t xml:space="preserve"> is best suited in situations whereby a business is pursuing a larger and immediate deduction in the tax rate. This can also be useful for bringing a reduction in the tax breaks in the subsequent years. The assets that lose their useful val</w:t>
      </w:r>
      <w:r w:rsidR="00447B1D" w:rsidRPr="00447B1D">
        <w:rPr>
          <w:rFonts w:asciiTheme="minorHAnsi" w:hAnsiTheme="minorHAnsi" w:cstheme="minorHAnsi"/>
          <w:color w:val="222222"/>
          <w:shd w:val="clear" w:color="auto" w:fill="FFFFFF"/>
        </w:rPr>
        <w:t>u</w:t>
      </w:r>
      <w:r w:rsidR="00384689" w:rsidRPr="00447B1D">
        <w:rPr>
          <w:rFonts w:asciiTheme="minorHAnsi" w:hAnsiTheme="minorHAnsi" w:cstheme="minorHAnsi"/>
          <w:color w:val="222222"/>
          <w:shd w:val="clear" w:color="auto" w:fill="FFFFFF"/>
        </w:rPr>
        <w:t>e quickly, for instance, new cars and durable equipment are best suited</w:t>
      </w:r>
      <w:r w:rsidR="00CC246B">
        <w:rPr>
          <w:rFonts w:asciiTheme="minorHAnsi" w:hAnsiTheme="minorHAnsi" w:cstheme="minorHAnsi"/>
          <w:color w:val="222222"/>
          <w:shd w:val="clear" w:color="auto" w:fill="FFFFFF"/>
        </w:rPr>
        <w:t xml:space="preserve"> for this method of calculating </w:t>
      </w:r>
      <w:r w:rsidR="00384689" w:rsidRPr="00447B1D">
        <w:rPr>
          <w:rFonts w:asciiTheme="minorHAnsi" w:hAnsiTheme="minorHAnsi" w:cstheme="minorHAnsi"/>
          <w:color w:val="222222"/>
          <w:shd w:val="clear" w:color="auto" w:fill="FFFFFF"/>
        </w:rPr>
        <w:t xml:space="preserve">depreciation. One quirk of this method is that it cannot be used for those assets that are reliable and do not lose their useful and salvage value quickly. </w:t>
      </w:r>
    </w:p>
    <w:p w14:paraId="6FF87529" w14:textId="77777777" w:rsidR="00384689" w:rsidRDefault="00384689" w:rsidP="00384689">
      <w:pPr>
        <w:pStyle w:val="Heading2"/>
        <w:rPr>
          <w:shd w:val="clear" w:color="auto" w:fill="FFFFFF"/>
        </w:rPr>
      </w:pPr>
      <w:r>
        <w:rPr>
          <w:shd w:val="clear" w:color="auto" w:fill="FFFFFF"/>
        </w:rPr>
        <w:t xml:space="preserve">Units </w:t>
      </w:r>
      <w:r w:rsidR="00675C32">
        <w:rPr>
          <w:shd w:val="clear" w:color="auto" w:fill="FFFFFF"/>
        </w:rPr>
        <w:t>of Production Method</w:t>
      </w:r>
    </w:p>
    <w:p w14:paraId="29B3A978" w14:textId="264C91C0" w:rsidR="00B44E1C" w:rsidRDefault="005E2D7C" w:rsidP="00CC246B">
      <w:pPr>
        <w:shd w:val="clear" w:color="auto" w:fill="FFFFFF"/>
        <w:spacing w:before="150" w:after="450"/>
        <w:rPr>
          <w:rFonts w:cstheme="minorHAnsi"/>
          <w:color w:val="222222"/>
          <w:shd w:val="clear" w:color="auto" w:fill="FFFFFF"/>
        </w:rPr>
      </w:pPr>
      <w:r>
        <w:rPr>
          <w:rFonts w:cstheme="minorHAnsi"/>
          <w:color w:val="222222"/>
          <w:shd w:val="clear" w:color="auto" w:fill="FFFFFF"/>
        </w:rPr>
        <w:t>Units of production</w:t>
      </w:r>
      <w:r w:rsidR="00447B1D" w:rsidRPr="00447B1D">
        <w:rPr>
          <w:rFonts w:cstheme="minorHAnsi"/>
          <w:color w:val="222222"/>
          <w:shd w:val="clear" w:color="auto" w:fill="FFFFFF"/>
        </w:rPr>
        <w:t xml:space="preserve"> is based on the</w:t>
      </w:r>
      <w:r w:rsidR="00DE41DA" w:rsidRPr="00DE41DA">
        <w:rPr>
          <w:rFonts w:cstheme="minorHAnsi"/>
          <w:color w:val="222222"/>
          <w:shd w:val="clear" w:color="auto" w:fill="FFFFFF"/>
        </w:rPr>
        <w:t xml:space="preserve"> number of</w:t>
      </w:r>
      <w:r w:rsidR="00447B1D" w:rsidRPr="00447B1D">
        <w:rPr>
          <w:rFonts w:cstheme="minorHAnsi"/>
          <w:color w:val="222222"/>
          <w:shd w:val="clear" w:color="auto" w:fill="FFFFFF"/>
        </w:rPr>
        <w:t xml:space="preserve"> units produced during </w:t>
      </w:r>
      <w:r w:rsidR="00DE41DA" w:rsidRPr="00DE41DA">
        <w:rPr>
          <w:rFonts w:cstheme="minorHAnsi"/>
          <w:color w:val="222222"/>
          <w:shd w:val="clear" w:color="auto" w:fill="FFFFFF"/>
        </w:rPr>
        <w:t>a particular</w:t>
      </w:r>
      <w:r w:rsidR="00447B1D" w:rsidRPr="00447B1D">
        <w:rPr>
          <w:rFonts w:cstheme="minorHAnsi"/>
          <w:color w:val="222222"/>
          <w:shd w:val="clear" w:color="auto" w:fill="FFFFFF"/>
        </w:rPr>
        <w:t xml:space="preserve"> year. The estimated total production is the criteria </w:t>
      </w:r>
      <w:r w:rsidR="00DE41DA" w:rsidRPr="00DE41DA">
        <w:rPr>
          <w:rFonts w:cstheme="minorHAnsi"/>
          <w:color w:val="222222"/>
          <w:shd w:val="clear" w:color="auto" w:fill="FFFFFF"/>
        </w:rPr>
        <w:t>for calculating the level of depreciation of an asset.</w:t>
      </w:r>
      <w:r w:rsidR="00DE41DA">
        <w:rPr>
          <w:rFonts w:cstheme="minorHAnsi"/>
          <w:color w:val="222222"/>
          <w:shd w:val="clear" w:color="auto" w:fill="FFFFFF"/>
        </w:rPr>
        <w:t xml:space="preserve"> </w:t>
      </w:r>
      <w:r>
        <w:rPr>
          <w:rFonts w:cstheme="minorHAnsi"/>
          <w:color w:val="222222"/>
          <w:shd w:val="clear" w:color="auto" w:fill="FFFFFF"/>
        </w:rPr>
        <w:t>This formula</w:t>
      </w:r>
      <w:r w:rsidR="00447B1D" w:rsidRPr="00447B1D">
        <w:rPr>
          <w:rFonts w:cstheme="minorHAnsi"/>
          <w:color w:val="222222"/>
          <w:shd w:val="clear" w:color="auto" w:fill="FFFFFF"/>
        </w:rPr>
        <w:t xml:space="preserve"> is </w:t>
      </w:r>
      <w:r w:rsidR="00DE41DA" w:rsidRPr="00DE41DA">
        <w:rPr>
          <w:rFonts w:cstheme="minorHAnsi"/>
          <w:color w:val="222222"/>
          <w:shd w:val="clear" w:color="auto" w:fill="FFFFFF"/>
        </w:rPr>
        <w:t>best suited in those scenarios</w:t>
      </w:r>
      <w:r w:rsidR="00447B1D" w:rsidRPr="00447B1D">
        <w:rPr>
          <w:rFonts w:cstheme="minorHAnsi"/>
          <w:color w:val="222222"/>
          <w:shd w:val="clear" w:color="auto" w:fill="FFFFFF"/>
        </w:rPr>
        <w:t xml:space="preserve"> where the</w:t>
      </w:r>
      <w:r w:rsidR="00DE41DA">
        <w:rPr>
          <w:rFonts w:cstheme="minorHAnsi"/>
          <w:color w:val="222222"/>
          <w:shd w:val="clear" w:color="auto" w:fill="FFFFFF"/>
        </w:rPr>
        <w:t>re is a close association between the</w:t>
      </w:r>
      <w:r w:rsidR="00447B1D" w:rsidRPr="00447B1D">
        <w:rPr>
          <w:rFonts w:cstheme="minorHAnsi"/>
          <w:color w:val="222222"/>
          <w:shd w:val="clear" w:color="auto" w:fill="FFFFFF"/>
        </w:rPr>
        <w:t xml:space="preserve"> value of </w:t>
      </w:r>
      <w:r w:rsidR="00DE41DA">
        <w:rPr>
          <w:rFonts w:cstheme="minorHAnsi"/>
          <w:color w:val="222222"/>
          <w:shd w:val="clear" w:color="auto" w:fill="FFFFFF"/>
        </w:rPr>
        <w:t>an</w:t>
      </w:r>
      <w:r w:rsidR="00447B1D" w:rsidRPr="00447B1D">
        <w:rPr>
          <w:rFonts w:cstheme="minorHAnsi"/>
          <w:color w:val="222222"/>
          <w:shd w:val="clear" w:color="auto" w:fill="FFFFFF"/>
        </w:rPr>
        <w:t xml:space="preserve"> asset </w:t>
      </w:r>
      <w:r w:rsidR="00DE41DA">
        <w:rPr>
          <w:rFonts w:cstheme="minorHAnsi"/>
          <w:color w:val="222222"/>
          <w:shd w:val="clear" w:color="auto" w:fill="FFFFFF"/>
        </w:rPr>
        <w:t xml:space="preserve">and the </w:t>
      </w:r>
      <w:r w:rsidR="00447B1D" w:rsidRPr="00447B1D">
        <w:rPr>
          <w:rFonts w:cstheme="minorHAnsi"/>
          <w:color w:val="222222"/>
          <w:shd w:val="clear" w:color="auto" w:fill="FFFFFF"/>
        </w:rPr>
        <w:t>number of units it produces</w:t>
      </w:r>
      <w:r w:rsidR="00DE41DA">
        <w:rPr>
          <w:rFonts w:cstheme="minorHAnsi"/>
          <w:color w:val="222222"/>
          <w:shd w:val="clear" w:color="auto" w:fill="FFFFFF"/>
        </w:rPr>
        <w:t xml:space="preserve"> in a given year</w:t>
      </w:r>
      <w:r w:rsidR="00447B1D" w:rsidRPr="00447B1D">
        <w:rPr>
          <w:rFonts w:cstheme="minorHAnsi"/>
          <w:color w:val="222222"/>
          <w:shd w:val="clear" w:color="auto" w:fill="FFFFFF"/>
        </w:rPr>
        <w:t xml:space="preserve">. Thus, </w:t>
      </w:r>
      <w:r w:rsidR="00DE41DA">
        <w:rPr>
          <w:rFonts w:cstheme="minorHAnsi"/>
          <w:color w:val="222222"/>
          <w:shd w:val="clear" w:color="auto" w:fill="FFFFFF"/>
        </w:rPr>
        <w:t xml:space="preserve">the depreciation rate is </w:t>
      </w:r>
      <w:r>
        <w:rPr>
          <w:rFonts w:cstheme="minorHAnsi"/>
          <w:color w:val="222222"/>
          <w:shd w:val="clear" w:color="auto" w:fill="FFFFFF"/>
        </w:rPr>
        <w:t xml:space="preserve">conspicuously </w:t>
      </w:r>
      <w:r w:rsidR="00DE41DA">
        <w:rPr>
          <w:rFonts w:cstheme="minorHAnsi"/>
          <w:color w:val="222222"/>
          <w:shd w:val="clear" w:color="auto" w:fill="FFFFFF"/>
        </w:rPr>
        <w:t>higher in those years when the usage of the asset is prominently higher than</w:t>
      </w:r>
      <w:r w:rsidR="00AC48B9">
        <w:rPr>
          <w:rFonts w:cstheme="minorHAnsi"/>
          <w:color w:val="222222"/>
          <w:shd w:val="clear" w:color="auto" w:fill="FFFFFF"/>
        </w:rPr>
        <w:t xml:space="preserve"> in</w:t>
      </w:r>
      <w:r w:rsidR="00DE41DA">
        <w:rPr>
          <w:rFonts w:cstheme="minorHAnsi"/>
          <w:color w:val="222222"/>
          <w:shd w:val="clear" w:color="auto" w:fill="FFFFFF"/>
        </w:rPr>
        <w:t xml:space="preserve"> other years. The depreciation levels of equipment plants and machinery </w:t>
      </w:r>
      <w:r w:rsidR="002C4155">
        <w:rPr>
          <w:rFonts w:cstheme="minorHAnsi"/>
          <w:color w:val="222222"/>
          <w:shd w:val="clear" w:color="auto" w:fill="FFFFFF"/>
        </w:rPr>
        <w:t xml:space="preserve">can be best calculated from </w:t>
      </w:r>
      <w:r>
        <w:rPr>
          <w:rFonts w:cstheme="minorHAnsi"/>
          <w:color w:val="222222"/>
          <w:shd w:val="clear" w:color="auto" w:fill="FFFFFF"/>
        </w:rPr>
        <w:t>this formula</w:t>
      </w:r>
      <w:r w:rsidR="002C4155">
        <w:rPr>
          <w:rFonts w:cstheme="minorHAnsi"/>
          <w:color w:val="222222"/>
          <w:shd w:val="clear" w:color="auto" w:fill="FFFFFF"/>
        </w:rPr>
        <w:t xml:space="preserve"> as their depreciation is directly associated with the level of u</w:t>
      </w:r>
      <w:r>
        <w:rPr>
          <w:rFonts w:cstheme="minorHAnsi"/>
          <w:color w:val="222222"/>
          <w:shd w:val="clear" w:color="auto" w:fill="FFFFFF"/>
        </w:rPr>
        <w:t xml:space="preserve">sage. To calculate depreciation, </w:t>
      </w:r>
      <w:bookmarkStart w:id="0" w:name="_GoBack"/>
      <w:bookmarkEnd w:id="0"/>
      <w:r w:rsidR="002C4155">
        <w:rPr>
          <w:rFonts w:cstheme="minorHAnsi"/>
          <w:color w:val="222222"/>
          <w:shd w:val="clear" w:color="auto" w:fill="FFFFFF"/>
        </w:rPr>
        <w:t xml:space="preserve">the potential depreciable value is multiplied with the ratio of </w:t>
      </w:r>
      <w:r w:rsidR="00AC48B9">
        <w:rPr>
          <w:rFonts w:cstheme="minorHAnsi"/>
          <w:color w:val="222222"/>
          <w:shd w:val="clear" w:color="auto" w:fill="FFFFFF"/>
        </w:rPr>
        <w:t xml:space="preserve">the </w:t>
      </w:r>
      <w:r w:rsidR="002C4155">
        <w:rPr>
          <w:rFonts w:cstheme="minorHAnsi"/>
          <w:color w:val="222222"/>
          <w:shd w:val="clear" w:color="auto" w:fill="FFFFFF"/>
        </w:rPr>
        <w:t>total number of units produced during a year and the total production which is estimated. One significant advantage of this method is that the expanse can be directly allocated and connected to the time period in which it occurred because of the direct connection between the assets used and the depreciation charges</w:t>
      </w:r>
      <w:r w:rsidR="00D23DB7">
        <w:rPr>
          <w:rFonts w:cstheme="minorHAnsi"/>
          <w:color w:val="222222"/>
          <w:shd w:val="clear" w:color="auto" w:fill="FFFFFF"/>
        </w:rPr>
        <w:t xml:space="preserve"> </w:t>
      </w:r>
      <w:sdt>
        <w:sdtPr>
          <w:rPr>
            <w:rFonts w:cstheme="minorHAnsi"/>
            <w:color w:val="222222"/>
            <w:shd w:val="clear" w:color="auto" w:fill="FFFFFF"/>
          </w:rPr>
          <w:id w:val="-1819807861"/>
          <w:citation/>
        </w:sdtPr>
        <w:sdtEndPr/>
        <w:sdtContent>
          <w:r w:rsidR="00D23DB7">
            <w:rPr>
              <w:rFonts w:cstheme="minorHAnsi"/>
              <w:color w:val="222222"/>
              <w:shd w:val="clear" w:color="auto" w:fill="FFFFFF"/>
            </w:rPr>
            <w:fldChar w:fldCharType="begin"/>
          </w:r>
          <w:r w:rsidR="00D23DB7">
            <w:rPr>
              <w:rFonts w:cstheme="minorHAnsi"/>
              <w:color w:val="222222"/>
              <w:shd w:val="clear" w:color="auto" w:fill="FFFFFF"/>
            </w:rPr>
            <w:instrText xml:space="preserve"> CITATION Rad11 \l 1033 </w:instrText>
          </w:r>
          <w:r w:rsidR="00D23DB7">
            <w:rPr>
              <w:rFonts w:cstheme="minorHAnsi"/>
              <w:color w:val="222222"/>
              <w:shd w:val="clear" w:color="auto" w:fill="FFFFFF"/>
            </w:rPr>
            <w:fldChar w:fldCharType="separate"/>
          </w:r>
          <w:r w:rsidR="001A4341" w:rsidRPr="001A4341">
            <w:rPr>
              <w:rFonts w:cstheme="minorHAnsi"/>
              <w:noProof/>
              <w:color w:val="222222"/>
              <w:shd w:val="clear" w:color="auto" w:fill="FFFFFF"/>
            </w:rPr>
            <w:t>(Radu, 2011)</w:t>
          </w:r>
          <w:r w:rsidR="00D23DB7">
            <w:rPr>
              <w:rFonts w:cstheme="minorHAnsi"/>
              <w:color w:val="222222"/>
              <w:shd w:val="clear" w:color="auto" w:fill="FFFFFF"/>
            </w:rPr>
            <w:fldChar w:fldCharType="end"/>
          </w:r>
        </w:sdtContent>
      </w:sdt>
      <w:r w:rsidR="002C4155">
        <w:rPr>
          <w:rFonts w:cstheme="minorHAnsi"/>
          <w:color w:val="222222"/>
          <w:shd w:val="clear" w:color="auto" w:fill="FFFFFF"/>
        </w:rPr>
        <w:t xml:space="preserve">. If there are high levels of depreciation, the level of physical </w:t>
      </w:r>
      <w:r w:rsidR="002C4155">
        <w:rPr>
          <w:rFonts w:cstheme="minorHAnsi"/>
          <w:color w:val="222222"/>
          <w:shd w:val="clear" w:color="auto" w:fill="FFFFFF"/>
        </w:rPr>
        <w:lastRenderedPageBreak/>
        <w:t xml:space="preserve">activities or wear and tear of the asset can be attributed to. There is also a disadvantage of this method. No depreciation charges can be calculated during those time periods when the </w:t>
      </w:r>
      <w:r w:rsidR="00B44E1C">
        <w:rPr>
          <w:rFonts w:cstheme="minorHAnsi"/>
          <w:color w:val="222222"/>
          <w:shd w:val="clear" w:color="auto" w:fill="FFFFFF"/>
        </w:rPr>
        <w:t>asset is sitting idle or is not in use. Unlike other methods, the units of production method also require intricate record-keeping of production levels and associate usage.</w:t>
      </w:r>
    </w:p>
    <w:p w14:paraId="6C7938EF" w14:textId="77777777" w:rsidR="00B44E1C" w:rsidRDefault="00B44E1C" w:rsidP="00B44E1C">
      <w:pPr>
        <w:pStyle w:val="Heading2"/>
        <w:rPr>
          <w:shd w:val="clear" w:color="auto" w:fill="FFFFFF"/>
        </w:rPr>
      </w:pPr>
      <w:r>
        <w:rPr>
          <w:shd w:val="clear" w:color="auto" w:fill="FFFFFF"/>
        </w:rPr>
        <w:t>Sum</w:t>
      </w:r>
      <w:r w:rsidR="00675C32">
        <w:rPr>
          <w:shd w:val="clear" w:color="auto" w:fill="FFFFFF"/>
        </w:rPr>
        <w:t>-of-Years Method</w:t>
      </w:r>
    </w:p>
    <w:p w14:paraId="018A0896" w14:textId="77777777" w:rsidR="00B44E1C" w:rsidRDefault="00B44E1C" w:rsidP="00B44E1C">
      <w:r>
        <w:t>This</w:t>
      </w:r>
      <w:r w:rsidRPr="00B44E1C">
        <w:t xml:space="preserve"> method </w:t>
      </w:r>
      <w:r>
        <w:t>deploys</w:t>
      </w:r>
      <w:r w:rsidRPr="00B44E1C">
        <w:t xml:space="preserve"> accelerated depreciation </w:t>
      </w:r>
      <w:r>
        <w:t>which is largely</w:t>
      </w:r>
      <w:r w:rsidRPr="00B44E1C">
        <w:t xml:space="preserve"> based on the</w:t>
      </w:r>
      <w:r w:rsidR="00731886">
        <w:t xml:space="preserve"> pre-supposed</w:t>
      </w:r>
      <w:r w:rsidRPr="00B44E1C">
        <w:t xml:space="preserve"> assumption that with the passage of time</w:t>
      </w:r>
      <w:r w:rsidR="00731886">
        <w:t>, the useful life of an asset decreases by virtue of its productivity. This method makes an attempt</w:t>
      </w:r>
      <w:r w:rsidRPr="00B44E1C">
        <w:t xml:space="preserve"> to charge </w:t>
      </w:r>
      <w:r w:rsidR="00AC48B9">
        <w:t xml:space="preserve">a </w:t>
      </w:r>
      <w:r w:rsidR="00731886">
        <w:t>higher amount of depreciation expense</w:t>
      </w:r>
      <w:r w:rsidRPr="00B44E1C">
        <w:t xml:space="preserve"> in</w:t>
      </w:r>
      <w:r w:rsidR="00731886">
        <w:t xml:space="preserve"> the early years of its useful life. This is because this method is best suited in those scenarios whereby the asset is the</w:t>
      </w:r>
      <w:r w:rsidRPr="00B44E1C">
        <w:t xml:space="preserve"> most productive in </w:t>
      </w:r>
      <w:r w:rsidR="00AC48B9">
        <w:t xml:space="preserve">the </w:t>
      </w:r>
      <w:r w:rsidRPr="00B44E1C">
        <w:t>early years of its life.</w:t>
      </w:r>
      <w:r w:rsidR="00731886">
        <w:t xml:space="preserve"> The depreciation levels of those assets which lose their productive and fruitful efficiency in their early years can also be efficaciously calculated through this method.</w:t>
      </w:r>
      <w:r w:rsidRPr="00B44E1C">
        <w:t xml:space="preserve"> </w:t>
      </w:r>
      <w:r w:rsidR="00731886">
        <w:t xml:space="preserve">The advantages of this method are multi-faceted. Firstly, </w:t>
      </w:r>
      <w:r w:rsidR="00D23DB7">
        <w:t xml:space="preserve">many accounting standards, for instance, IFRS and U.S. GAAP and it is also accepted for reporting tax records under the jurisdictions of many revenue organizations </w:t>
      </w:r>
      <w:sdt>
        <w:sdtPr>
          <w:id w:val="1422992444"/>
          <w:citation/>
        </w:sdtPr>
        <w:sdtEndPr/>
        <w:sdtContent>
          <w:r w:rsidR="00D23DB7">
            <w:fldChar w:fldCharType="begin"/>
          </w:r>
          <w:r w:rsidR="00D23DB7">
            <w:instrText xml:space="preserve"> CITATION Lia15 \l 1033 </w:instrText>
          </w:r>
          <w:r w:rsidR="00D23DB7">
            <w:fldChar w:fldCharType="separate"/>
          </w:r>
          <w:r w:rsidR="001A4341">
            <w:rPr>
              <w:noProof/>
            </w:rPr>
            <w:t>(Liapis, 2015)</w:t>
          </w:r>
          <w:r w:rsidR="00D23DB7">
            <w:fldChar w:fldCharType="end"/>
          </w:r>
        </w:sdtContent>
      </w:sdt>
      <w:r w:rsidR="00D23DB7">
        <w:t xml:space="preserve">. Secondly, the depreciation of assets </w:t>
      </w:r>
      <w:r w:rsidR="00AC48B9">
        <w:t>that</w:t>
      </w:r>
      <w:r w:rsidR="00D23DB7">
        <w:t xml:space="preserve"> undergo rapid obsolescence and need up</w:t>
      </w:r>
      <w:r w:rsidR="00AC48B9">
        <w:t>-</w:t>
      </w:r>
      <w:r w:rsidR="00D23DB7">
        <w:t xml:space="preserve">gradation shortly after their launch, for instance, computers and mobile phones can easily be calculated through this method. However, there is no creation of larger tax deductions through this method and accordingly, there will be a higher expense of tax deductions from the income. </w:t>
      </w:r>
    </w:p>
    <w:p w14:paraId="27781B5D" w14:textId="77777777" w:rsidR="002C0944" w:rsidRDefault="002C0944" w:rsidP="00D23DB7">
      <w:pPr>
        <w:shd w:val="clear" w:color="auto" w:fill="FFFFFF"/>
        <w:spacing w:before="150" w:after="450"/>
        <w:ind w:firstLine="0"/>
        <w:rPr>
          <w:rFonts w:cstheme="minorHAnsi"/>
          <w:color w:val="222222"/>
          <w:shd w:val="clear" w:color="auto" w:fill="FFFFFF"/>
        </w:rPr>
      </w:pPr>
    </w:p>
    <w:p w14:paraId="45BE9375" w14:textId="77777777" w:rsidR="00AC48B9" w:rsidRDefault="00AC48B9" w:rsidP="00D23DB7">
      <w:pPr>
        <w:shd w:val="clear" w:color="auto" w:fill="FFFFFF"/>
        <w:spacing w:before="150" w:after="450"/>
        <w:ind w:firstLine="0"/>
        <w:rPr>
          <w:rFonts w:cstheme="minorHAnsi"/>
          <w:color w:val="222222"/>
          <w:shd w:val="clear" w:color="auto" w:fill="FFFFFF"/>
        </w:rPr>
      </w:pPr>
    </w:p>
    <w:p w14:paraId="3B2BB839" w14:textId="77777777" w:rsidR="00AC48B9" w:rsidRDefault="00AC48B9" w:rsidP="00D23DB7">
      <w:pPr>
        <w:shd w:val="clear" w:color="auto" w:fill="FFFFFF"/>
        <w:spacing w:before="150" w:after="450"/>
        <w:ind w:firstLine="0"/>
        <w:rPr>
          <w:rFonts w:cstheme="minorHAnsi"/>
          <w:color w:val="222222"/>
          <w:shd w:val="clear" w:color="auto" w:fill="FFFFFF"/>
        </w:rPr>
      </w:pPr>
    </w:p>
    <w:sdt>
      <w:sdtPr>
        <w:rPr>
          <w:rFonts w:asciiTheme="minorHAnsi" w:eastAsiaTheme="minorEastAsia" w:hAnsiTheme="minorHAnsi" w:cstheme="minorBidi"/>
          <w:b w:val="0"/>
          <w:bCs w:val="0"/>
        </w:rPr>
        <w:id w:val="-626386517"/>
        <w:docPartObj>
          <w:docPartGallery w:val="Bibliographies"/>
          <w:docPartUnique/>
        </w:docPartObj>
      </w:sdtPr>
      <w:sdtEndPr/>
      <w:sdtContent>
        <w:p w14:paraId="1747343B" w14:textId="77777777" w:rsidR="002C0944" w:rsidRPr="00675C32" w:rsidRDefault="002C0944">
          <w:pPr>
            <w:pStyle w:val="Heading1"/>
            <w:rPr>
              <w:b w:val="0"/>
            </w:rPr>
          </w:pPr>
          <w:r w:rsidRPr="00675C32">
            <w:rPr>
              <w:b w:val="0"/>
            </w:rPr>
            <w:t>References</w:t>
          </w:r>
        </w:p>
        <w:sdt>
          <w:sdtPr>
            <w:id w:val="-573587230"/>
            <w:bibliography/>
          </w:sdtPr>
          <w:sdtEndPr/>
          <w:sdtContent>
            <w:p w14:paraId="21AB86E3" w14:textId="77777777" w:rsidR="001A4341" w:rsidRDefault="002C0944" w:rsidP="001A4341">
              <w:pPr>
                <w:pStyle w:val="Bibliography"/>
                <w:rPr>
                  <w:noProof/>
                </w:rPr>
              </w:pPr>
              <w:r>
                <w:fldChar w:fldCharType="begin"/>
              </w:r>
              <w:r>
                <w:instrText xml:space="preserve"> BIBLIOGRAPHY </w:instrText>
              </w:r>
              <w:r>
                <w:fldChar w:fldCharType="separate"/>
              </w:r>
              <w:r w:rsidR="001A4341">
                <w:rPr>
                  <w:noProof/>
                </w:rPr>
                <w:t xml:space="preserve">Del Giudice, V. M. (2016). Depreciation methods for </w:t>
              </w:r>
              <w:r w:rsidR="00AC48B9">
                <w:rPr>
                  <w:noProof/>
                </w:rPr>
                <w:t xml:space="preserve">the </w:t>
              </w:r>
              <w:r w:rsidR="001A4341">
                <w:rPr>
                  <w:noProof/>
                </w:rPr>
                <w:t xml:space="preserve">firm’s assets. </w:t>
              </w:r>
              <w:r w:rsidR="001A4341">
                <w:rPr>
                  <w:i/>
                  <w:iCs/>
                  <w:noProof/>
                </w:rPr>
                <w:t>International Conference on Computational Science and Its Applications</w:t>
              </w:r>
              <w:r w:rsidR="001A4341">
                <w:rPr>
                  <w:noProof/>
                </w:rPr>
                <w:t>, 214-227.</w:t>
              </w:r>
            </w:p>
            <w:p w14:paraId="4C6288EF" w14:textId="77777777" w:rsidR="001A4341" w:rsidRDefault="001A4341" w:rsidP="001A4341">
              <w:pPr>
                <w:pStyle w:val="Bibliography"/>
                <w:rPr>
                  <w:noProof/>
                </w:rPr>
              </w:pPr>
              <w:r>
                <w:rPr>
                  <w:noProof/>
                </w:rPr>
                <w:t xml:space="preserve">Liapis, K. J. (2015). Depreciation methods and life-cycle costing (LCC) methodology. </w:t>
              </w:r>
              <w:r>
                <w:rPr>
                  <w:i/>
                  <w:iCs/>
                  <w:noProof/>
                </w:rPr>
                <w:t>Procedia Economics and Finance</w:t>
              </w:r>
              <w:r>
                <w:rPr>
                  <w:noProof/>
                </w:rPr>
                <w:t>, 314-324.</w:t>
              </w:r>
            </w:p>
            <w:p w14:paraId="7B2C03D3" w14:textId="77777777" w:rsidR="001A4341" w:rsidRDefault="001A4341" w:rsidP="001A4341">
              <w:pPr>
                <w:pStyle w:val="Bibliography"/>
                <w:rPr>
                  <w:noProof/>
                </w:rPr>
              </w:pPr>
              <w:r>
                <w:rPr>
                  <w:noProof/>
                </w:rPr>
                <w:t xml:space="preserve">Radu, D. &amp;. (2011). Issues related to the accounting treatment of the tangible and intangible assets depreciation. </w:t>
              </w:r>
              <w:r>
                <w:rPr>
                  <w:i/>
                  <w:iCs/>
                  <w:noProof/>
                </w:rPr>
                <w:t>Annals of the University of Oradea, Economic Science Series</w:t>
              </w:r>
              <w:r>
                <w:rPr>
                  <w:noProof/>
                </w:rPr>
                <w:t>, 498502.</w:t>
              </w:r>
            </w:p>
            <w:p w14:paraId="629BAF09" w14:textId="77777777" w:rsidR="001A4341" w:rsidRDefault="001A4341" w:rsidP="001A4341">
              <w:pPr>
                <w:pStyle w:val="Bibliography"/>
                <w:rPr>
                  <w:noProof/>
                </w:rPr>
              </w:pPr>
              <w:r>
                <w:rPr>
                  <w:noProof/>
                </w:rPr>
                <w:t xml:space="preserve">Singh, R. (2017). Depreciation methods: A study of </w:t>
              </w:r>
              <w:r w:rsidR="00AC48B9">
                <w:rPr>
                  <w:noProof/>
                </w:rPr>
                <w:t xml:space="preserve">the </w:t>
              </w:r>
              <w:r>
                <w:rPr>
                  <w:noProof/>
                </w:rPr>
                <w:t xml:space="preserve">practice of </w:t>
              </w:r>
              <w:r w:rsidR="00AC48B9">
                <w:rPr>
                  <w:noProof/>
                </w:rPr>
                <w:t>the I</w:t>
              </w:r>
              <w:r>
                <w:rPr>
                  <w:noProof/>
                </w:rPr>
                <w:t xml:space="preserve">ndian corporate sector. </w:t>
              </w:r>
              <w:r>
                <w:rPr>
                  <w:i/>
                  <w:iCs/>
                  <w:noProof/>
                </w:rPr>
                <w:t>ZENITH International Journal of Business Economics &amp; Management Research</w:t>
              </w:r>
              <w:r>
                <w:rPr>
                  <w:noProof/>
                </w:rPr>
                <w:t>, 16-23.</w:t>
              </w:r>
            </w:p>
            <w:p w14:paraId="0996D001" w14:textId="77777777" w:rsidR="002C0944" w:rsidRDefault="002C0944" w:rsidP="001A4341">
              <w:r>
                <w:rPr>
                  <w:b/>
                  <w:bCs/>
                  <w:noProof/>
                </w:rPr>
                <w:fldChar w:fldCharType="end"/>
              </w:r>
            </w:p>
          </w:sdtContent>
        </w:sdt>
      </w:sdtContent>
    </w:sdt>
    <w:p w14:paraId="79B660C5" w14:textId="77777777" w:rsidR="002C0944" w:rsidRPr="00E0022E" w:rsidRDefault="002C0944">
      <w:pPr>
        <w:rPr>
          <w:rFonts w:cstheme="minorHAnsi"/>
          <w:color w:val="222222"/>
          <w:shd w:val="clear" w:color="auto" w:fill="FFFFFF"/>
        </w:rPr>
      </w:pPr>
    </w:p>
    <w:sectPr w:rsidR="002C0944" w:rsidRPr="00E0022E">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E150D" w14:textId="77777777" w:rsidR="00612DA2" w:rsidRDefault="00612DA2">
      <w:pPr>
        <w:spacing w:line="240" w:lineRule="auto"/>
      </w:pPr>
      <w:r>
        <w:separator/>
      </w:r>
    </w:p>
    <w:p w14:paraId="3EFA81B8" w14:textId="77777777" w:rsidR="00612DA2" w:rsidRDefault="00612DA2"/>
  </w:endnote>
  <w:endnote w:type="continuationSeparator" w:id="0">
    <w:p w14:paraId="19C52787" w14:textId="77777777" w:rsidR="00612DA2" w:rsidRDefault="00612DA2">
      <w:pPr>
        <w:spacing w:line="240" w:lineRule="auto"/>
      </w:pPr>
      <w:r>
        <w:continuationSeparator/>
      </w:r>
    </w:p>
    <w:p w14:paraId="3B8A25F5" w14:textId="77777777" w:rsidR="00612DA2" w:rsidRDefault="00612D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8592E" w14:textId="77777777" w:rsidR="00612DA2" w:rsidRDefault="00612DA2">
      <w:pPr>
        <w:spacing w:line="240" w:lineRule="auto"/>
      </w:pPr>
      <w:r>
        <w:separator/>
      </w:r>
    </w:p>
    <w:p w14:paraId="46922B14" w14:textId="77777777" w:rsidR="00612DA2" w:rsidRDefault="00612DA2"/>
  </w:footnote>
  <w:footnote w:type="continuationSeparator" w:id="0">
    <w:p w14:paraId="3085E140" w14:textId="77777777" w:rsidR="00612DA2" w:rsidRDefault="00612DA2">
      <w:pPr>
        <w:spacing w:line="240" w:lineRule="auto"/>
      </w:pPr>
      <w:r>
        <w:continuationSeparator/>
      </w:r>
    </w:p>
    <w:p w14:paraId="1B1F251A" w14:textId="77777777" w:rsidR="00612DA2" w:rsidRDefault="00612D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01568" w14:textId="77777777" w:rsidR="00E81978" w:rsidRDefault="00612DA2">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064FE">
          <w:rPr>
            <w:rStyle w:val="Strong"/>
          </w:rPr>
          <w:t xml:space="preserve">fINANCE, ACCOUNTING &amp; BANKING </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E2D7C">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D3ECD" w14:textId="7777777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064FE">
          <w:rPr>
            <w:rStyle w:val="Strong"/>
          </w:rPr>
          <w:t xml:space="preserve">fINANCE, ACCOUNTING &amp; BANKING </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E2D7C">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2692DB6"/>
    <w:multiLevelType w:val="multilevel"/>
    <w:tmpl w:val="A7A4ECF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xtjAxMDExBHKMTZV0lIJTi4sz8/NACoxqAfo8mmQsAAAA"/>
  </w:docVars>
  <w:rsids>
    <w:rsidRoot w:val="00C50272"/>
    <w:rsid w:val="000D3F41"/>
    <w:rsid w:val="001A4341"/>
    <w:rsid w:val="00217BE2"/>
    <w:rsid w:val="002C0944"/>
    <w:rsid w:val="002C4155"/>
    <w:rsid w:val="00355DCA"/>
    <w:rsid w:val="00384689"/>
    <w:rsid w:val="00447B1D"/>
    <w:rsid w:val="00452F3A"/>
    <w:rsid w:val="00551A02"/>
    <w:rsid w:val="005534FA"/>
    <w:rsid w:val="005D3A03"/>
    <w:rsid w:val="005D7111"/>
    <w:rsid w:val="005E2D7C"/>
    <w:rsid w:val="00612DA2"/>
    <w:rsid w:val="00667192"/>
    <w:rsid w:val="00675C32"/>
    <w:rsid w:val="0073077C"/>
    <w:rsid w:val="00731886"/>
    <w:rsid w:val="008002C0"/>
    <w:rsid w:val="008C5323"/>
    <w:rsid w:val="009036DD"/>
    <w:rsid w:val="009A6A3B"/>
    <w:rsid w:val="00AC48B9"/>
    <w:rsid w:val="00B44E1C"/>
    <w:rsid w:val="00B823AA"/>
    <w:rsid w:val="00BA45DB"/>
    <w:rsid w:val="00BF4184"/>
    <w:rsid w:val="00C0601E"/>
    <w:rsid w:val="00C31D30"/>
    <w:rsid w:val="00C50272"/>
    <w:rsid w:val="00C73F57"/>
    <w:rsid w:val="00CC246B"/>
    <w:rsid w:val="00CD6E39"/>
    <w:rsid w:val="00CF6E91"/>
    <w:rsid w:val="00D23DB7"/>
    <w:rsid w:val="00D85B68"/>
    <w:rsid w:val="00DE41DA"/>
    <w:rsid w:val="00E0022E"/>
    <w:rsid w:val="00E6004D"/>
    <w:rsid w:val="00E81978"/>
    <w:rsid w:val="00F064FE"/>
    <w:rsid w:val="00F379B7"/>
    <w:rsid w:val="00F525FA"/>
    <w:rsid w:val="00FA2061"/>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BA5A3"/>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FA20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1104">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22859399">
      <w:bodyDiv w:val="1"/>
      <w:marLeft w:val="0"/>
      <w:marRight w:val="0"/>
      <w:marTop w:val="0"/>
      <w:marBottom w:val="0"/>
      <w:divBdr>
        <w:top w:val="none" w:sz="0" w:space="0" w:color="auto"/>
        <w:left w:val="none" w:sz="0" w:space="0" w:color="auto"/>
        <w:bottom w:val="none" w:sz="0" w:space="0" w:color="auto"/>
        <w:right w:val="none" w:sz="0" w:space="0" w:color="auto"/>
      </w:divBdr>
    </w:div>
    <w:div w:id="331492990">
      <w:bodyDiv w:val="1"/>
      <w:marLeft w:val="0"/>
      <w:marRight w:val="0"/>
      <w:marTop w:val="0"/>
      <w:marBottom w:val="0"/>
      <w:divBdr>
        <w:top w:val="none" w:sz="0" w:space="0" w:color="auto"/>
        <w:left w:val="none" w:sz="0" w:space="0" w:color="auto"/>
        <w:bottom w:val="none" w:sz="0" w:space="0" w:color="auto"/>
        <w:right w:val="none" w:sz="0" w:space="0" w:color="auto"/>
      </w:divBdr>
    </w:div>
    <w:div w:id="357777984">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29413080">
      <w:bodyDiv w:val="1"/>
      <w:marLeft w:val="0"/>
      <w:marRight w:val="0"/>
      <w:marTop w:val="0"/>
      <w:marBottom w:val="0"/>
      <w:divBdr>
        <w:top w:val="none" w:sz="0" w:space="0" w:color="auto"/>
        <w:left w:val="none" w:sz="0" w:space="0" w:color="auto"/>
        <w:bottom w:val="none" w:sz="0" w:space="0" w:color="auto"/>
        <w:right w:val="none" w:sz="0" w:space="0" w:color="auto"/>
      </w:divBdr>
    </w:div>
    <w:div w:id="53955961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15083807">
      <w:bodyDiv w:val="1"/>
      <w:marLeft w:val="0"/>
      <w:marRight w:val="0"/>
      <w:marTop w:val="0"/>
      <w:marBottom w:val="0"/>
      <w:divBdr>
        <w:top w:val="none" w:sz="0" w:space="0" w:color="auto"/>
        <w:left w:val="none" w:sz="0" w:space="0" w:color="auto"/>
        <w:bottom w:val="none" w:sz="0" w:space="0" w:color="auto"/>
        <w:right w:val="none" w:sz="0" w:space="0" w:color="auto"/>
      </w:divBdr>
    </w:div>
    <w:div w:id="810057403">
      <w:bodyDiv w:val="1"/>
      <w:marLeft w:val="0"/>
      <w:marRight w:val="0"/>
      <w:marTop w:val="0"/>
      <w:marBottom w:val="0"/>
      <w:divBdr>
        <w:top w:val="none" w:sz="0" w:space="0" w:color="auto"/>
        <w:left w:val="none" w:sz="0" w:space="0" w:color="auto"/>
        <w:bottom w:val="none" w:sz="0" w:space="0" w:color="auto"/>
        <w:right w:val="none" w:sz="0" w:space="0" w:color="auto"/>
      </w:divBdr>
      <w:divsChild>
        <w:div w:id="798374650">
          <w:marLeft w:val="0"/>
          <w:marRight w:val="0"/>
          <w:marTop w:val="0"/>
          <w:marBottom w:val="0"/>
          <w:divBdr>
            <w:top w:val="none" w:sz="0" w:space="0" w:color="auto"/>
            <w:left w:val="none" w:sz="0" w:space="0" w:color="auto"/>
            <w:bottom w:val="none" w:sz="0" w:space="0" w:color="auto"/>
            <w:right w:val="none" w:sz="0" w:space="0" w:color="auto"/>
          </w:divBdr>
        </w:div>
      </w:divsChild>
    </w:div>
    <w:div w:id="858394577">
      <w:bodyDiv w:val="1"/>
      <w:marLeft w:val="0"/>
      <w:marRight w:val="0"/>
      <w:marTop w:val="0"/>
      <w:marBottom w:val="0"/>
      <w:divBdr>
        <w:top w:val="none" w:sz="0" w:space="0" w:color="auto"/>
        <w:left w:val="none" w:sz="0" w:space="0" w:color="auto"/>
        <w:bottom w:val="none" w:sz="0" w:space="0" w:color="auto"/>
        <w:right w:val="none" w:sz="0" w:space="0" w:color="auto"/>
      </w:divBdr>
    </w:div>
    <w:div w:id="868109282">
      <w:bodyDiv w:val="1"/>
      <w:marLeft w:val="0"/>
      <w:marRight w:val="0"/>
      <w:marTop w:val="0"/>
      <w:marBottom w:val="0"/>
      <w:divBdr>
        <w:top w:val="none" w:sz="0" w:space="0" w:color="auto"/>
        <w:left w:val="none" w:sz="0" w:space="0" w:color="auto"/>
        <w:bottom w:val="none" w:sz="0" w:space="0" w:color="auto"/>
        <w:right w:val="none" w:sz="0" w:space="0" w:color="auto"/>
      </w:divBdr>
    </w:div>
    <w:div w:id="870339580">
      <w:bodyDiv w:val="1"/>
      <w:marLeft w:val="0"/>
      <w:marRight w:val="0"/>
      <w:marTop w:val="0"/>
      <w:marBottom w:val="0"/>
      <w:divBdr>
        <w:top w:val="none" w:sz="0" w:space="0" w:color="auto"/>
        <w:left w:val="none" w:sz="0" w:space="0" w:color="auto"/>
        <w:bottom w:val="none" w:sz="0" w:space="0" w:color="auto"/>
        <w:right w:val="none" w:sz="0" w:space="0" w:color="auto"/>
      </w:divBdr>
    </w:div>
    <w:div w:id="876241029">
      <w:bodyDiv w:val="1"/>
      <w:marLeft w:val="0"/>
      <w:marRight w:val="0"/>
      <w:marTop w:val="0"/>
      <w:marBottom w:val="0"/>
      <w:divBdr>
        <w:top w:val="none" w:sz="0" w:space="0" w:color="auto"/>
        <w:left w:val="none" w:sz="0" w:space="0" w:color="auto"/>
        <w:bottom w:val="none" w:sz="0" w:space="0" w:color="auto"/>
        <w:right w:val="none" w:sz="0" w:space="0" w:color="auto"/>
      </w:divBdr>
    </w:div>
    <w:div w:id="902837730">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46486092">
      <w:bodyDiv w:val="1"/>
      <w:marLeft w:val="0"/>
      <w:marRight w:val="0"/>
      <w:marTop w:val="0"/>
      <w:marBottom w:val="0"/>
      <w:divBdr>
        <w:top w:val="none" w:sz="0" w:space="0" w:color="auto"/>
        <w:left w:val="none" w:sz="0" w:space="0" w:color="auto"/>
        <w:bottom w:val="none" w:sz="0" w:space="0" w:color="auto"/>
        <w:right w:val="none" w:sz="0" w:space="0" w:color="auto"/>
      </w:divBdr>
    </w:div>
    <w:div w:id="1092313528">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86333234">
      <w:bodyDiv w:val="1"/>
      <w:marLeft w:val="0"/>
      <w:marRight w:val="0"/>
      <w:marTop w:val="0"/>
      <w:marBottom w:val="0"/>
      <w:divBdr>
        <w:top w:val="none" w:sz="0" w:space="0" w:color="auto"/>
        <w:left w:val="none" w:sz="0" w:space="0" w:color="auto"/>
        <w:bottom w:val="none" w:sz="0" w:space="0" w:color="auto"/>
        <w:right w:val="none" w:sz="0" w:space="0" w:color="auto"/>
      </w:divBdr>
    </w:div>
    <w:div w:id="1194149675">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44304741">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61930667">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82396071">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8851424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2364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996581"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996581"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996581"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996581"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996581"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996581"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996581"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996581"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C7CC3"/>
    <w:rsid w:val="00313E00"/>
    <w:rsid w:val="00880A05"/>
    <w:rsid w:val="00996581"/>
    <w:rsid w:val="00DE2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fINANCE, ACCOUNTING &amp; BANKING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5</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6</b:RefOrder>
  </b:Source>
  <b:Source>
    <b:Tag>Sin17</b:Tag>
    <b:SourceType>JournalArticle</b:SourceType>
    <b:Guid>{0A968FDC-8F7B-4C10-BD76-A007D05AE1D1}</b:Guid>
    <b:Author>
      <b:Author>
        <b:NameList>
          <b:Person>
            <b:Last>Singh</b:Last>
            <b:First>R</b:First>
          </b:Person>
        </b:NameList>
      </b:Author>
    </b:Author>
    <b:Title>Depreciation methods: A study of practice of indian corporate sector</b:Title>
    <b:JournalName>ZENITH International Journal of Business Economics &amp; Management Research</b:JournalName>
    <b:Year>2017</b:Year>
    <b:Pages>16-23</b:Pages>
    <b:RefOrder>1</b:RefOrder>
  </b:Source>
  <b:Source>
    <b:Tag>Lia15</b:Tag>
    <b:SourceType>JournalArticle</b:SourceType>
    <b:Guid>{5509EAD3-D772-4D1D-AEBD-08975C48039E}</b:Guid>
    <b:Author>
      <b:Author>
        <b:NameList>
          <b:Person>
            <b:Last>Liapis</b:Last>
            <b:First>K.</b:First>
            <b:Middle>J., &amp; Kantianis, D. D.</b:Middle>
          </b:Person>
        </b:NameList>
      </b:Author>
    </b:Author>
    <b:Title>Depreciation methods and life-cycle costing (LCC) methodology</b:Title>
    <b:JournalName>Procedia Economics and Finance</b:JournalName>
    <b:Year>2015</b:Year>
    <b:Pages>314-324</b:Pages>
    <b:RefOrder>4</b:RefOrder>
  </b:Source>
  <b:Source>
    <b:Tag>Rad11</b:Tag>
    <b:SourceType>JournalArticle</b:SourceType>
    <b:Guid>{234502BA-F3CE-4A86-A740-EE7A0C166626}</b:Guid>
    <b:Author>
      <b:Author>
        <b:NameList>
          <b:Person>
            <b:Last>Radu</b:Last>
            <b:First>D.,</b:First>
            <b:Middle>&amp; Marius, D</b:Middle>
          </b:Person>
        </b:NameList>
      </b:Author>
    </b:Author>
    <b:Title>Issues related to the accounting treatment of the tangible and intangible assets depreciation</b:Title>
    <b:JournalName>Annals of the University of Oradea, Economic Science Series</b:JournalName>
    <b:Year>2011</b:Year>
    <b:Pages>498502</b:Pages>
    <b:RefOrder>3</b:RefOrder>
  </b:Source>
  <b:Source>
    <b:Tag>Del16</b:Tag>
    <b:SourceType>JournalArticle</b:SourceType>
    <b:Guid>{24269104-28E0-4360-BCCD-55D4EC3FFEE4}</b:Guid>
    <b:Author>
      <b:Author>
        <b:NameList>
          <b:Person>
            <b:Last>Del Giudice</b:Last>
            <b:First>V.,</b:First>
            <b:Middle>Manganelli, B., &amp; De Paola, P</b:Middle>
          </b:Person>
        </b:NameList>
      </b:Author>
    </b:Author>
    <b:Title>Depreciation methods for firm’s assets</b:Title>
    <b:JournalName>International Conference on Computational Science and Its Applications</b:JournalName>
    <b:Year>2016</b:Year>
    <b:Pages>214-227</b:Pages>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DD5D2F-22C9-450C-8127-AE15427A2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Compare and Contrast Depreciation Methods</vt:lpstr>
    </vt:vector>
  </TitlesOfParts>
  <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Depreciation Methods</dc:title>
  <dc:subject/>
  <dc:creator>Zack Gold</dc:creator>
  <cp:keywords/>
  <dc:description/>
  <cp:lastModifiedBy>Morning</cp:lastModifiedBy>
  <cp:revision>2</cp:revision>
  <dcterms:created xsi:type="dcterms:W3CDTF">2019-12-10T08:50:00Z</dcterms:created>
  <dcterms:modified xsi:type="dcterms:W3CDTF">2019-12-10T08:50:00Z</dcterms:modified>
</cp:coreProperties>
</file>