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5BA9E42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7356320D" w14:textId="77777777" w:rsidR="00E614DD" w:rsidRDefault="00A070B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4CCB0206" w14:textId="77777777" w:rsidR="00E614DD" w:rsidRDefault="00A070B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3199033" w14:textId="77777777" w:rsidR="00E614DD" w:rsidRDefault="00A070B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26BDBD36" w14:textId="541462F9" w:rsidR="00E614DD" w:rsidRDefault="00AC4204">
      <w:pPr>
        <w:pStyle w:val="Title"/>
      </w:pPr>
      <w:r>
        <w:t>Discussion</w:t>
      </w:r>
    </w:p>
    <w:p w14:paraId="2D25BC35" w14:textId="1A8B6995" w:rsidR="005B45A3" w:rsidRPr="00172ACC" w:rsidRDefault="005B45A3" w:rsidP="005B45A3">
      <w:pPr>
        <w:ind w:firstLine="0"/>
        <w:rPr>
          <w:b/>
          <w:bCs/>
          <w:u w:val="single"/>
        </w:rPr>
      </w:pPr>
      <w:r w:rsidRPr="00172ACC">
        <w:rPr>
          <w:b/>
          <w:bCs/>
          <w:u w:val="single"/>
        </w:rPr>
        <w:t>Economic Data of USA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6235"/>
      </w:tblGrid>
      <w:tr w:rsidR="006E7A74" w14:paraId="3489F499" w14:textId="77777777" w:rsidTr="00FB6C3F">
        <w:tc>
          <w:tcPr>
            <w:tcW w:w="0" w:type="auto"/>
          </w:tcPr>
          <w:p w14:paraId="0ED0EF8E" w14:textId="2DC7590A" w:rsidR="006E7A74" w:rsidRDefault="006E7A74" w:rsidP="005B45A3">
            <w:pPr>
              <w:ind w:firstLine="0"/>
            </w:pPr>
            <w:r>
              <w:t>Interest Rates</w:t>
            </w:r>
          </w:p>
        </w:tc>
        <w:tc>
          <w:tcPr>
            <w:tcW w:w="0" w:type="auto"/>
          </w:tcPr>
          <w:p w14:paraId="0082C9F2" w14:textId="7EC55EF4" w:rsidR="006E7A74" w:rsidRDefault="00316FC3" w:rsidP="005B45A3">
            <w:pPr>
              <w:ind w:firstLine="0"/>
            </w:pPr>
            <w:r>
              <w:t>2.0</w:t>
            </w:r>
          </w:p>
        </w:tc>
      </w:tr>
      <w:tr w:rsidR="006E7A74" w14:paraId="0B31F09E" w14:textId="77777777" w:rsidTr="00FB6C3F">
        <w:tc>
          <w:tcPr>
            <w:tcW w:w="0" w:type="auto"/>
          </w:tcPr>
          <w:p w14:paraId="2B796774" w14:textId="03CDB843" w:rsidR="006E7A74" w:rsidRDefault="006E7A74" w:rsidP="005B45A3">
            <w:pPr>
              <w:ind w:firstLine="0"/>
            </w:pPr>
            <w:r>
              <w:t>Unemployment</w:t>
            </w:r>
          </w:p>
        </w:tc>
        <w:tc>
          <w:tcPr>
            <w:tcW w:w="0" w:type="auto"/>
          </w:tcPr>
          <w:p w14:paraId="6B829242" w14:textId="30A353FE" w:rsidR="006E7A74" w:rsidRDefault="00BF565A" w:rsidP="005B45A3">
            <w:pPr>
              <w:ind w:firstLine="0"/>
            </w:pPr>
            <w:r>
              <w:t>3.9</w:t>
            </w:r>
          </w:p>
        </w:tc>
      </w:tr>
      <w:tr w:rsidR="006E7A74" w14:paraId="6A783608" w14:textId="77777777" w:rsidTr="00FB6C3F">
        <w:tc>
          <w:tcPr>
            <w:tcW w:w="0" w:type="auto"/>
          </w:tcPr>
          <w:p w14:paraId="15E89838" w14:textId="2CA5BBA3" w:rsidR="006E7A74" w:rsidRDefault="006E7A74" w:rsidP="005B45A3">
            <w:pPr>
              <w:ind w:firstLine="0"/>
            </w:pPr>
            <w:r>
              <w:t>Inflation</w:t>
            </w:r>
          </w:p>
        </w:tc>
        <w:tc>
          <w:tcPr>
            <w:tcW w:w="0" w:type="auto"/>
          </w:tcPr>
          <w:p w14:paraId="17246660" w14:textId="503BECA8" w:rsidR="006E7A74" w:rsidRDefault="00BF565A" w:rsidP="005B45A3">
            <w:pPr>
              <w:ind w:firstLine="0"/>
            </w:pPr>
            <w:r>
              <w:t>2.4</w:t>
            </w:r>
          </w:p>
        </w:tc>
      </w:tr>
      <w:tr w:rsidR="006E7A74" w14:paraId="7F743135" w14:textId="77777777" w:rsidTr="00FB6C3F">
        <w:tc>
          <w:tcPr>
            <w:tcW w:w="0" w:type="auto"/>
          </w:tcPr>
          <w:p w14:paraId="20BDC3D9" w14:textId="01D92749" w:rsidR="006E7A74" w:rsidRDefault="006E7A74" w:rsidP="005B45A3">
            <w:pPr>
              <w:ind w:firstLine="0"/>
            </w:pPr>
            <w:r>
              <w:t>GDP</w:t>
            </w:r>
          </w:p>
        </w:tc>
        <w:tc>
          <w:tcPr>
            <w:tcW w:w="0" w:type="auto"/>
          </w:tcPr>
          <w:p w14:paraId="2B0F27BC" w14:textId="492FF392" w:rsidR="006E7A74" w:rsidRDefault="00BF565A" w:rsidP="005B45A3">
            <w:pPr>
              <w:ind w:firstLine="0"/>
            </w:pPr>
            <w:r>
              <w:t xml:space="preserve">20, </w:t>
            </w:r>
            <w:r w:rsidR="00C63DC1">
              <w:t>494,099.85</w:t>
            </w:r>
          </w:p>
        </w:tc>
      </w:tr>
      <w:tr w:rsidR="006E7A74" w14:paraId="40FDB95C" w14:textId="77777777" w:rsidTr="00FB6C3F">
        <w:tc>
          <w:tcPr>
            <w:tcW w:w="0" w:type="auto"/>
          </w:tcPr>
          <w:p w14:paraId="2790BD42" w14:textId="6C176BF3" w:rsidR="006E7A74" w:rsidRDefault="006E7A74" w:rsidP="005B45A3">
            <w:pPr>
              <w:ind w:firstLine="0"/>
            </w:pPr>
            <w:r>
              <w:t xml:space="preserve">GDP </w:t>
            </w:r>
            <w:r w:rsidR="00F46CC9">
              <w:t>Growth Rate</w:t>
            </w:r>
          </w:p>
        </w:tc>
        <w:tc>
          <w:tcPr>
            <w:tcW w:w="0" w:type="auto"/>
          </w:tcPr>
          <w:p w14:paraId="76B96251" w14:textId="25D19CA9" w:rsidR="006E7A74" w:rsidRDefault="00D74F8D" w:rsidP="005B45A3">
            <w:pPr>
              <w:ind w:firstLine="0"/>
            </w:pPr>
            <w:r>
              <w:t>2.9</w:t>
            </w:r>
          </w:p>
        </w:tc>
      </w:tr>
      <w:tr w:rsidR="006E7A74" w14:paraId="4F89AFF8" w14:textId="77777777" w:rsidTr="00FB6C3F">
        <w:tc>
          <w:tcPr>
            <w:tcW w:w="0" w:type="auto"/>
          </w:tcPr>
          <w:p w14:paraId="60BCC2AE" w14:textId="2AA6AF44" w:rsidR="006E7A74" w:rsidRDefault="00F46CC9" w:rsidP="005B45A3">
            <w:pPr>
              <w:ind w:firstLine="0"/>
            </w:pPr>
            <w:r>
              <w:t>Exchange Rates against USD</w:t>
            </w:r>
          </w:p>
        </w:tc>
        <w:tc>
          <w:tcPr>
            <w:tcW w:w="0" w:type="auto"/>
          </w:tcPr>
          <w:p w14:paraId="44857942" w14:textId="439DF234" w:rsidR="006E7A74" w:rsidRDefault="00B16B62" w:rsidP="005B45A3">
            <w:pPr>
              <w:ind w:firstLine="0"/>
            </w:pPr>
            <w:r>
              <w:t>1.00</w:t>
            </w:r>
          </w:p>
        </w:tc>
      </w:tr>
      <w:tr w:rsidR="006E7A74" w14:paraId="28801A0E" w14:textId="77777777" w:rsidTr="00FB6C3F">
        <w:tc>
          <w:tcPr>
            <w:tcW w:w="0" w:type="auto"/>
          </w:tcPr>
          <w:p w14:paraId="70309282" w14:textId="2B597E8F" w:rsidR="006E7A74" w:rsidRDefault="00F46CC9" w:rsidP="005B45A3">
            <w:pPr>
              <w:ind w:firstLine="0"/>
            </w:pPr>
            <w:r>
              <w:t>Exchange Rate Regime</w:t>
            </w:r>
          </w:p>
        </w:tc>
        <w:tc>
          <w:tcPr>
            <w:tcW w:w="0" w:type="auto"/>
          </w:tcPr>
          <w:p w14:paraId="12718821" w14:textId="0B1D02B2" w:rsidR="006E7A74" w:rsidRDefault="002B6522" w:rsidP="005B45A3">
            <w:pPr>
              <w:ind w:firstLine="0"/>
            </w:pPr>
            <w:r>
              <w:t>Fixed exchange rate</w:t>
            </w:r>
          </w:p>
        </w:tc>
      </w:tr>
      <w:tr w:rsidR="006E7A74" w14:paraId="025C18FE" w14:textId="77777777" w:rsidTr="00FB6C3F">
        <w:tc>
          <w:tcPr>
            <w:tcW w:w="0" w:type="auto"/>
          </w:tcPr>
          <w:p w14:paraId="55744A2D" w14:textId="362BA4DA" w:rsidR="006E7A74" w:rsidRDefault="00F46CC9" w:rsidP="005B45A3">
            <w:pPr>
              <w:ind w:firstLine="0"/>
            </w:pPr>
            <w:r>
              <w:t>Labor Force Major Industries</w:t>
            </w:r>
          </w:p>
        </w:tc>
        <w:tc>
          <w:tcPr>
            <w:tcW w:w="0" w:type="auto"/>
          </w:tcPr>
          <w:p w14:paraId="694E77F0" w14:textId="24AB494B" w:rsidR="006E7A74" w:rsidRDefault="00D62F70" w:rsidP="005B45A3">
            <w:pPr>
              <w:ind w:firstLine="0"/>
            </w:pPr>
            <w:r>
              <w:t xml:space="preserve">Health Care, </w:t>
            </w:r>
            <w:r w:rsidR="005D18BC">
              <w:t>Technology, Retail, Construction, Manufacturing</w:t>
            </w:r>
          </w:p>
        </w:tc>
      </w:tr>
      <w:tr w:rsidR="003D007D" w14:paraId="194FC73E" w14:textId="77777777" w:rsidTr="00FB6C3F">
        <w:tc>
          <w:tcPr>
            <w:tcW w:w="0" w:type="auto"/>
          </w:tcPr>
          <w:p w14:paraId="3BA76D6F" w14:textId="58F61187" w:rsidR="003D007D" w:rsidRDefault="003D007D" w:rsidP="005B45A3">
            <w:pPr>
              <w:ind w:firstLine="0"/>
            </w:pPr>
            <w:r>
              <w:t>FDI Rates</w:t>
            </w:r>
          </w:p>
        </w:tc>
        <w:tc>
          <w:tcPr>
            <w:tcW w:w="0" w:type="auto"/>
          </w:tcPr>
          <w:p w14:paraId="211E0FC5" w14:textId="4AFEF86C" w:rsidR="003D007D" w:rsidRDefault="005825B7" w:rsidP="005B45A3">
            <w:pPr>
              <w:ind w:firstLine="0"/>
            </w:pPr>
            <w:r>
              <w:t>267,081,000,000</w:t>
            </w:r>
          </w:p>
        </w:tc>
      </w:tr>
    </w:tbl>
    <w:p w14:paraId="715E409C" w14:textId="77777777" w:rsidR="001C07EC" w:rsidRDefault="001C07EC" w:rsidP="005B45A3">
      <w:pPr>
        <w:ind w:firstLine="0"/>
      </w:pPr>
    </w:p>
    <w:p w14:paraId="66712591" w14:textId="7F9DE6FE" w:rsidR="005B45A3" w:rsidRPr="004838D2" w:rsidRDefault="005B45A3" w:rsidP="005B45A3">
      <w:pPr>
        <w:ind w:firstLine="0"/>
        <w:rPr>
          <w:b/>
          <w:bCs/>
          <w:u w:val="single"/>
        </w:rPr>
      </w:pPr>
      <w:r w:rsidRPr="004838D2">
        <w:rPr>
          <w:b/>
          <w:bCs/>
          <w:u w:val="single"/>
        </w:rPr>
        <w:t>Elements of Physical Infrastructure</w:t>
      </w:r>
    </w:p>
    <w:p w14:paraId="67B3A3CB" w14:textId="65F2A022" w:rsidR="004838D2" w:rsidRDefault="004838D2" w:rsidP="005B45A3">
      <w:pPr>
        <w:ind w:firstLine="0"/>
      </w:pPr>
      <w:r w:rsidRPr="00667FD9">
        <w:rPr>
          <w:u w:val="single"/>
        </w:rPr>
        <w:t>Major Airports and Seaports</w:t>
      </w:r>
      <w:r w:rsidR="00CE2302">
        <w:t xml:space="preserve">: </w:t>
      </w:r>
      <w:r w:rsidR="00AA40E5">
        <w:t xml:space="preserve">Port of Los Angeles, </w:t>
      </w:r>
      <w:r w:rsidR="003D2C3B">
        <w:t xml:space="preserve">Port Laredo, Chicago’s O’ Hare International Airport, </w:t>
      </w:r>
      <w:r w:rsidR="001C3917">
        <w:t xml:space="preserve">JKF International Airport, </w:t>
      </w:r>
      <w:r w:rsidR="00721962">
        <w:t xml:space="preserve">Port of Newark, </w:t>
      </w:r>
      <w:r w:rsidR="00591A68">
        <w:t xml:space="preserve">Detroit’s Ambassador Bridge, </w:t>
      </w:r>
      <w:r w:rsidR="003F3B4D">
        <w:t>Port Houston, Port of New Orleans</w:t>
      </w:r>
      <w:r w:rsidR="0074747D">
        <w:t>, Port of Long Beach, LAX</w:t>
      </w:r>
      <w:r w:rsidR="00036BF6">
        <w:t xml:space="preserve">. </w:t>
      </w:r>
    </w:p>
    <w:p w14:paraId="61D150AA" w14:textId="26C83C35" w:rsidR="004838D2" w:rsidRDefault="004838D2" w:rsidP="005B45A3">
      <w:pPr>
        <w:ind w:firstLine="0"/>
      </w:pPr>
      <w:r w:rsidRPr="00667FD9">
        <w:rPr>
          <w:u w:val="single"/>
        </w:rPr>
        <w:t>Railway Stations</w:t>
      </w:r>
      <w:r w:rsidR="00732CA2">
        <w:t xml:space="preserve">: </w:t>
      </w:r>
      <w:r w:rsidR="007B179B">
        <w:t>Penn Station, Washington Union Station, 30</w:t>
      </w:r>
      <w:r w:rsidR="007B179B" w:rsidRPr="007B179B">
        <w:rPr>
          <w:vertAlign w:val="superscript"/>
        </w:rPr>
        <w:t>th</w:t>
      </w:r>
      <w:r w:rsidR="007B179B">
        <w:t xml:space="preserve"> Street Station, Union Station, South </w:t>
      </w:r>
      <w:r w:rsidR="0038017C">
        <w:t xml:space="preserve">Station, Sacramento Valley Station. </w:t>
      </w:r>
    </w:p>
    <w:p w14:paraId="3B3D07D0" w14:textId="338BD4D6" w:rsidR="004838D2" w:rsidRDefault="004838D2" w:rsidP="005B45A3">
      <w:pPr>
        <w:ind w:firstLine="0"/>
      </w:pPr>
      <w:r w:rsidRPr="00667FD9">
        <w:rPr>
          <w:u w:val="single"/>
        </w:rPr>
        <w:t>Internet Users</w:t>
      </w:r>
      <w:r w:rsidR="006C7869">
        <w:t xml:space="preserve">: </w:t>
      </w:r>
      <w:r w:rsidR="004D7371">
        <w:t xml:space="preserve">Currently, there are 275 million internet users in the country and it is estimated that this figure </w:t>
      </w:r>
      <w:r w:rsidR="00387FD8">
        <w:t>grows</w:t>
      </w:r>
      <w:r w:rsidR="004D7371">
        <w:t xml:space="preserve"> to</w:t>
      </w:r>
      <w:r w:rsidR="004A5E5F">
        <w:t xml:space="preserve"> approximately</w:t>
      </w:r>
      <w:r w:rsidR="004D7371">
        <w:t xml:space="preserve"> 310.1 </w:t>
      </w:r>
      <w:r w:rsidR="004A5E5F">
        <w:t xml:space="preserve">million in </w:t>
      </w:r>
      <w:r w:rsidR="00387FD8">
        <w:t xml:space="preserve">the </w:t>
      </w:r>
      <w:r w:rsidR="004A5E5F">
        <w:t xml:space="preserve">next five years. </w:t>
      </w:r>
    </w:p>
    <w:p w14:paraId="5B7359D4" w14:textId="304E9344" w:rsidR="004838D2" w:rsidRDefault="004838D2" w:rsidP="005B45A3">
      <w:pPr>
        <w:ind w:firstLine="0"/>
      </w:pPr>
      <w:r w:rsidRPr="00667FD9">
        <w:rPr>
          <w:u w:val="single"/>
        </w:rPr>
        <w:t>Mobile Providers</w:t>
      </w:r>
      <w:r w:rsidR="002411C5">
        <w:t xml:space="preserve">: </w:t>
      </w:r>
      <w:r w:rsidR="000455D7">
        <w:t xml:space="preserve">ACN Inc., Blue Case Communications, </w:t>
      </w:r>
      <w:r w:rsidR="00197BAF">
        <w:t>Country Link</w:t>
      </w:r>
      <w:r w:rsidR="000455D7">
        <w:t xml:space="preserve">, </w:t>
      </w:r>
      <w:r w:rsidR="00897D35">
        <w:t xml:space="preserve">Verizon Wireless, T-Mobile, </w:t>
      </w:r>
      <w:r w:rsidR="00F7459F">
        <w:t>TracFone Wireless</w:t>
      </w:r>
      <w:r w:rsidR="005D0D71">
        <w:t>, Sprint Nextel</w:t>
      </w:r>
      <w:r w:rsidR="00067F00">
        <w:t xml:space="preserve"> </w:t>
      </w:r>
      <w:r w:rsidR="00067F00">
        <w:fldChar w:fldCharType="begin"/>
      </w:r>
      <w:r w:rsidR="00067F00">
        <w:instrText xml:space="preserve"> ADDIN ZOTERO_ITEM CSL_CITATION {"citationID":"1Fx5oTnN","properties":{"formattedCitation":"(txtNation)","plainCitation":"(txtNation)","noteIndex":0},"citationItems":[{"id":1218,"uris":["http://zotero.org/users/local/7Hi3kAOD/items/SK2KTDLL"],"uri":["http://zotero.org/users/local/7Hi3kAOD/items/SK2KTDLL"],"itemData":{"id":1218,"type":"webpage","title":"All Countries: List of Mobile Operators by Country","container-title":"Client.txtnation.com","author":[{"family":"txtNation","given":""}],"issued":{"date-parts":[["2019"]]}}}],"schema":"https://github.com/citation-style-language/schema/raw/master/csl-citation.json"} </w:instrText>
      </w:r>
      <w:r w:rsidR="00067F00">
        <w:fldChar w:fldCharType="separate"/>
      </w:r>
      <w:r w:rsidR="00067F00" w:rsidRPr="00067F00">
        <w:rPr>
          <w:rFonts w:ascii="Times New Roman" w:hAnsi="Times New Roman" w:cs="Times New Roman"/>
        </w:rPr>
        <w:t>(txtNation)</w:t>
      </w:r>
      <w:r w:rsidR="00067F00">
        <w:fldChar w:fldCharType="end"/>
      </w:r>
      <w:r w:rsidR="00067F00">
        <w:t xml:space="preserve">. </w:t>
      </w:r>
    </w:p>
    <w:p w14:paraId="11346771" w14:textId="788421E4" w:rsidR="004838D2" w:rsidRDefault="004838D2" w:rsidP="005B45A3">
      <w:pPr>
        <w:ind w:firstLine="0"/>
      </w:pPr>
      <w:r w:rsidRPr="00667FD9">
        <w:rPr>
          <w:u w:val="single"/>
        </w:rPr>
        <w:t>Logistics Performance Index Rating</w:t>
      </w:r>
      <w:r w:rsidR="00897D1B">
        <w:t xml:space="preserve">: </w:t>
      </w:r>
      <w:r w:rsidR="00566EE0">
        <w:t>3.65</w:t>
      </w:r>
      <w:r w:rsidR="006C095E">
        <w:t xml:space="preserve"> </w:t>
      </w:r>
      <w:r w:rsidR="006C095E">
        <w:fldChar w:fldCharType="begin"/>
      </w:r>
      <w:r w:rsidR="006C095E">
        <w:instrText xml:space="preserve"> ADDIN ZOTERO_ITEM CSL_CITATION {"citationID":"9vP5HGH7","properties":{"formattedCitation":"(The World Bank)","plainCitation":"(The World Bank)","noteIndex":0},"citationItems":[{"id":1219,"uris":["http://zotero.org/users/local/7Hi3kAOD/items/SNJBIVMJ"],"uri":["http://zotero.org/users/local/7Hi3kAOD/items/SNJBIVMJ"],"itemData":{"id":1219,"type":"webpage","title":"World Bank Open Data","container-title":"World Bank Group","author":[{"family":"The World Bank","given":""}],"issued":{"date-parts":[["2019"]]}}}],"schema":"https://github.com/citation-style-language/schema/raw/master/csl-citation.json"} </w:instrText>
      </w:r>
      <w:r w:rsidR="006C095E">
        <w:fldChar w:fldCharType="separate"/>
      </w:r>
      <w:r w:rsidR="006C095E" w:rsidRPr="006C095E">
        <w:rPr>
          <w:rFonts w:ascii="Times New Roman" w:hAnsi="Times New Roman" w:cs="Times New Roman"/>
        </w:rPr>
        <w:t>(The World Bank)</w:t>
      </w:r>
      <w:r w:rsidR="006C095E">
        <w:fldChar w:fldCharType="end"/>
      </w:r>
      <w:r w:rsidR="006C095E">
        <w:t xml:space="preserve">. </w:t>
      </w:r>
    </w:p>
    <w:p w14:paraId="00151933" w14:textId="77777777" w:rsidR="00986DEA" w:rsidRDefault="00986DEA" w:rsidP="005B45A3">
      <w:pPr>
        <w:ind w:firstLine="0"/>
      </w:pPr>
    </w:p>
    <w:p w14:paraId="13BA6544" w14:textId="61DF3533" w:rsidR="005B45A3" w:rsidRPr="00135C6C" w:rsidRDefault="0017741C" w:rsidP="005B45A3">
      <w:pPr>
        <w:ind w:firstLine="0"/>
        <w:rPr>
          <w:b/>
          <w:bCs/>
          <w:u w:val="single"/>
        </w:rPr>
      </w:pPr>
      <w:r w:rsidRPr="00135C6C">
        <w:rPr>
          <w:b/>
          <w:bCs/>
          <w:u w:val="single"/>
        </w:rPr>
        <w:lastRenderedPageBreak/>
        <w:t>Observations</w:t>
      </w:r>
    </w:p>
    <w:p w14:paraId="4B08D937" w14:textId="6D82C686" w:rsidR="00387FD8" w:rsidRDefault="00135C6C" w:rsidP="005B45A3">
      <w:pPr>
        <w:ind w:firstLine="0"/>
      </w:pPr>
      <w:r>
        <w:tab/>
        <w:t xml:space="preserve">Consideration of the important economic indicators and different elements of physical infrastructure is important </w:t>
      </w:r>
      <w:r w:rsidR="001C1912">
        <w:t xml:space="preserve">to identify the actual position of the United States of America as the project country. Evaluation of these parameters is necessary to </w:t>
      </w:r>
      <w:r w:rsidR="00843063">
        <w:t xml:space="preserve">assess the possible chances of development for the country. </w:t>
      </w:r>
      <w:r w:rsidR="00DA4C2A">
        <w:t xml:space="preserve">It is crucial to mention that the country of </w:t>
      </w:r>
      <w:r w:rsidR="00387FD8">
        <w:t xml:space="preserve">the </w:t>
      </w:r>
      <w:r w:rsidR="00DA4C2A">
        <w:t>USA ha</w:t>
      </w:r>
      <w:r w:rsidR="00387FD8">
        <w:t>s</w:t>
      </w:r>
      <w:r w:rsidR="00DA4C2A">
        <w:t xml:space="preserve"> the potential to successfully avail the </w:t>
      </w:r>
      <w:r w:rsidR="00D53D28">
        <w:t xml:space="preserve">domain of economic opportunities considering the overall economic approach of the country. </w:t>
      </w:r>
      <w:r w:rsidR="00212716">
        <w:t xml:space="preserve">The expanded form of different functioning industries in the country explicitly indicates that </w:t>
      </w:r>
      <w:r w:rsidR="00F65FF4">
        <w:t>stability and strength are two</w:t>
      </w:r>
      <w:r w:rsidR="00EC5E78">
        <w:t xml:space="preserve"> prominent features of the country’s economy. The economic sector </w:t>
      </w:r>
      <w:r w:rsidR="006472AC">
        <w:t>has</w:t>
      </w:r>
      <w:r w:rsidR="00EC5E78">
        <w:t xml:space="preserve"> the opportunity to achieve </w:t>
      </w:r>
      <w:r w:rsidR="00387FD8">
        <w:t>a</w:t>
      </w:r>
      <w:r w:rsidR="00EC5E78">
        <w:t xml:space="preserve"> high level of economic growth considering the </w:t>
      </w:r>
      <w:r w:rsidR="006472AC">
        <w:t>prospect of global business. The unemployment</w:t>
      </w:r>
      <w:r w:rsidR="00EC5E78">
        <w:t xml:space="preserve"> </w:t>
      </w:r>
      <w:r w:rsidR="006472AC">
        <w:t xml:space="preserve">rate of </w:t>
      </w:r>
      <w:r w:rsidR="00387FD8">
        <w:t xml:space="preserve">the </w:t>
      </w:r>
      <w:r w:rsidR="006472AC">
        <w:t>USA is the indication that it is stable as compare</w:t>
      </w:r>
      <w:r w:rsidR="00387FD8">
        <w:t>d</w:t>
      </w:r>
      <w:r w:rsidR="006472AC">
        <w:t xml:space="preserve"> to many countr</w:t>
      </w:r>
      <w:r w:rsidR="006D5DAA">
        <w:t>ies</w:t>
      </w:r>
      <w:r w:rsidR="006472AC">
        <w:t xml:space="preserve"> but still</w:t>
      </w:r>
      <w:r w:rsidR="00387FD8">
        <w:t>,</w:t>
      </w:r>
      <w:r w:rsidR="006472AC">
        <w:t xml:space="preserve"> there is </w:t>
      </w:r>
      <w:r w:rsidR="00387FD8">
        <w:t xml:space="preserve">a </w:t>
      </w:r>
      <w:r w:rsidR="006472AC">
        <w:t xml:space="preserve">need to create more job opportunities for the </w:t>
      </w:r>
      <w:r w:rsidR="007E6AE4">
        <w:t xml:space="preserve">labor force according to actual requirements of the country. </w:t>
      </w:r>
      <w:r w:rsidR="006D5DAA">
        <w:t>Existing main industries doing well as a large portion of human force associated with these business entities</w:t>
      </w:r>
      <w:r w:rsidR="00B70872">
        <w:t xml:space="preserve">. Expansion of business eventually </w:t>
      </w:r>
      <w:r w:rsidR="00721E71">
        <w:t xml:space="preserve">have the potential to </w:t>
      </w:r>
      <w:r w:rsidR="00B70872">
        <w:t>cause enhancement of</w:t>
      </w:r>
      <w:r w:rsidR="00F46DFE">
        <w:t xml:space="preserve"> proper operations of logistics</w:t>
      </w:r>
      <w:r w:rsidR="00721E71">
        <w:t xml:space="preserve"> in an effective manner.</w:t>
      </w:r>
      <w:bookmarkStart w:id="0" w:name="_GoBack"/>
      <w:bookmarkEnd w:id="0"/>
    </w:p>
    <w:p w14:paraId="321EF02C" w14:textId="77777777" w:rsidR="00387FD8" w:rsidRDefault="00387FD8">
      <w:pPr>
        <w:suppressAutoHyphens w:val="0"/>
      </w:pPr>
      <w:r>
        <w:br w:type="page"/>
      </w:r>
    </w:p>
    <w:p w14:paraId="2D23544A" w14:textId="77D0364F" w:rsidR="00135C6C" w:rsidRDefault="00387FD8" w:rsidP="00387FD8">
      <w:pPr>
        <w:ind w:firstLine="0"/>
        <w:jc w:val="center"/>
      </w:pPr>
      <w:r>
        <w:lastRenderedPageBreak/>
        <w:t>Works Cited</w:t>
      </w:r>
    </w:p>
    <w:p w14:paraId="0D9208F0" w14:textId="6E13C9EF" w:rsidR="006C095E" w:rsidRDefault="00AB02D9" w:rsidP="006C095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6C095E" w:rsidRPr="006C095E">
        <w:rPr>
          <w:rFonts w:ascii="Times New Roman" w:hAnsi="Times New Roman" w:cs="Times New Roman"/>
        </w:rPr>
        <w:t xml:space="preserve">The World Bank. “World Bank Open Data.” </w:t>
      </w:r>
      <w:r w:rsidR="006C095E" w:rsidRPr="006C095E">
        <w:rPr>
          <w:rFonts w:ascii="Times New Roman" w:hAnsi="Times New Roman" w:cs="Times New Roman"/>
          <w:i/>
          <w:iCs/>
        </w:rPr>
        <w:t>World Bank Group</w:t>
      </w:r>
      <w:r w:rsidR="006C095E" w:rsidRPr="006C095E">
        <w:rPr>
          <w:rFonts w:ascii="Times New Roman" w:hAnsi="Times New Roman" w:cs="Times New Roman"/>
        </w:rPr>
        <w:t>, 2019.</w:t>
      </w:r>
      <w:r w:rsidR="00BA2F16">
        <w:rPr>
          <w:rFonts w:ascii="Times New Roman" w:hAnsi="Times New Roman" w:cs="Times New Roman"/>
        </w:rPr>
        <w:t xml:space="preserve"> Retrieved from:</w:t>
      </w:r>
    </w:p>
    <w:p w14:paraId="0836CC4A" w14:textId="77C11F07" w:rsidR="00BA2F16" w:rsidRPr="00BA2F16" w:rsidRDefault="00A070BD" w:rsidP="00BA2F16">
      <w:hyperlink r:id="rId8" w:history="1">
        <w:r w:rsidR="001D2FBF">
          <w:rPr>
            <w:rStyle w:val="Hyperlink"/>
          </w:rPr>
          <w:t>https://data.worldbank.org/?CID=ECR_YT_WorldBank_EN_EXT</w:t>
        </w:r>
      </w:hyperlink>
    </w:p>
    <w:p w14:paraId="366D88EC" w14:textId="2EF1459E" w:rsidR="006C095E" w:rsidRDefault="006C095E" w:rsidP="006C095E">
      <w:pPr>
        <w:pStyle w:val="Bibliography"/>
        <w:rPr>
          <w:rFonts w:ascii="Times New Roman" w:hAnsi="Times New Roman" w:cs="Times New Roman"/>
        </w:rPr>
      </w:pPr>
      <w:r w:rsidRPr="006C095E">
        <w:rPr>
          <w:rFonts w:ascii="Times New Roman" w:hAnsi="Times New Roman" w:cs="Times New Roman"/>
        </w:rPr>
        <w:t xml:space="preserve">txtNation. “All Countries: List of Mobile Operators by Country.” </w:t>
      </w:r>
      <w:r w:rsidRPr="006C095E">
        <w:rPr>
          <w:rFonts w:ascii="Times New Roman" w:hAnsi="Times New Roman" w:cs="Times New Roman"/>
          <w:i/>
          <w:iCs/>
        </w:rPr>
        <w:t>Client.Txtnation.Com</w:t>
      </w:r>
      <w:r w:rsidRPr="006C095E">
        <w:rPr>
          <w:rFonts w:ascii="Times New Roman" w:hAnsi="Times New Roman" w:cs="Times New Roman"/>
        </w:rPr>
        <w:t>, 2019.</w:t>
      </w:r>
      <w:r w:rsidR="001D2FBF">
        <w:rPr>
          <w:rFonts w:ascii="Times New Roman" w:hAnsi="Times New Roman" w:cs="Times New Roman"/>
        </w:rPr>
        <w:t xml:space="preserve"> Retrieved from:</w:t>
      </w:r>
    </w:p>
    <w:p w14:paraId="7908995C" w14:textId="73D428DB" w:rsidR="001D2FBF" w:rsidRPr="001D2FBF" w:rsidRDefault="00A070BD" w:rsidP="00F45773">
      <w:pPr>
        <w:ind w:left="709" w:firstLine="11"/>
      </w:pPr>
      <w:hyperlink r:id="rId9" w:history="1">
        <w:r w:rsidR="002513EC">
          <w:rPr>
            <w:rStyle w:val="Hyperlink"/>
          </w:rPr>
          <w:t>https://clients.txtnation.com/hc/en-us/articles/218714228-All-Countries-List-Of-Mobile-Operators-By-Country-slow-loading-</w:t>
        </w:r>
      </w:hyperlink>
    </w:p>
    <w:p w14:paraId="09C06BB1" w14:textId="36387091" w:rsidR="00AB02D9" w:rsidRDefault="00AB02D9" w:rsidP="00AB02D9">
      <w:pPr>
        <w:ind w:firstLine="0"/>
      </w:pPr>
      <w:r>
        <w:fldChar w:fldCharType="end"/>
      </w:r>
    </w:p>
    <w:p w14:paraId="3DB21FD2" w14:textId="77777777" w:rsidR="00387FD8" w:rsidRPr="005B45A3" w:rsidRDefault="00387FD8" w:rsidP="00387FD8">
      <w:pPr>
        <w:ind w:firstLine="0"/>
      </w:pPr>
    </w:p>
    <w:sectPr w:rsidR="00387FD8" w:rsidRPr="005B45A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945C" w14:textId="77777777" w:rsidR="00A070BD" w:rsidRDefault="00A070BD">
      <w:pPr>
        <w:spacing w:line="240" w:lineRule="auto"/>
      </w:pPr>
      <w:r>
        <w:separator/>
      </w:r>
    </w:p>
  </w:endnote>
  <w:endnote w:type="continuationSeparator" w:id="0">
    <w:p w14:paraId="49C36A3F" w14:textId="77777777" w:rsidR="00A070BD" w:rsidRDefault="00A0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B6D6" w14:textId="77777777" w:rsidR="00A070BD" w:rsidRDefault="00A070BD">
      <w:pPr>
        <w:spacing w:line="240" w:lineRule="auto"/>
      </w:pPr>
      <w:r>
        <w:separator/>
      </w:r>
    </w:p>
  </w:footnote>
  <w:footnote w:type="continuationSeparator" w:id="0">
    <w:p w14:paraId="727EBEB7" w14:textId="77777777" w:rsidR="00A070BD" w:rsidRDefault="00A07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4D2F" w14:textId="77777777" w:rsidR="00E614DD" w:rsidRDefault="00A070BD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47AB" w14:textId="77777777" w:rsidR="00E614DD" w:rsidRDefault="00A070B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0NDY3MbcwMbSwNLJU0lEKTi0uzszPAykwqgUAhYevziwAAAA="/>
  </w:docVars>
  <w:rsids>
    <w:rsidRoot w:val="00F83220"/>
    <w:rsid w:val="00036BF6"/>
    <w:rsid w:val="00040CBB"/>
    <w:rsid w:val="000455D7"/>
    <w:rsid w:val="00067F00"/>
    <w:rsid w:val="000B78C8"/>
    <w:rsid w:val="00135C6C"/>
    <w:rsid w:val="001463B2"/>
    <w:rsid w:val="00172ACC"/>
    <w:rsid w:val="0017741C"/>
    <w:rsid w:val="00197BAF"/>
    <w:rsid w:val="001B6016"/>
    <w:rsid w:val="001C07EC"/>
    <w:rsid w:val="001C1912"/>
    <w:rsid w:val="001C3917"/>
    <w:rsid w:val="001D2FBF"/>
    <w:rsid w:val="001F62C0"/>
    <w:rsid w:val="00212716"/>
    <w:rsid w:val="002411C5"/>
    <w:rsid w:val="00245E02"/>
    <w:rsid w:val="002513EC"/>
    <w:rsid w:val="002740C7"/>
    <w:rsid w:val="002B6522"/>
    <w:rsid w:val="00316FC3"/>
    <w:rsid w:val="00353B66"/>
    <w:rsid w:val="0038017C"/>
    <w:rsid w:val="00387FD8"/>
    <w:rsid w:val="003D007D"/>
    <w:rsid w:val="003D2C3B"/>
    <w:rsid w:val="003F3B4D"/>
    <w:rsid w:val="00456604"/>
    <w:rsid w:val="004838D2"/>
    <w:rsid w:val="004A2675"/>
    <w:rsid w:val="004A5E5F"/>
    <w:rsid w:val="004D7371"/>
    <w:rsid w:val="004F7139"/>
    <w:rsid w:val="00513409"/>
    <w:rsid w:val="00536385"/>
    <w:rsid w:val="00566EE0"/>
    <w:rsid w:val="0057093C"/>
    <w:rsid w:val="005825B7"/>
    <w:rsid w:val="00590738"/>
    <w:rsid w:val="00591A68"/>
    <w:rsid w:val="005B45A3"/>
    <w:rsid w:val="005D0D71"/>
    <w:rsid w:val="005D18BC"/>
    <w:rsid w:val="006472AC"/>
    <w:rsid w:val="00667FD9"/>
    <w:rsid w:val="00691EC1"/>
    <w:rsid w:val="006C095E"/>
    <w:rsid w:val="006C7869"/>
    <w:rsid w:val="006D5DAA"/>
    <w:rsid w:val="006E7A74"/>
    <w:rsid w:val="007178FD"/>
    <w:rsid w:val="00721962"/>
    <w:rsid w:val="00721E71"/>
    <w:rsid w:val="00732CA2"/>
    <w:rsid w:val="00746E48"/>
    <w:rsid w:val="0074747D"/>
    <w:rsid w:val="007B179B"/>
    <w:rsid w:val="007C53FB"/>
    <w:rsid w:val="007E6AE4"/>
    <w:rsid w:val="00843063"/>
    <w:rsid w:val="00897D1B"/>
    <w:rsid w:val="00897D35"/>
    <w:rsid w:val="008B7D18"/>
    <w:rsid w:val="008F1F97"/>
    <w:rsid w:val="008F4052"/>
    <w:rsid w:val="00986DEA"/>
    <w:rsid w:val="009D4EB3"/>
    <w:rsid w:val="00A02ECA"/>
    <w:rsid w:val="00A070BD"/>
    <w:rsid w:val="00AA40E5"/>
    <w:rsid w:val="00AB02D9"/>
    <w:rsid w:val="00AC4204"/>
    <w:rsid w:val="00B13D1B"/>
    <w:rsid w:val="00B16B62"/>
    <w:rsid w:val="00B70872"/>
    <w:rsid w:val="00B818DF"/>
    <w:rsid w:val="00BA2F16"/>
    <w:rsid w:val="00BF565A"/>
    <w:rsid w:val="00C613B9"/>
    <w:rsid w:val="00C63DC1"/>
    <w:rsid w:val="00CE2302"/>
    <w:rsid w:val="00CF0E99"/>
    <w:rsid w:val="00D52117"/>
    <w:rsid w:val="00D53D28"/>
    <w:rsid w:val="00D62F70"/>
    <w:rsid w:val="00D74F8D"/>
    <w:rsid w:val="00DA4C2A"/>
    <w:rsid w:val="00DB0D39"/>
    <w:rsid w:val="00E14005"/>
    <w:rsid w:val="00E4320C"/>
    <w:rsid w:val="00E441D8"/>
    <w:rsid w:val="00E614DD"/>
    <w:rsid w:val="00E627B4"/>
    <w:rsid w:val="00EC5E78"/>
    <w:rsid w:val="00F021E6"/>
    <w:rsid w:val="00F45773"/>
    <w:rsid w:val="00F46CC9"/>
    <w:rsid w:val="00F46DFE"/>
    <w:rsid w:val="00F65FF4"/>
    <w:rsid w:val="00F7459F"/>
    <w:rsid w:val="00F83220"/>
    <w:rsid w:val="00F9444C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58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0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worldbank.org/?CID=ECR_YT_WorldBank_EN_EX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ients.txtnation.com/hc/en-us/articles/218714228-All-Countries-List-Of-Mobile-Operators-By-Country-slow-loading-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845582"/>
    <w:rsid w:val="00CE0510"/>
    <w:rsid w:val="00EA3229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2019-08-02T07:52:00Z</dcterms:created>
  <dcterms:modified xsi:type="dcterms:W3CDTF">2019-08-02T07:52:00Z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id="oqljWXIG"/&gt;&lt;style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