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8EEF" w14:textId="77777777" w:rsidR="00E81978" w:rsidRDefault="006577F4">
      <w:pPr>
        <w:pStyle w:val="Title"/>
      </w:pPr>
      <w:sdt>
        <w:sdtPr>
          <w:rPr>
            <w:rFonts w:ascii="Times New Roman" w:eastAsia="Calibri" w:hAnsi="Times New Roman" w:cs="Times New Roman"/>
            <w:noProof/>
            <w:kern w:val="0"/>
            <w:lang w:eastAsia="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56C9">
            <w:rPr>
              <w:rFonts w:ascii="Times New Roman" w:eastAsia="Calibri" w:hAnsi="Times New Roman" w:cs="Times New Roman"/>
              <w:noProof/>
              <w:kern w:val="0"/>
              <w:lang w:eastAsia="en-US"/>
            </w:rPr>
            <w:t xml:space="preserve">Lesson Plan: </w:t>
          </w:r>
          <w:r w:rsidR="0014074E" w:rsidRPr="00F46D6E">
            <w:rPr>
              <w:rFonts w:ascii="Times New Roman" w:eastAsia="Calibri" w:hAnsi="Times New Roman" w:cs="Times New Roman"/>
              <w:noProof/>
              <w:kern w:val="0"/>
              <w:lang w:eastAsia="en-US"/>
            </w:rPr>
            <w:t>Nuggets of a Dynamic Business Structure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1D8294A" w14:textId="77777777" w:rsidR="00B823AA" w:rsidRDefault="0014074E" w:rsidP="00B823AA">
          <w:pPr>
            <w:pStyle w:val="Title2"/>
          </w:pPr>
          <w:r>
            <w:t>[Author Name(s), First M. Last, Omit Titles and Degrees]</w:t>
          </w:r>
        </w:p>
      </w:sdtContent>
    </w:sdt>
    <w:p w14:paraId="2CB4B3C8" w14:textId="77777777" w:rsidR="00E81978" w:rsidRDefault="006577F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2B61C677" w14:textId="77777777" w:rsidR="00C04FEA" w:rsidRDefault="00C04FEA" w:rsidP="00C04FEA">
      <w:pPr>
        <w:ind w:firstLine="0"/>
        <w:rPr>
          <w:rFonts w:asciiTheme="majorHAnsi" w:eastAsiaTheme="majorEastAsia" w:hAnsiTheme="majorHAnsi" w:cstheme="majorBidi"/>
        </w:rPr>
      </w:pPr>
    </w:p>
    <w:p w14:paraId="61078FA8" w14:textId="77777777" w:rsidR="001D14E2" w:rsidRDefault="001D14E2" w:rsidP="00C04FEA">
      <w:pPr>
        <w:ind w:firstLine="0"/>
        <w:rPr>
          <w:rFonts w:asciiTheme="majorHAnsi" w:eastAsiaTheme="majorEastAsia" w:hAnsiTheme="majorHAnsi" w:cstheme="majorBidi"/>
        </w:rPr>
      </w:pPr>
    </w:p>
    <w:p w14:paraId="7A1F045B" w14:textId="77777777" w:rsidR="00DC4C70" w:rsidRDefault="00DC4C70" w:rsidP="00C04FEA">
      <w:pPr>
        <w:ind w:firstLine="0"/>
        <w:rPr>
          <w:rFonts w:asciiTheme="majorHAnsi" w:eastAsiaTheme="majorEastAsia" w:hAnsiTheme="majorHAnsi" w:cstheme="majorBidi"/>
        </w:rPr>
      </w:pPr>
    </w:p>
    <w:p w14:paraId="12F71F95" w14:textId="77777777" w:rsidR="00DC4C70" w:rsidRDefault="00DC4C70" w:rsidP="00C04FEA">
      <w:pPr>
        <w:ind w:firstLine="0"/>
        <w:rPr>
          <w:rFonts w:asciiTheme="majorHAnsi" w:eastAsiaTheme="majorEastAsia" w:hAnsiTheme="majorHAnsi" w:cstheme="majorBidi"/>
        </w:rPr>
      </w:pPr>
    </w:p>
    <w:p w14:paraId="2D8348CF" w14:textId="77777777" w:rsidR="00DC4C70" w:rsidRDefault="00DC4C70" w:rsidP="00DC4C70">
      <w:pPr>
        <w:ind w:firstLine="0"/>
        <w:jc w:val="center"/>
        <w:rPr>
          <w:rFonts w:asciiTheme="majorHAnsi" w:eastAsiaTheme="majorEastAsia" w:hAnsiTheme="majorHAnsi" w:cstheme="majorBidi"/>
        </w:rPr>
      </w:pPr>
    </w:p>
    <w:p w14:paraId="208CF116" w14:textId="77777777" w:rsidR="00DC4C70" w:rsidRDefault="00DC4C70" w:rsidP="00DC4C70">
      <w:pPr>
        <w:ind w:firstLine="0"/>
        <w:jc w:val="center"/>
        <w:rPr>
          <w:rFonts w:asciiTheme="majorHAnsi" w:eastAsiaTheme="majorEastAsia" w:hAnsiTheme="majorHAnsi" w:cstheme="majorBidi"/>
        </w:rPr>
      </w:pPr>
      <w:r>
        <w:rPr>
          <w:rFonts w:asciiTheme="majorHAnsi" w:eastAsiaTheme="majorEastAsia" w:hAnsiTheme="majorHAnsi" w:cstheme="majorBidi"/>
        </w:rPr>
        <w:t>Author Note</w:t>
      </w:r>
    </w:p>
    <w:p w14:paraId="5A09A232" w14:textId="77777777" w:rsidR="001D14E2" w:rsidRDefault="001D14E2" w:rsidP="00C04FEA">
      <w:pPr>
        <w:ind w:firstLine="0"/>
        <w:rPr>
          <w:rFonts w:asciiTheme="majorHAnsi" w:eastAsiaTheme="majorEastAsia" w:hAnsiTheme="majorHAnsi" w:cstheme="majorBidi"/>
        </w:rPr>
      </w:pPr>
    </w:p>
    <w:p w14:paraId="3EA043C3" w14:textId="77777777" w:rsidR="001D14E2" w:rsidRDefault="001D14E2" w:rsidP="00C04FEA">
      <w:pPr>
        <w:ind w:firstLine="0"/>
        <w:rPr>
          <w:rFonts w:asciiTheme="majorHAnsi" w:eastAsiaTheme="majorEastAsia" w:hAnsiTheme="majorHAnsi" w:cstheme="majorBidi"/>
        </w:rPr>
      </w:pPr>
    </w:p>
    <w:p w14:paraId="25546363" w14:textId="77777777" w:rsidR="00C04FEA" w:rsidRDefault="00C04FEA" w:rsidP="00C04FEA">
      <w:pPr>
        <w:ind w:firstLine="0"/>
        <w:rPr>
          <w:rFonts w:asciiTheme="majorHAnsi" w:eastAsiaTheme="majorEastAsia" w:hAnsiTheme="majorHAnsi" w:cstheme="majorBidi"/>
        </w:rPr>
      </w:pPr>
    </w:p>
    <w:p w14:paraId="317594BF" w14:textId="77777777" w:rsidR="00C04FEA" w:rsidRDefault="00C04FEA" w:rsidP="00C04FEA">
      <w:pPr>
        <w:ind w:firstLine="0"/>
        <w:rPr>
          <w:rFonts w:asciiTheme="majorHAnsi" w:eastAsiaTheme="majorEastAsia" w:hAnsiTheme="majorHAnsi" w:cstheme="majorBidi"/>
        </w:rPr>
      </w:pPr>
    </w:p>
    <w:p w14:paraId="06D83DAE" w14:textId="77777777" w:rsidR="00C04FEA" w:rsidRDefault="00C04FEA" w:rsidP="00C04FEA">
      <w:pPr>
        <w:ind w:firstLine="0"/>
        <w:rPr>
          <w:rFonts w:asciiTheme="majorHAnsi" w:eastAsiaTheme="majorEastAsia" w:hAnsiTheme="majorHAnsi" w:cstheme="majorBidi"/>
        </w:rPr>
      </w:pPr>
    </w:p>
    <w:p w14:paraId="30C2EAF8" w14:textId="77777777" w:rsidR="00C04FEA" w:rsidRDefault="00C04FEA" w:rsidP="00C04FEA">
      <w:pPr>
        <w:ind w:firstLine="0"/>
        <w:rPr>
          <w:rFonts w:asciiTheme="majorHAnsi" w:eastAsiaTheme="majorEastAsia" w:hAnsiTheme="majorHAnsi" w:cstheme="majorBidi"/>
        </w:rPr>
      </w:pPr>
    </w:p>
    <w:p w14:paraId="40BCECC2" w14:textId="77777777" w:rsidR="00C04FEA" w:rsidRDefault="00C04FEA" w:rsidP="00C04FEA">
      <w:pPr>
        <w:ind w:firstLine="0"/>
        <w:rPr>
          <w:rFonts w:asciiTheme="majorHAnsi" w:eastAsiaTheme="majorEastAsia" w:hAnsiTheme="majorHAnsi" w:cstheme="majorBidi"/>
        </w:rPr>
      </w:pPr>
    </w:p>
    <w:p w14:paraId="2AD39EF3" w14:textId="77777777" w:rsidR="00C04FEA" w:rsidRDefault="00C04FEA" w:rsidP="00C04FEA">
      <w:pPr>
        <w:ind w:firstLine="0"/>
        <w:rPr>
          <w:rFonts w:asciiTheme="majorHAnsi" w:eastAsiaTheme="majorEastAsia" w:hAnsiTheme="majorHAnsi" w:cstheme="majorBidi"/>
        </w:rPr>
      </w:pPr>
    </w:p>
    <w:p w14:paraId="1385AD44" w14:textId="77777777" w:rsidR="00C04FEA" w:rsidRDefault="00C04FEA" w:rsidP="00C04FEA">
      <w:pPr>
        <w:ind w:firstLine="0"/>
        <w:rPr>
          <w:rFonts w:asciiTheme="majorHAnsi" w:eastAsiaTheme="majorEastAsia" w:hAnsiTheme="majorHAnsi" w:cstheme="majorBidi"/>
        </w:rPr>
      </w:pPr>
    </w:p>
    <w:p w14:paraId="0A54CD24" w14:textId="77777777" w:rsidR="00C04FEA" w:rsidRDefault="00C04FEA" w:rsidP="00C04FEA">
      <w:pPr>
        <w:ind w:firstLine="0"/>
        <w:rPr>
          <w:rFonts w:asciiTheme="majorHAnsi" w:eastAsiaTheme="majorEastAsia" w:hAnsiTheme="majorHAnsi" w:cstheme="majorBidi"/>
        </w:rPr>
      </w:pPr>
    </w:p>
    <w:p w14:paraId="724EA3D5" w14:textId="77777777" w:rsidR="00EF56C9" w:rsidRPr="0000130F" w:rsidRDefault="006577F4" w:rsidP="00EF56C9">
      <w:pPr>
        <w:pStyle w:val="Title"/>
      </w:pPr>
      <w:sdt>
        <w:sdtPr>
          <w:rPr>
            <w:rFonts w:ascii="Times New Roman" w:eastAsia="Calibri" w:hAnsi="Times New Roman" w:cs="Times New Roman"/>
            <w:noProof/>
            <w:kern w:val="0"/>
            <w:lang w:eastAsia="en-US"/>
          </w:rPr>
          <w:alias w:val="Title:"/>
          <w:tag w:val="Title:"/>
          <w:id w:val="-1716879960"/>
          <w:placeholder>
            <w:docPart w:val="27BE0A2F7CAD4CA2B6750B971844E2F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F56C9" w:rsidRPr="0000130F">
            <w:rPr>
              <w:rFonts w:ascii="Times New Roman" w:eastAsia="Calibri" w:hAnsi="Times New Roman" w:cs="Times New Roman"/>
              <w:noProof/>
              <w:kern w:val="0"/>
              <w:lang w:eastAsia="en-US"/>
            </w:rPr>
            <w:t>Lesson Plan: Nuggets of a Dynamic Business Structure</w:t>
          </w:r>
        </w:sdtContent>
      </w:sdt>
    </w:p>
    <w:p w14:paraId="4DF026B4" w14:textId="77777777" w:rsidR="00F46D6E" w:rsidRPr="0000130F" w:rsidRDefault="0014074E" w:rsidP="0000130F">
      <w:pPr>
        <w:ind w:firstLine="0"/>
        <w:jc w:val="center"/>
        <w:rPr>
          <w:rFonts w:ascii="Times New Roman" w:hAnsi="Times New Roman" w:cs="Times New Roman"/>
          <w:b/>
        </w:rPr>
      </w:pPr>
      <w:r w:rsidRPr="0000130F">
        <w:rPr>
          <w:rFonts w:ascii="Times New Roman" w:hAnsi="Times New Roman" w:cs="Times New Roman"/>
          <w:b/>
        </w:rPr>
        <w:t>Definition of Business</w:t>
      </w:r>
    </w:p>
    <w:p w14:paraId="110998D7" w14:textId="77777777" w:rsidR="00F46D6E" w:rsidRDefault="0014074E" w:rsidP="0000130F">
      <w:pPr>
        <w:jc w:val="both"/>
        <w:rPr>
          <w:rFonts w:ascii="Times New Roman" w:hAnsi="Times New Roman" w:cs="Times New Roman"/>
        </w:rPr>
      </w:pPr>
      <w:r>
        <w:rPr>
          <w:rFonts w:ascii="Times New Roman" w:hAnsi="Times New Roman" w:cs="Times New Roman"/>
        </w:rPr>
        <w:t xml:space="preserve">Under </w:t>
      </w:r>
      <w:r w:rsidR="009927BB">
        <w:rPr>
          <w:rFonts w:ascii="Times New Roman" w:hAnsi="Times New Roman" w:cs="Times New Roman"/>
        </w:rPr>
        <w:t xml:space="preserve">the </w:t>
      </w:r>
      <w:r>
        <w:rPr>
          <w:rFonts w:ascii="Times New Roman" w:hAnsi="Times New Roman" w:cs="Times New Roman"/>
        </w:rPr>
        <w:t xml:space="preserve">Business Law, a </w:t>
      </w:r>
      <w:r w:rsidRPr="003F09EF">
        <w:rPr>
          <w:rFonts w:ascii="Times New Roman" w:hAnsi="Times New Roman" w:cs="Times New Roman"/>
        </w:rPr>
        <w:t>business is termed as a legal practice that comprises of activities such as the production of goods, purchas</w:t>
      </w:r>
      <w:r w:rsidR="001C7BA2">
        <w:rPr>
          <w:rFonts w:ascii="Times New Roman" w:hAnsi="Times New Roman" w:cs="Times New Roman"/>
        </w:rPr>
        <w:t xml:space="preserve">e and </w:t>
      </w:r>
      <w:r w:rsidRPr="003F09EF">
        <w:rPr>
          <w:rFonts w:ascii="Times New Roman" w:hAnsi="Times New Roman" w:cs="Times New Roman"/>
        </w:rPr>
        <w:t>dissemination of products or rendering services by engaging</w:t>
      </w:r>
      <w:r w:rsidR="001C7BA2">
        <w:rPr>
          <w:rFonts w:ascii="Times New Roman" w:hAnsi="Times New Roman" w:cs="Times New Roman"/>
        </w:rPr>
        <w:t xml:space="preserve"> an</w:t>
      </w:r>
      <w:r w:rsidRPr="003F09EF">
        <w:rPr>
          <w:rFonts w:ascii="Times New Roman" w:hAnsi="Times New Roman" w:cs="Times New Roman"/>
        </w:rPr>
        <w:t xml:space="preserve"> individual or a group of individuals with an aim to earn profits along with the drive of satisfying the consumers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{"citationID":"FU11BtJM","properties":{"formattedCitation":"(Needle, 2010)","plainCitation":"(Needle, 2010)","noteIndex":0},"citationItems":[{"id":78,"uris":["http://zotero.org/users/local/2y0xTiQs/items/GP4RHYKE"],"uri":["http://zotero.org/users/local/2y0xTiQs/items/GP4RHYKE"],"itemData":{"id":78,"type":"book","edition":"5th ed","event-place":"Andover","ISBN":"978-1-84480-613-3","language":"en","number-of-pages":"578","publisher":"Cengage Learning","publisher-place":"Andover","source":"Gemeinsamer Bibliotheksverbund ISBN","title":"Business in context: an introduction to business and its environment","title-short":"Business in context","author":[{"family":"Needle","given":"David"}],"issued":{"date-parts":[["2010"]]}}}],"schema":"https://github.com/citation-style-language/schema/raw/master/csl-citation.json"} </w:instrText>
      </w:r>
      <w:r>
        <w:rPr>
          <w:rFonts w:ascii="Times New Roman" w:hAnsi="Times New Roman" w:cs="Times New Roman"/>
        </w:rPr>
        <w:fldChar w:fldCharType="separate"/>
      </w:r>
      <w:r w:rsidRPr="00F46D6E">
        <w:rPr>
          <w:rFonts w:ascii="Times New Roman" w:hAnsi="Times New Roman" w:cs="Times New Roman"/>
        </w:rPr>
        <w:t>(Needle, 2010)</w:t>
      </w:r>
      <w:r>
        <w:rPr>
          <w:rFonts w:ascii="Times New Roman" w:hAnsi="Times New Roman" w:cs="Times New Roman"/>
        </w:rPr>
        <w:fldChar w:fldCharType="end"/>
      </w:r>
      <w:r w:rsidRPr="003F09EF">
        <w:rPr>
          <w:rFonts w:ascii="Times New Roman" w:hAnsi="Times New Roman" w:cs="Times New Roman"/>
        </w:rPr>
        <w:t xml:space="preserve">. </w:t>
      </w:r>
    </w:p>
    <w:p w14:paraId="38393497" w14:textId="77777777" w:rsidR="00F46D6E" w:rsidRPr="0000130F" w:rsidRDefault="0014074E" w:rsidP="0000130F">
      <w:pPr>
        <w:ind w:firstLine="0"/>
        <w:jc w:val="center"/>
        <w:rPr>
          <w:rFonts w:asciiTheme="majorHAnsi" w:eastAsiaTheme="majorEastAsia" w:hAnsiTheme="majorHAnsi" w:cstheme="majorBidi"/>
          <w:b/>
          <w:bCs/>
        </w:rPr>
      </w:pPr>
      <w:r w:rsidRPr="0000130F">
        <w:rPr>
          <w:rFonts w:asciiTheme="majorHAnsi" w:eastAsiaTheme="majorEastAsia" w:hAnsiTheme="majorHAnsi" w:cstheme="majorBidi"/>
          <w:b/>
          <w:bCs/>
        </w:rPr>
        <w:t>Types of Business</w:t>
      </w:r>
    </w:p>
    <w:p w14:paraId="05A35F73" w14:textId="77777777" w:rsidR="00F46D6E" w:rsidRDefault="0014074E" w:rsidP="009927BB">
      <w:pPr>
        <w:jc w:val="both"/>
      </w:pPr>
      <w:r>
        <w:t>Depending on the nature and scope of the organizational operations, the business entities are categorized into four different legitimate forms:</w:t>
      </w:r>
    </w:p>
    <w:p w14:paraId="6791630A" w14:textId="77777777" w:rsidR="00F46D6E" w:rsidRPr="0000130F" w:rsidRDefault="0014074E" w:rsidP="0000130F">
      <w:pPr>
        <w:spacing w:after="160"/>
        <w:ind w:firstLine="0"/>
        <w:jc w:val="both"/>
        <w:rPr>
          <w:rFonts w:eastAsiaTheme="minorHAnsi"/>
          <w:b/>
        </w:rPr>
      </w:pPr>
      <w:r w:rsidRPr="0000130F">
        <w:rPr>
          <w:rFonts w:ascii="Times New Roman" w:eastAsia="Calibri" w:hAnsi="Times New Roman" w:cs="Times New Roman"/>
          <w:b/>
          <w:noProof/>
        </w:rPr>
        <w:t>Sole Proprietorship</w:t>
      </w:r>
    </w:p>
    <w:p w14:paraId="4F91738A" w14:textId="77777777" w:rsidR="00F46D6E" w:rsidRPr="0000130F" w:rsidRDefault="0014074E" w:rsidP="0000130F">
      <w:pPr>
        <w:ind w:firstLine="360"/>
        <w:jc w:val="both"/>
        <w:rPr>
          <w:rFonts w:ascii="Times New Roman" w:eastAsia="Calibri" w:hAnsi="Times New Roman" w:cs="Times New Roman"/>
          <w:noProof/>
        </w:rPr>
      </w:pPr>
      <w:r w:rsidRPr="0000130F">
        <w:rPr>
          <w:rFonts w:ascii="Times New Roman" w:eastAsia="Calibri" w:hAnsi="Times New Roman" w:cs="Times New Roman"/>
          <w:noProof/>
        </w:rPr>
        <w:t>The form of business which is solely run by an individual.</w:t>
      </w:r>
      <w:r w:rsidR="00CB1CA3" w:rsidRPr="0000130F">
        <w:rPr>
          <w:rFonts w:ascii="Times New Roman" w:eastAsia="Calibri" w:hAnsi="Times New Roman" w:cs="Times New Roman"/>
          <w:noProof/>
        </w:rPr>
        <w:t xml:space="preserve"> </w:t>
      </w:r>
      <w:r w:rsidRPr="0000130F">
        <w:rPr>
          <w:rFonts w:ascii="Times New Roman" w:eastAsia="Calibri" w:hAnsi="Times New Roman" w:cs="Times New Roman"/>
          <w:noProof/>
        </w:rPr>
        <w:t xml:space="preserve">The sole proprietors own the equity and the profits earned and are liable for the debts and expenses incurred by the trade. This form of business is not considered as a legal entity and the owner and the business </w:t>
      </w:r>
      <w:r w:rsidR="001C7BA2">
        <w:rPr>
          <w:rFonts w:ascii="Times New Roman" w:eastAsia="Calibri" w:hAnsi="Times New Roman" w:cs="Times New Roman"/>
          <w:noProof/>
        </w:rPr>
        <w:t>are</w:t>
      </w:r>
      <w:r w:rsidRPr="0000130F">
        <w:rPr>
          <w:rFonts w:ascii="Times New Roman" w:eastAsia="Calibri" w:hAnsi="Times New Roman" w:cs="Times New Roman"/>
          <w:noProof/>
        </w:rPr>
        <w:t xml:space="preserve"> non-separab</w:t>
      </w:r>
      <w:r w:rsidR="00CB1CA3" w:rsidRPr="0000130F">
        <w:rPr>
          <w:rFonts w:ascii="Times New Roman" w:eastAsia="Calibri" w:hAnsi="Times New Roman" w:cs="Times New Roman"/>
          <w:noProof/>
        </w:rPr>
        <w:t xml:space="preserve">le </w:t>
      </w:r>
      <w:r w:rsidR="000D7229" w:rsidRPr="0000130F">
        <w:rPr>
          <w:rFonts w:ascii="Times New Roman" w:eastAsia="Calibri" w:hAnsi="Times New Roman" w:cs="Times New Roman"/>
          <w:noProof/>
        </w:rPr>
        <w:t>(Nithman, 2015)</w:t>
      </w:r>
      <w:r w:rsidRPr="0000130F">
        <w:rPr>
          <w:rFonts w:ascii="Times New Roman" w:eastAsia="Calibri" w:hAnsi="Times New Roman" w:cs="Times New Roman"/>
          <w:noProof/>
        </w:rPr>
        <w:t xml:space="preserve">. </w:t>
      </w:r>
    </w:p>
    <w:p w14:paraId="1A0A471B" w14:textId="77777777" w:rsidR="00F46D6E" w:rsidRPr="0000130F" w:rsidRDefault="0014074E" w:rsidP="0000130F">
      <w:pPr>
        <w:spacing w:after="160"/>
        <w:ind w:firstLine="0"/>
        <w:jc w:val="both"/>
        <w:rPr>
          <w:rFonts w:ascii="Times New Roman" w:eastAsia="Calibri" w:hAnsi="Times New Roman" w:cs="Times New Roman"/>
          <w:b/>
          <w:noProof/>
        </w:rPr>
      </w:pPr>
      <w:r w:rsidRPr="0000130F">
        <w:rPr>
          <w:rFonts w:ascii="Times New Roman" w:eastAsia="Calibri" w:hAnsi="Times New Roman" w:cs="Times New Roman"/>
          <w:b/>
          <w:noProof/>
        </w:rPr>
        <w:t xml:space="preserve">Partnership </w:t>
      </w:r>
    </w:p>
    <w:p w14:paraId="1756A5B6" w14:textId="77777777" w:rsidR="00C04FEA" w:rsidRPr="0000130F" w:rsidRDefault="0014074E" w:rsidP="0000130F">
      <w:pPr>
        <w:jc w:val="both"/>
        <w:rPr>
          <w:rFonts w:ascii="Times New Roman" w:eastAsia="Calibri" w:hAnsi="Times New Roman" w:cs="Times New Roman"/>
          <w:noProof/>
        </w:rPr>
      </w:pPr>
      <w:r w:rsidRPr="0000130F">
        <w:rPr>
          <w:rFonts w:ascii="Times New Roman" w:eastAsia="Calibri" w:hAnsi="Times New Roman" w:cs="Times New Roman"/>
          <w:noProof/>
        </w:rPr>
        <w:t xml:space="preserve">An association among two or more individuals that participate in business to raise mutual benefits </w:t>
      </w:r>
      <w:r w:rsidR="00CB1CA3" w:rsidRPr="0000130F">
        <w:rPr>
          <w:rFonts w:ascii="Times New Roman" w:eastAsia="Calibri" w:hAnsi="Times New Roman" w:cs="Times New Roman"/>
          <w:noProof/>
        </w:rPr>
        <w:t>(</w:t>
      </w:r>
      <w:r w:rsidRPr="0000130F">
        <w:rPr>
          <w:rFonts w:ascii="Times New Roman" w:eastAsia="Calibri" w:hAnsi="Times New Roman" w:cs="Times New Roman"/>
          <w:noProof/>
        </w:rPr>
        <w:t>wealth</w:t>
      </w:r>
      <w:r w:rsidR="00CB1CA3" w:rsidRPr="0000130F">
        <w:rPr>
          <w:rFonts w:ascii="Times New Roman" w:eastAsia="Calibri" w:hAnsi="Times New Roman" w:cs="Times New Roman"/>
          <w:noProof/>
        </w:rPr>
        <w:t>)</w:t>
      </w:r>
      <w:r w:rsidRPr="0000130F">
        <w:rPr>
          <w:rFonts w:ascii="Times New Roman" w:eastAsia="Calibri" w:hAnsi="Times New Roman" w:cs="Times New Roman"/>
          <w:noProof/>
        </w:rPr>
        <w:t xml:space="preserve"> which is then shared amongst the partners on a contracted proportion</w:t>
      </w:r>
      <w:r w:rsidR="00CB1CA3" w:rsidRPr="0000130F">
        <w:rPr>
          <w:rFonts w:ascii="Times New Roman" w:eastAsia="Calibri" w:hAnsi="Times New Roman" w:cs="Times New Roman"/>
          <w:noProof/>
        </w:rPr>
        <w:t xml:space="preserve">. </w:t>
      </w:r>
      <w:r w:rsidRPr="0000130F">
        <w:rPr>
          <w:rFonts w:ascii="Times New Roman" w:eastAsia="Calibri" w:hAnsi="Times New Roman" w:cs="Times New Roman"/>
          <w:noProof/>
        </w:rPr>
        <w:t>This type of business obliges the partners to sign a</w:t>
      </w:r>
      <w:r w:rsidR="00CB1CA3" w:rsidRPr="0000130F">
        <w:rPr>
          <w:rFonts w:ascii="Times New Roman" w:eastAsia="Calibri" w:hAnsi="Times New Roman" w:cs="Times New Roman"/>
          <w:noProof/>
        </w:rPr>
        <w:t xml:space="preserve"> legal</w:t>
      </w:r>
      <w:r w:rsidRPr="0000130F">
        <w:rPr>
          <w:rFonts w:ascii="Times New Roman" w:eastAsia="Calibri" w:hAnsi="Times New Roman" w:cs="Times New Roman"/>
          <w:noProof/>
        </w:rPr>
        <w:t xml:space="preserve"> agreement to engage in a business activity entailing the details of business name, </w:t>
      </w:r>
      <w:r w:rsidR="00CB1CA3" w:rsidRPr="0000130F">
        <w:rPr>
          <w:rFonts w:ascii="Times New Roman" w:eastAsia="Calibri" w:hAnsi="Times New Roman" w:cs="Times New Roman"/>
          <w:noProof/>
        </w:rPr>
        <w:t>period</w:t>
      </w:r>
      <w:r w:rsidRPr="0000130F">
        <w:rPr>
          <w:rFonts w:ascii="Times New Roman" w:eastAsia="Calibri" w:hAnsi="Times New Roman" w:cs="Times New Roman"/>
          <w:noProof/>
        </w:rPr>
        <w:t xml:space="preserve">, capital from the partners, </w:t>
      </w:r>
      <w:r w:rsidR="00CB1CA3" w:rsidRPr="0000130F">
        <w:rPr>
          <w:rFonts w:ascii="Times New Roman" w:eastAsia="Calibri" w:hAnsi="Times New Roman" w:cs="Times New Roman"/>
          <w:noProof/>
        </w:rPr>
        <w:t>and their share</w:t>
      </w:r>
      <w:r w:rsidRPr="0000130F">
        <w:rPr>
          <w:rFonts w:ascii="Times New Roman" w:eastAsia="Calibri" w:hAnsi="Times New Roman" w:cs="Times New Roman"/>
          <w:noProof/>
        </w:rPr>
        <w:t>, etc</w:t>
      </w:r>
      <w:r w:rsidR="00CB1CA3" w:rsidRPr="0000130F">
        <w:rPr>
          <w:rFonts w:ascii="Times New Roman" w:eastAsia="Calibri" w:hAnsi="Times New Roman" w:cs="Times New Roman"/>
          <w:noProof/>
        </w:rPr>
        <w:t xml:space="preserve">., </w:t>
      </w:r>
      <w:r w:rsidRPr="0000130F">
        <w:rPr>
          <w:rFonts w:ascii="Times New Roman" w:eastAsia="Calibri" w:hAnsi="Times New Roman" w:cs="Times New Roman"/>
          <w:noProof/>
        </w:rPr>
        <w:t xml:space="preserve">but it is not considered as a legal entity. </w:t>
      </w:r>
    </w:p>
    <w:p w14:paraId="721FF4DB" w14:textId="77777777" w:rsidR="0000130F" w:rsidRDefault="0014074E" w:rsidP="0000130F">
      <w:pPr>
        <w:spacing w:after="160"/>
        <w:ind w:firstLine="0"/>
        <w:jc w:val="both"/>
        <w:rPr>
          <w:rFonts w:ascii="Times New Roman" w:eastAsia="Calibri" w:hAnsi="Times New Roman" w:cs="Times New Roman"/>
          <w:b/>
          <w:noProof/>
        </w:rPr>
      </w:pPr>
      <w:r w:rsidRPr="0000130F">
        <w:rPr>
          <w:rFonts w:ascii="Times New Roman" w:eastAsia="Calibri" w:hAnsi="Times New Roman" w:cs="Times New Roman"/>
          <w:b/>
          <w:noProof/>
        </w:rPr>
        <w:t xml:space="preserve">Limited Liability Company </w:t>
      </w:r>
    </w:p>
    <w:p w14:paraId="4F01692C" w14:textId="77777777" w:rsidR="00F46D6E" w:rsidRPr="0000130F" w:rsidRDefault="0014074E" w:rsidP="0000130F">
      <w:pPr>
        <w:spacing w:after="160"/>
        <w:ind w:firstLine="360"/>
        <w:jc w:val="both"/>
        <w:rPr>
          <w:rFonts w:ascii="Times New Roman" w:eastAsia="Calibri" w:hAnsi="Times New Roman" w:cs="Times New Roman"/>
          <w:b/>
          <w:noProof/>
        </w:rPr>
      </w:pPr>
      <w:r w:rsidRPr="0000130F">
        <w:rPr>
          <w:rFonts w:ascii="Times New Roman" w:eastAsia="Calibri" w:hAnsi="Times New Roman" w:cs="Times New Roman"/>
          <w:noProof/>
        </w:rPr>
        <w:lastRenderedPageBreak/>
        <w:t xml:space="preserve">A form of business that is legally entitled to do business, separate from the individual </w:t>
      </w:r>
      <w:r>
        <w:t xml:space="preserve">proprietors. Such companies are required to be registered with </w:t>
      </w:r>
      <w:r w:rsidR="00CB1CA3">
        <w:t>the Corporate Affairs Commission</w:t>
      </w:r>
      <w:r>
        <w:t xml:space="preserve"> and the Memorandum and Articles of Association.</w:t>
      </w:r>
    </w:p>
    <w:p w14:paraId="042CA151" w14:textId="77777777" w:rsidR="00F46D6E" w:rsidRPr="0000130F" w:rsidRDefault="0014074E" w:rsidP="0000130F">
      <w:pPr>
        <w:spacing w:after="160"/>
        <w:ind w:firstLine="0"/>
        <w:jc w:val="both"/>
        <w:rPr>
          <w:rFonts w:ascii="Times New Roman" w:eastAsia="Calibri" w:hAnsi="Times New Roman" w:cs="Times New Roman"/>
          <w:b/>
          <w:noProof/>
        </w:rPr>
      </w:pPr>
      <w:r w:rsidRPr="0000130F">
        <w:rPr>
          <w:rFonts w:ascii="Times New Roman" w:eastAsia="Calibri" w:hAnsi="Times New Roman" w:cs="Times New Roman"/>
          <w:b/>
          <w:noProof/>
        </w:rPr>
        <w:t xml:space="preserve">Corporation </w:t>
      </w:r>
    </w:p>
    <w:p w14:paraId="3F355C38" w14:textId="77777777" w:rsidR="00F46D6E" w:rsidRPr="0000130F" w:rsidRDefault="0014074E" w:rsidP="0000130F">
      <w:pPr>
        <w:jc w:val="both"/>
        <w:rPr>
          <w:rFonts w:ascii="Times New Roman" w:eastAsia="Calibri" w:hAnsi="Times New Roman" w:cs="Times New Roman"/>
          <w:noProof/>
        </w:rPr>
      </w:pPr>
      <w:r w:rsidRPr="0000130F">
        <w:rPr>
          <w:rFonts w:ascii="Times New Roman" w:eastAsia="Calibri" w:hAnsi="Times New Roman" w:cs="Times New Roman"/>
          <w:noProof/>
        </w:rPr>
        <w:t>A separate, legitimate business entity managed by a group of individuals or companies recognized as a Board of Directors</w:t>
      </w:r>
      <w:r w:rsidR="000D7229" w:rsidRPr="0000130F">
        <w:rPr>
          <w:rFonts w:ascii="Times New Roman" w:eastAsia="Calibri" w:hAnsi="Times New Roman" w:cs="Times New Roman"/>
          <w:noProof/>
        </w:rPr>
        <w:t xml:space="preserve"> (Bayern, 2016).</w:t>
      </w:r>
    </w:p>
    <w:p w14:paraId="7D1FA83B" w14:textId="77777777" w:rsidR="00F46D6E" w:rsidRPr="004D02C2" w:rsidRDefault="0014074E" w:rsidP="0000130F">
      <w:pPr>
        <w:pStyle w:val="ListParagraph"/>
        <w:ind w:left="0"/>
        <w:jc w:val="center"/>
        <w:rPr>
          <w:rFonts w:ascii="Times New Roman" w:eastAsia="Calibri" w:hAnsi="Times New Roman" w:cs="Times New Roman"/>
          <w:b/>
          <w:noProof/>
        </w:rPr>
      </w:pPr>
      <w:r w:rsidRPr="004D02C2">
        <w:rPr>
          <w:rFonts w:ascii="Times New Roman" w:eastAsia="Calibri" w:hAnsi="Times New Roman" w:cs="Times New Roman"/>
          <w:b/>
          <w:noProof/>
        </w:rPr>
        <w:t>Tax Classifications</w:t>
      </w:r>
    </w:p>
    <w:p w14:paraId="4285E21C" w14:textId="77777777" w:rsidR="00B410AE" w:rsidRDefault="0014074E" w:rsidP="00C04FEA">
      <w:pPr>
        <w:pStyle w:val="ListParagraph"/>
        <w:ind w:left="0" w:firstLine="720"/>
        <w:jc w:val="both"/>
        <w:rPr>
          <w:rFonts w:ascii="Times New Roman" w:eastAsia="Calibri" w:hAnsi="Times New Roman" w:cs="Times New Roman"/>
          <w:noProof/>
        </w:rPr>
      </w:pPr>
      <w:r>
        <w:rPr>
          <w:rFonts w:ascii="Times New Roman" w:eastAsia="Calibri" w:hAnsi="Times New Roman" w:cs="Times New Roman"/>
          <w:noProof/>
        </w:rPr>
        <w:t xml:space="preserve">In </w:t>
      </w:r>
      <w:r w:rsidR="00CB1CA3">
        <w:rPr>
          <w:rFonts w:ascii="Times New Roman" w:eastAsia="Calibri" w:hAnsi="Times New Roman" w:cs="Times New Roman"/>
          <w:noProof/>
        </w:rPr>
        <w:t>the US</w:t>
      </w:r>
      <w:r>
        <w:rPr>
          <w:rFonts w:ascii="Times New Roman" w:eastAsia="Calibri" w:hAnsi="Times New Roman" w:cs="Times New Roman"/>
          <w:noProof/>
        </w:rPr>
        <w:t xml:space="preserve">, tax classification determines how the entities desire to be viewed by IRS i.e. Internal Revenue Service from a tax viewpoint </w:t>
      </w:r>
      <w:sdt>
        <w:sdtPr>
          <w:rPr>
            <w:rFonts w:ascii="Times New Roman" w:eastAsia="Calibri" w:hAnsi="Times New Roman" w:cs="Times New Roman"/>
            <w:noProof/>
          </w:rPr>
          <w:id w:val="-286891416"/>
          <w:citation/>
        </w:sdtPr>
        <w:sdtEndPr/>
        <w:sdtContent>
          <w:r>
            <w:rPr>
              <w:rFonts w:ascii="Times New Roman" w:eastAsia="Calibri" w:hAnsi="Times New Roman" w:cs="Times New Roman"/>
              <w:noProof/>
            </w:rPr>
            <w:fldChar w:fldCharType="begin"/>
          </w:r>
          <w:r>
            <w:rPr>
              <w:rFonts w:ascii="Times New Roman" w:eastAsia="Calibri" w:hAnsi="Times New Roman" w:cs="Times New Roman"/>
              <w:noProof/>
            </w:rPr>
            <w:instrText xml:space="preserve"> CITATION Wri18 \l 1033 </w:instrText>
          </w:r>
          <w:r>
            <w:rPr>
              <w:rFonts w:ascii="Times New Roman" w:eastAsia="Calibri" w:hAnsi="Times New Roman" w:cs="Times New Roman"/>
              <w:noProof/>
            </w:rPr>
            <w:fldChar w:fldCharType="separate"/>
          </w:r>
          <w:r w:rsidRPr="00B410AE">
            <w:rPr>
              <w:rFonts w:ascii="Times New Roman" w:eastAsia="Calibri" w:hAnsi="Times New Roman" w:cs="Times New Roman"/>
              <w:noProof/>
            </w:rPr>
            <w:t>(Wright, 2018)</w:t>
          </w:r>
          <w:r>
            <w:rPr>
              <w:rFonts w:ascii="Times New Roman" w:eastAsia="Calibri" w:hAnsi="Times New Roman" w:cs="Times New Roman"/>
              <w:noProof/>
            </w:rPr>
            <w:fldChar w:fldCharType="end"/>
          </w:r>
        </w:sdtContent>
      </w:sdt>
      <w:r>
        <w:rPr>
          <w:rFonts w:ascii="Times New Roman" w:eastAsia="Calibri" w:hAnsi="Times New Roman" w:cs="Times New Roman"/>
          <w:noProof/>
        </w:rPr>
        <w:t>.</w:t>
      </w:r>
    </w:p>
    <w:p w14:paraId="25401D9F" w14:textId="77777777" w:rsidR="00F46D6E" w:rsidRPr="00C51337" w:rsidRDefault="0014074E" w:rsidP="00B410AE">
      <w:pPr>
        <w:pStyle w:val="ListParagraph"/>
        <w:numPr>
          <w:ilvl w:val="0"/>
          <w:numId w:val="17"/>
        </w:numPr>
        <w:jc w:val="both"/>
        <w:rPr>
          <w:rFonts w:ascii="Times New Roman" w:hAnsi="Times New Roman" w:cs="Times New Roman"/>
        </w:rPr>
      </w:pPr>
      <w:r w:rsidRPr="00C51337">
        <w:rPr>
          <w:rFonts w:ascii="Times New Roman" w:eastAsia="Calibri" w:hAnsi="Times New Roman" w:cs="Times New Roman"/>
          <w:noProof/>
        </w:rPr>
        <w:t xml:space="preserve">In the case of a sole proprietorship, both the business forms are not legal entities due to which the liabilities, expenses, and income belong to the owner of the businesses who can pay off its debts and tax liabilities by selling its assets and </w:t>
      </w:r>
      <w:r w:rsidR="00CB1CA3" w:rsidRPr="00C51337">
        <w:rPr>
          <w:rFonts w:ascii="Times New Roman" w:eastAsia="Calibri" w:hAnsi="Times New Roman" w:cs="Times New Roman"/>
          <w:noProof/>
        </w:rPr>
        <w:t>profit</w:t>
      </w:r>
      <w:r w:rsidR="00CB1CA3">
        <w:rPr>
          <w:rFonts w:ascii="Times New Roman" w:eastAsia="Calibri" w:hAnsi="Times New Roman" w:cs="Times New Roman"/>
          <w:noProof/>
        </w:rPr>
        <w:t>s</w:t>
      </w:r>
      <w:r w:rsidRPr="00C51337">
        <w:rPr>
          <w:rFonts w:ascii="Times New Roman" w:eastAsia="Calibri" w:hAnsi="Times New Roman" w:cs="Times New Roman"/>
          <w:noProof/>
        </w:rPr>
        <w:t xml:space="preserve">. </w:t>
      </w:r>
    </w:p>
    <w:p w14:paraId="27BD213F" w14:textId="77777777" w:rsidR="00F46D6E" w:rsidRPr="00C51337" w:rsidRDefault="0014074E" w:rsidP="00F46D6E">
      <w:pPr>
        <w:pStyle w:val="ListParagraph"/>
        <w:numPr>
          <w:ilvl w:val="0"/>
          <w:numId w:val="17"/>
        </w:numPr>
        <w:spacing w:after="160"/>
        <w:jc w:val="both"/>
        <w:rPr>
          <w:rFonts w:ascii="Times New Roman" w:eastAsia="Calibri" w:hAnsi="Times New Roman" w:cs="Times New Roman"/>
          <w:noProof/>
        </w:rPr>
      </w:pPr>
      <w:r w:rsidRPr="00C51337">
        <w:rPr>
          <w:rFonts w:ascii="Times New Roman" w:eastAsia="Calibri" w:hAnsi="Times New Roman" w:cs="Times New Roman"/>
          <w:noProof/>
        </w:rPr>
        <w:t>Conversely, the Corporations are recognized as lawfu</w:t>
      </w:r>
      <w:r w:rsidR="001C7BA2">
        <w:rPr>
          <w:rFonts w:ascii="Times New Roman" w:eastAsia="Calibri" w:hAnsi="Times New Roman" w:cs="Times New Roman"/>
          <w:noProof/>
        </w:rPr>
        <w:t>l entities which although enjoy</w:t>
      </w:r>
      <w:r w:rsidRPr="00C51337">
        <w:rPr>
          <w:rFonts w:ascii="Times New Roman" w:eastAsia="Calibri" w:hAnsi="Times New Roman" w:cs="Times New Roman"/>
          <w:noProof/>
        </w:rPr>
        <w:t xml:space="preserve"> reduced tax rates as compared to single taxpayers but are liable to double taxation i.e. when the same owner and shareholder pay tax twice on a single income source.</w:t>
      </w:r>
    </w:p>
    <w:p w14:paraId="1DB1487A" w14:textId="03EBF776" w:rsidR="00F46D6E" w:rsidRDefault="001C79D0" w:rsidP="00F46D6E">
      <w:pPr>
        <w:pStyle w:val="ListParagraph"/>
        <w:numPr>
          <w:ilvl w:val="0"/>
          <w:numId w:val="17"/>
        </w:numPr>
        <w:spacing w:after="160"/>
        <w:jc w:val="both"/>
        <w:rPr>
          <w:rFonts w:ascii="Times New Roman" w:eastAsia="Calibri" w:hAnsi="Times New Roman" w:cs="Times New Roman"/>
          <w:noProof/>
        </w:rPr>
      </w:pPr>
      <w:r>
        <w:rPr>
          <w:rFonts w:ascii="Times New Roman" w:eastAsia="Calibri" w:hAnsi="Times New Roman" w:cs="Times New Roman"/>
          <w:noProof/>
        </w:rPr>
        <w:t>I</w:t>
      </w:r>
      <w:r w:rsidR="0014074E" w:rsidRPr="00C51337">
        <w:rPr>
          <w:rFonts w:ascii="Times New Roman" w:eastAsia="Calibri" w:hAnsi="Times New Roman" w:cs="Times New Roman"/>
          <w:noProof/>
        </w:rPr>
        <w:t>n a Limited Liability Company</w:t>
      </w:r>
      <w:r w:rsidR="00CB1CA3">
        <w:rPr>
          <w:rFonts w:ascii="Times New Roman" w:eastAsia="Calibri" w:hAnsi="Times New Roman" w:cs="Times New Roman"/>
          <w:noProof/>
        </w:rPr>
        <w:t xml:space="preserve">, </w:t>
      </w:r>
      <w:r w:rsidR="0014074E" w:rsidRPr="00C51337">
        <w:rPr>
          <w:rFonts w:ascii="Times New Roman" w:eastAsia="Calibri" w:hAnsi="Times New Roman" w:cs="Times New Roman"/>
          <w:noProof/>
        </w:rPr>
        <w:t xml:space="preserve">the profits solely belong to owners but they are taxed </w:t>
      </w:r>
      <w:r w:rsidR="00EB4B41">
        <w:rPr>
          <w:rFonts w:ascii="Times New Roman" w:eastAsia="Calibri" w:hAnsi="Times New Roman" w:cs="Times New Roman"/>
          <w:noProof/>
        </w:rPr>
        <w:t>with</w:t>
      </w:r>
      <w:r w:rsidR="0014074E" w:rsidRPr="00C51337">
        <w:rPr>
          <w:rFonts w:ascii="Times New Roman" w:eastAsia="Calibri" w:hAnsi="Times New Roman" w:cs="Times New Roman"/>
          <w:noProof/>
        </w:rPr>
        <w:t xml:space="preserve"> personal tax rates</w:t>
      </w:r>
      <w:r w:rsidR="00EB4B41">
        <w:rPr>
          <w:rFonts w:ascii="Times New Roman" w:eastAsia="Calibri" w:hAnsi="Times New Roman" w:cs="Times New Roman"/>
          <w:noProof/>
        </w:rPr>
        <w:t xml:space="preserve"> that</w:t>
      </w:r>
      <w:bookmarkStart w:id="0" w:name="_GoBack"/>
      <w:bookmarkEnd w:id="0"/>
      <w:r w:rsidR="0014074E" w:rsidRPr="00C51337">
        <w:rPr>
          <w:rFonts w:ascii="Times New Roman" w:eastAsia="Calibri" w:hAnsi="Times New Roman" w:cs="Times New Roman"/>
          <w:noProof/>
        </w:rPr>
        <w:t xml:space="preserve"> greater than </w:t>
      </w:r>
      <w:r>
        <w:rPr>
          <w:rFonts w:ascii="Times New Roman" w:eastAsia="Calibri" w:hAnsi="Times New Roman" w:cs="Times New Roman"/>
          <w:noProof/>
        </w:rPr>
        <w:t xml:space="preserve">the </w:t>
      </w:r>
      <w:r w:rsidR="0014074E" w:rsidRPr="00C51337">
        <w:rPr>
          <w:rFonts w:ascii="Times New Roman" w:eastAsia="Calibri" w:hAnsi="Times New Roman" w:cs="Times New Roman"/>
          <w:noProof/>
        </w:rPr>
        <w:t xml:space="preserve">corporate rates.  </w:t>
      </w:r>
    </w:p>
    <w:p w14:paraId="35363AF3" w14:textId="77777777" w:rsidR="001C7BA2" w:rsidRDefault="001C7BA2" w:rsidP="001C7BA2">
      <w:pPr>
        <w:spacing w:after="200"/>
        <w:contextualSpacing/>
        <w:jc w:val="center"/>
        <w:rPr>
          <w:rFonts w:ascii="Times New Roman" w:eastAsia="Calibri" w:hAnsi="Times New Roman" w:cs="Times New Roman"/>
          <w:b/>
          <w:noProof/>
        </w:rPr>
      </w:pPr>
      <w:r w:rsidRPr="001C7BA2">
        <w:rPr>
          <w:rFonts w:ascii="Times New Roman" w:eastAsia="Calibri" w:hAnsi="Times New Roman" w:cs="Times New Roman"/>
          <w:b/>
          <w:noProof/>
        </w:rPr>
        <w:t>S</w:t>
      </w:r>
      <w:r>
        <w:rPr>
          <w:rFonts w:ascii="Times New Roman" w:eastAsia="Calibri" w:hAnsi="Times New Roman" w:cs="Times New Roman"/>
          <w:b/>
          <w:noProof/>
        </w:rPr>
        <w:t>MART</w:t>
      </w:r>
      <w:r w:rsidRPr="001C7BA2">
        <w:rPr>
          <w:rFonts w:ascii="Times New Roman" w:eastAsia="Calibri" w:hAnsi="Times New Roman" w:cs="Times New Roman"/>
          <w:b/>
          <w:noProof/>
        </w:rPr>
        <w:t xml:space="preserve"> Timeline to Begin Structuring a Business</w:t>
      </w:r>
    </w:p>
    <w:p w14:paraId="7C8052D1" w14:textId="1A826273" w:rsidR="00F46D6E" w:rsidRDefault="001C79D0" w:rsidP="00F46D6E">
      <w:pPr>
        <w:spacing w:after="200"/>
        <w:contextualSpacing/>
        <w:jc w:val="both"/>
        <w:rPr>
          <w:rFonts w:ascii="Times New Roman" w:eastAsia="Calibri" w:hAnsi="Times New Roman" w:cs="Times New Roman"/>
          <w:noProof/>
        </w:rPr>
      </w:pPr>
      <w:r>
        <w:rPr>
          <w:rFonts w:ascii="Times New Roman" w:eastAsia="Calibri" w:hAnsi="Times New Roman" w:cs="Times New Roman"/>
          <w:noProof/>
        </w:rPr>
        <w:t xml:space="preserve">To start a new </w:t>
      </w:r>
      <w:r w:rsidR="0014074E">
        <w:rPr>
          <w:rFonts w:ascii="Times New Roman" w:eastAsia="Calibri" w:hAnsi="Times New Roman" w:cs="Times New Roman"/>
          <w:noProof/>
        </w:rPr>
        <w:t xml:space="preserve">business, the organizational goals play a vital role in directing the operations and success of the business. So the first step of an organization is to set goals which should be SMART i.e. an acronym </w:t>
      </w:r>
      <w:r w:rsidR="00A6739D">
        <w:rPr>
          <w:rFonts w:ascii="Times New Roman" w:eastAsia="Calibri" w:hAnsi="Times New Roman" w:cs="Times New Roman"/>
          <w:noProof/>
        </w:rPr>
        <w:t>for the</w:t>
      </w:r>
      <w:r w:rsidR="0014074E">
        <w:rPr>
          <w:rFonts w:ascii="Times New Roman" w:eastAsia="Calibri" w:hAnsi="Times New Roman" w:cs="Times New Roman"/>
          <w:noProof/>
        </w:rPr>
        <w:t xml:space="preserve"> following elements </w:t>
      </w:r>
      <w:r w:rsidR="0014074E">
        <w:rPr>
          <w:rFonts w:ascii="Times New Roman" w:eastAsia="Calibri" w:hAnsi="Times New Roman" w:cs="Times New Roman"/>
          <w:noProof/>
        </w:rPr>
        <w:fldChar w:fldCharType="begin"/>
      </w:r>
      <w:r w:rsidR="0014074E">
        <w:rPr>
          <w:rFonts w:ascii="Times New Roman" w:eastAsia="Calibri" w:hAnsi="Times New Roman" w:cs="Times New Roman"/>
          <w:noProof/>
        </w:rPr>
        <w:instrText xml:space="preserve"> ADDIN ZOTERO_ITEM CSL_CITATION {"citationID":"Ylgo6wZb","properties":{"formattedCitation":"(Shahin &amp; Mahbod, 2007)","plainCitation":"(Shahin &amp; Mahbod, 2007)","noteIndex":0},"citationItems":[{"id":85,"uris":["http://zotero.org/users/local/2y0xTiQs/items/LY8Q52MZ"],"uri":["http://zotero.org/users/local/2y0xTiQs/items/LY8Q52MZ"],"itemData":{"id":85,"type":"article-journal","abstract":"Purpose – The purpose of this paper is to provide an integrated approach that prioritizes organizational key performance indicators (KPIs) in terms of the criteria of SMART (Specific, Measurable, Attainable, Realistic, Time</w:instrText>
      </w:r>
      <w:r w:rsidR="0014074E" w:rsidRPr="00AB3DF3">
        <w:rPr>
          <w:rFonts w:ascii="Cambria Math" w:eastAsia="Calibri" w:hAnsi="Cambria Math" w:cs="Cambria Math"/>
          <w:noProof/>
        </w:rPr>
        <w:instrText>‐</w:instrText>
      </w:r>
      <w:r w:rsidR="0014074E">
        <w:rPr>
          <w:rFonts w:ascii="Times New Roman" w:eastAsia="Calibri" w:hAnsi="Times New Roman" w:cs="Times New Roman"/>
          <w:noProof/>
        </w:rPr>
        <w:instrText>sensitive) goal setting. Design/methodology/approach – The research was carried out using the analytical hierarchy process (AHP) technique as the basis for pairwise comparisons of SMART criteria, considering each KPI. Findings – A new approach is outlined, encompassing step</w:instrText>
      </w:r>
      <w:r w:rsidR="0014074E" w:rsidRPr="00AB3DF3">
        <w:rPr>
          <w:rFonts w:ascii="Cambria Math" w:eastAsia="Calibri" w:hAnsi="Cambria Math" w:cs="Cambria Math"/>
          <w:noProof/>
        </w:rPr>
        <w:instrText>‐</w:instrText>
      </w:r>
      <w:r w:rsidR="0014074E">
        <w:rPr>
          <w:rFonts w:ascii="Times New Roman" w:eastAsia="Calibri" w:hAnsi="Times New Roman" w:cs="Times New Roman"/>
          <w:noProof/>
        </w:rPr>
        <w:instrText>by</w:instrText>
      </w:r>
      <w:r w:rsidR="0014074E" w:rsidRPr="00AB3DF3">
        <w:rPr>
          <w:rFonts w:ascii="Cambria Math" w:eastAsia="Calibri" w:hAnsi="Cambria Math" w:cs="Cambria Math"/>
          <w:noProof/>
        </w:rPr>
        <w:instrText>‐</w:instrText>
      </w:r>
      <w:r w:rsidR="0014074E">
        <w:rPr>
          <w:rFonts w:ascii="Times New Roman" w:eastAsia="Calibri" w:hAnsi="Times New Roman" w:cs="Times New Roman"/>
          <w:noProof/>
        </w:rPr>
        <w:instrText>step guidelines for decision makers to conduct the prioritization process of SMART KPIs. The results of the case study highlight the applicability of the proposed approach and the calculation process for prioritizing KPIs. Research limitations/implications – The rating scales used in the AHP analysis are conceptual; although it identifies which dimensions require improvement, the proposed approach does not provide guidance on an appropriate action plan to address deficiencies; another limitation is that the framework adopted only the SERVQUAL service dimensions. Originality/value – This paper gives a novel approach for prioritization of KPIs. The proposed approach has a holistic mechanism; it could empower decision</w:instrText>
      </w:r>
      <w:r w:rsidR="0014074E" w:rsidRPr="00AB3DF3">
        <w:rPr>
          <w:rFonts w:ascii="Cambria Math" w:eastAsia="Calibri" w:hAnsi="Cambria Math" w:cs="Cambria Math"/>
          <w:noProof/>
        </w:rPr>
        <w:instrText>‐</w:instrText>
      </w:r>
      <w:r w:rsidR="0014074E">
        <w:rPr>
          <w:rFonts w:ascii="Times New Roman" w:eastAsia="Calibri" w:hAnsi="Times New Roman" w:cs="Times New Roman"/>
          <w:noProof/>
        </w:rPr>
        <w:instrText xml:space="preserve">making teams; it is capable of enhancing advanced quality engineering approaches; and provides great opportunities for future research.","container-title":"International Journal of Productivity and Performance Management","DOI":"10.1108/17410400710731437","ISSN":"1741-0401","issue":"3","page":"226-240","source":"Emerald Insight","title":"Prioritization of key performance indicators: An integration of analytical hierarchy process and goal setting","title-short":"Prioritization of key performance indicators","volume":"56","author":[{"family":"Shahin","given":"Arash"},{"family":"Mahbod","given":"M. Ali"}],"issued":{"date-parts":[["2007",1,1]]}}}],"schema":"https://github.com/citation-style-language/schema/raw/master/csl-citation.json"} </w:instrText>
      </w:r>
      <w:r w:rsidR="0014074E">
        <w:rPr>
          <w:rFonts w:ascii="Times New Roman" w:eastAsia="Calibri" w:hAnsi="Times New Roman" w:cs="Times New Roman"/>
          <w:noProof/>
        </w:rPr>
        <w:fldChar w:fldCharType="separate"/>
      </w:r>
      <w:r w:rsidR="0014074E" w:rsidRPr="00AB3DF3">
        <w:rPr>
          <w:rFonts w:ascii="Times New Roman" w:eastAsia="Calibri" w:hAnsi="Times New Roman" w:cs="Times New Roman"/>
          <w:noProof/>
        </w:rPr>
        <w:t>(Shahin &amp; Mahbod, 2007)</w:t>
      </w:r>
      <w:r w:rsidR="0014074E">
        <w:rPr>
          <w:rFonts w:ascii="Times New Roman" w:eastAsia="Calibri" w:hAnsi="Times New Roman" w:cs="Times New Roman"/>
          <w:noProof/>
        </w:rPr>
        <w:fldChar w:fldCharType="end"/>
      </w:r>
      <w:r w:rsidR="0014074E">
        <w:rPr>
          <w:rFonts w:ascii="Times New Roman" w:eastAsia="Calibri" w:hAnsi="Times New Roman" w:cs="Times New Roman"/>
          <w:noProof/>
        </w:rPr>
        <w:t>:</w:t>
      </w:r>
    </w:p>
    <w:p w14:paraId="61F61442" w14:textId="77777777" w:rsidR="00F46D6E" w:rsidRPr="00AB3DF3" w:rsidRDefault="0014074E" w:rsidP="00F46D6E">
      <w:pPr>
        <w:pStyle w:val="ListParagraph"/>
        <w:numPr>
          <w:ilvl w:val="0"/>
          <w:numId w:val="18"/>
        </w:numPr>
        <w:spacing w:after="200"/>
        <w:jc w:val="both"/>
        <w:rPr>
          <w:rFonts w:ascii="Times New Roman" w:eastAsia="Calibri" w:hAnsi="Times New Roman" w:cs="Times New Roman"/>
          <w:noProof/>
        </w:rPr>
      </w:pPr>
      <w:r w:rsidRPr="00FA6724">
        <w:rPr>
          <w:rFonts w:ascii="Times New Roman" w:eastAsia="Calibri" w:hAnsi="Times New Roman" w:cs="Times New Roman"/>
          <w:b/>
          <w:noProof/>
        </w:rPr>
        <w:t>Specific</w:t>
      </w:r>
      <w:r>
        <w:rPr>
          <w:rFonts w:ascii="Times New Roman" w:eastAsia="Calibri" w:hAnsi="Times New Roman" w:cs="Times New Roman"/>
          <w:noProof/>
        </w:rPr>
        <w:t xml:space="preserve"> goals are </w:t>
      </w:r>
      <w:r w:rsidRPr="00AB3DF3">
        <w:rPr>
          <w:rFonts w:ascii="Times New Roman" w:eastAsia="Calibri" w:hAnsi="Times New Roman" w:cs="Times New Roman"/>
          <w:noProof/>
        </w:rPr>
        <w:t xml:space="preserve">clear and precise </w:t>
      </w:r>
      <w:r>
        <w:rPr>
          <w:rFonts w:ascii="Times New Roman" w:eastAsia="Calibri" w:hAnsi="Times New Roman" w:cs="Times New Roman"/>
          <w:noProof/>
        </w:rPr>
        <w:t>which</w:t>
      </w:r>
      <w:r w:rsidRPr="00AB3DF3">
        <w:rPr>
          <w:rFonts w:ascii="Times New Roman" w:eastAsia="Calibri" w:hAnsi="Times New Roman" w:cs="Times New Roman"/>
          <w:noProof/>
        </w:rPr>
        <w:t xml:space="preserve"> help</w:t>
      </w:r>
      <w:r>
        <w:rPr>
          <w:rFonts w:ascii="Times New Roman" w:eastAsia="Calibri" w:hAnsi="Times New Roman" w:cs="Times New Roman"/>
          <w:noProof/>
        </w:rPr>
        <w:t>s the business</w:t>
      </w:r>
      <w:r w:rsidRPr="00AB3DF3">
        <w:rPr>
          <w:rFonts w:ascii="Times New Roman" w:eastAsia="Calibri" w:hAnsi="Times New Roman" w:cs="Times New Roman"/>
          <w:noProof/>
        </w:rPr>
        <w:t xml:space="preserve"> to move in a specific direction</w:t>
      </w:r>
      <w:r>
        <w:rPr>
          <w:rFonts w:ascii="Times New Roman" w:eastAsia="Calibri" w:hAnsi="Times New Roman" w:cs="Times New Roman"/>
          <w:noProof/>
        </w:rPr>
        <w:t>.</w:t>
      </w:r>
    </w:p>
    <w:p w14:paraId="38741D64" w14:textId="77777777" w:rsidR="00F46D6E" w:rsidRPr="00AB3DF3" w:rsidRDefault="0014074E" w:rsidP="00F46D6E">
      <w:pPr>
        <w:pStyle w:val="ListParagraph"/>
        <w:numPr>
          <w:ilvl w:val="0"/>
          <w:numId w:val="18"/>
        </w:numPr>
        <w:spacing w:after="200"/>
        <w:jc w:val="both"/>
        <w:rPr>
          <w:rFonts w:ascii="Times New Roman" w:eastAsia="Calibri" w:hAnsi="Times New Roman" w:cs="Times New Roman"/>
          <w:noProof/>
        </w:rPr>
      </w:pPr>
      <w:r w:rsidRPr="00FA6724">
        <w:rPr>
          <w:rFonts w:ascii="Times New Roman" w:eastAsia="Calibri" w:hAnsi="Times New Roman" w:cs="Times New Roman"/>
          <w:b/>
          <w:noProof/>
        </w:rPr>
        <w:lastRenderedPageBreak/>
        <w:t>Measurable</w:t>
      </w:r>
      <w:r>
        <w:rPr>
          <w:rFonts w:ascii="Times New Roman" w:eastAsia="Calibri" w:hAnsi="Times New Roman" w:cs="Times New Roman"/>
          <w:noProof/>
        </w:rPr>
        <w:t xml:space="preserve"> </w:t>
      </w:r>
      <w:r w:rsidRPr="00AB3DF3">
        <w:rPr>
          <w:rFonts w:ascii="Times New Roman" w:eastAsia="Calibri" w:hAnsi="Times New Roman" w:cs="Times New Roman"/>
          <w:noProof/>
        </w:rPr>
        <w:t>in term</w:t>
      </w:r>
      <w:r>
        <w:rPr>
          <w:rFonts w:ascii="Times New Roman" w:eastAsia="Calibri" w:hAnsi="Times New Roman" w:cs="Times New Roman"/>
          <w:noProof/>
        </w:rPr>
        <w:t>s</w:t>
      </w:r>
      <w:r w:rsidRPr="00AB3DF3">
        <w:rPr>
          <w:rFonts w:ascii="Times New Roman" w:eastAsia="Calibri" w:hAnsi="Times New Roman" w:cs="Times New Roman"/>
          <w:noProof/>
        </w:rPr>
        <w:t xml:space="preserve"> of quantity and quality to determine the </w:t>
      </w:r>
      <w:r w:rsidR="004014DC" w:rsidRPr="00AB3DF3">
        <w:rPr>
          <w:rFonts w:ascii="Times New Roman" w:eastAsia="Calibri" w:hAnsi="Times New Roman" w:cs="Times New Roman"/>
          <w:noProof/>
        </w:rPr>
        <w:t>success</w:t>
      </w:r>
      <w:r w:rsidRPr="00AB3DF3">
        <w:rPr>
          <w:rFonts w:ascii="Times New Roman" w:eastAsia="Calibri" w:hAnsi="Times New Roman" w:cs="Times New Roman"/>
          <w:noProof/>
        </w:rPr>
        <w:t xml:space="preserve"> of the </w:t>
      </w:r>
      <w:r w:rsidR="004014DC" w:rsidRPr="00AB3DF3">
        <w:rPr>
          <w:rFonts w:ascii="Times New Roman" w:eastAsia="Calibri" w:hAnsi="Times New Roman" w:cs="Times New Roman"/>
          <w:noProof/>
        </w:rPr>
        <w:t>objects</w:t>
      </w:r>
      <w:r w:rsidRPr="00AB3DF3">
        <w:rPr>
          <w:rFonts w:ascii="Times New Roman" w:eastAsia="Calibri" w:hAnsi="Times New Roman" w:cs="Times New Roman"/>
          <w:noProof/>
        </w:rPr>
        <w:t xml:space="preserve">. </w:t>
      </w:r>
    </w:p>
    <w:p w14:paraId="59985101" w14:textId="77777777" w:rsidR="00F46D6E" w:rsidRPr="00AB3DF3" w:rsidRDefault="0014074E" w:rsidP="00F46D6E">
      <w:pPr>
        <w:pStyle w:val="ListParagraph"/>
        <w:numPr>
          <w:ilvl w:val="0"/>
          <w:numId w:val="18"/>
        </w:numPr>
        <w:spacing w:after="200"/>
        <w:jc w:val="both"/>
        <w:rPr>
          <w:rFonts w:ascii="Times New Roman" w:eastAsia="Calibri" w:hAnsi="Times New Roman" w:cs="Times New Roman"/>
          <w:noProof/>
        </w:rPr>
      </w:pPr>
      <w:r w:rsidRPr="00C04FEA">
        <w:rPr>
          <w:rFonts w:ascii="Times New Roman" w:eastAsia="Calibri" w:hAnsi="Times New Roman" w:cs="Times New Roman"/>
          <w:b/>
          <w:noProof/>
        </w:rPr>
        <w:t>Attainable</w:t>
      </w:r>
      <w:r>
        <w:rPr>
          <w:rFonts w:ascii="Times New Roman" w:eastAsia="Calibri" w:hAnsi="Times New Roman" w:cs="Times New Roman"/>
          <w:noProof/>
        </w:rPr>
        <w:t xml:space="preserve"> </w:t>
      </w:r>
      <w:r w:rsidRPr="00AB3DF3">
        <w:rPr>
          <w:rFonts w:ascii="Times New Roman" w:eastAsia="Calibri" w:hAnsi="Times New Roman" w:cs="Times New Roman"/>
          <w:noProof/>
        </w:rPr>
        <w:t xml:space="preserve">goals can only </w:t>
      </w:r>
      <w:r>
        <w:rPr>
          <w:rFonts w:ascii="Times New Roman" w:eastAsia="Calibri" w:hAnsi="Times New Roman" w:cs="Times New Roman"/>
          <w:noProof/>
        </w:rPr>
        <w:t>determine</w:t>
      </w:r>
      <w:r w:rsidRPr="00AB3DF3">
        <w:rPr>
          <w:rFonts w:ascii="Times New Roman" w:eastAsia="Calibri" w:hAnsi="Times New Roman" w:cs="Times New Roman"/>
          <w:noProof/>
        </w:rPr>
        <w:t xml:space="preserve"> its feasibility. </w:t>
      </w:r>
    </w:p>
    <w:p w14:paraId="43687EBC" w14:textId="77777777" w:rsidR="00F46D6E" w:rsidRPr="00AB3DF3" w:rsidRDefault="0014074E" w:rsidP="00F46D6E">
      <w:pPr>
        <w:pStyle w:val="ListParagraph"/>
        <w:numPr>
          <w:ilvl w:val="0"/>
          <w:numId w:val="18"/>
        </w:numPr>
        <w:spacing w:after="200"/>
        <w:jc w:val="both"/>
        <w:rPr>
          <w:rFonts w:ascii="Times New Roman" w:eastAsia="Calibri" w:hAnsi="Times New Roman" w:cs="Times New Roman"/>
          <w:noProof/>
        </w:rPr>
      </w:pPr>
      <w:r w:rsidRPr="00C04FEA">
        <w:rPr>
          <w:rFonts w:ascii="Times New Roman" w:eastAsia="Calibri" w:hAnsi="Times New Roman" w:cs="Times New Roman"/>
          <w:b/>
          <w:noProof/>
        </w:rPr>
        <w:t>Realistic</w:t>
      </w:r>
      <w:r w:rsidRPr="00AB3DF3">
        <w:rPr>
          <w:rFonts w:ascii="Times New Roman" w:eastAsia="Calibri" w:hAnsi="Times New Roman" w:cs="Times New Roman"/>
          <w:noProof/>
        </w:rPr>
        <w:t xml:space="preserve"> and </w:t>
      </w:r>
      <w:r w:rsidRPr="00C04FEA">
        <w:rPr>
          <w:rFonts w:ascii="Times New Roman" w:eastAsia="Calibri" w:hAnsi="Times New Roman" w:cs="Times New Roman"/>
          <w:b/>
          <w:noProof/>
        </w:rPr>
        <w:t>result-oriented</w:t>
      </w:r>
      <w:r w:rsidR="00FA6724">
        <w:rPr>
          <w:rFonts w:ascii="Times New Roman" w:eastAsia="Calibri" w:hAnsi="Times New Roman" w:cs="Times New Roman"/>
          <w:noProof/>
        </w:rPr>
        <w:t xml:space="preserve"> goals are determined by the</w:t>
      </w:r>
      <w:r w:rsidRPr="00AB3DF3">
        <w:rPr>
          <w:rFonts w:ascii="Times New Roman" w:eastAsia="Calibri" w:hAnsi="Times New Roman" w:cs="Times New Roman"/>
          <w:noProof/>
        </w:rPr>
        <w:t xml:space="preserve"> availability of resources and performance indicators. </w:t>
      </w:r>
    </w:p>
    <w:p w14:paraId="1AD2D74E" w14:textId="77777777" w:rsidR="00F46D6E" w:rsidRDefault="0014074E" w:rsidP="00F46D6E">
      <w:pPr>
        <w:pStyle w:val="ListParagraph"/>
        <w:numPr>
          <w:ilvl w:val="0"/>
          <w:numId w:val="18"/>
        </w:numPr>
        <w:spacing w:after="200"/>
        <w:jc w:val="both"/>
        <w:rPr>
          <w:rFonts w:ascii="Times New Roman" w:eastAsia="Calibri" w:hAnsi="Times New Roman" w:cs="Times New Roman"/>
          <w:noProof/>
        </w:rPr>
      </w:pPr>
      <w:r w:rsidRPr="00C04FEA">
        <w:rPr>
          <w:rFonts w:ascii="Times New Roman" w:eastAsia="Calibri" w:hAnsi="Times New Roman" w:cs="Times New Roman"/>
          <w:b/>
          <w:noProof/>
        </w:rPr>
        <w:t>Time-sensitive</w:t>
      </w:r>
      <w:r w:rsidR="00FA6724">
        <w:rPr>
          <w:rFonts w:ascii="Times New Roman" w:eastAsia="Calibri" w:hAnsi="Times New Roman" w:cs="Times New Roman"/>
          <w:noProof/>
        </w:rPr>
        <w:t xml:space="preserve"> </w:t>
      </w:r>
      <w:r w:rsidRPr="00F85D8B">
        <w:rPr>
          <w:rFonts w:ascii="Times New Roman" w:eastAsia="Calibri" w:hAnsi="Times New Roman" w:cs="Times New Roman"/>
          <w:noProof/>
        </w:rPr>
        <w:t>goals follow</w:t>
      </w:r>
      <w:r w:rsidR="00FA6724">
        <w:rPr>
          <w:rFonts w:ascii="Times New Roman" w:eastAsia="Calibri" w:hAnsi="Times New Roman" w:cs="Times New Roman"/>
          <w:noProof/>
        </w:rPr>
        <w:t xml:space="preserve"> </w:t>
      </w:r>
      <w:r w:rsidRPr="00F85D8B">
        <w:rPr>
          <w:rFonts w:ascii="Times New Roman" w:eastAsia="Calibri" w:hAnsi="Times New Roman" w:cs="Times New Roman"/>
          <w:noProof/>
        </w:rPr>
        <w:t xml:space="preserve">a time frame </w:t>
      </w:r>
      <w:r w:rsidR="00FA6724">
        <w:rPr>
          <w:rFonts w:ascii="Times New Roman" w:eastAsia="Calibri" w:hAnsi="Times New Roman" w:cs="Times New Roman"/>
          <w:noProof/>
        </w:rPr>
        <w:t>helping</w:t>
      </w:r>
      <w:r w:rsidRPr="00F85D8B">
        <w:rPr>
          <w:rFonts w:ascii="Times New Roman" w:eastAsia="Calibri" w:hAnsi="Times New Roman" w:cs="Times New Roman"/>
          <w:noProof/>
        </w:rPr>
        <w:t xml:space="preserve"> firms to measure their success.  </w:t>
      </w:r>
    </w:p>
    <w:p w14:paraId="259A791E" w14:textId="77777777" w:rsidR="00F46D6E" w:rsidRPr="00F46D6E" w:rsidRDefault="0014074E" w:rsidP="0000130F">
      <w:pPr>
        <w:spacing w:after="200"/>
        <w:ind w:firstLine="0"/>
        <w:jc w:val="center"/>
        <w:rPr>
          <w:rFonts w:ascii="Times New Roman" w:eastAsia="Calibri" w:hAnsi="Times New Roman" w:cs="Times New Roman"/>
          <w:noProof/>
        </w:rPr>
      </w:pPr>
      <w:r w:rsidRPr="00F46D6E">
        <w:rPr>
          <w:rFonts w:ascii="Times New Roman" w:eastAsia="Calibri" w:hAnsi="Times New Roman" w:cs="Times New Roman"/>
          <w:b/>
          <w:noProof/>
        </w:rPr>
        <w:t xml:space="preserve">Legally-binding </w:t>
      </w:r>
      <w:r w:rsidR="00C04FEA">
        <w:rPr>
          <w:rFonts w:ascii="Times New Roman" w:eastAsia="Calibri" w:hAnsi="Times New Roman" w:cs="Times New Roman"/>
          <w:b/>
          <w:noProof/>
        </w:rPr>
        <w:t>A</w:t>
      </w:r>
      <w:r w:rsidRPr="00F46D6E">
        <w:rPr>
          <w:rFonts w:ascii="Times New Roman" w:eastAsia="Calibri" w:hAnsi="Times New Roman" w:cs="Times New Roman"/>
          <w:b/>
          <w:noProof/>
        </w:rPr>
        <w:t>greements (Contracts)</w:t>
      </w:r>
    </w:p>
    <w:p w14:paraId="32254D10" w14:textId="77777777" w:rsidR="009927BB" w:rsidRDefault="0014074E" w:rsidP="0000130F">
      <w:pPr>
        <w:pStyle w:val="NoSpacing"/>
        <w:ind w:firstLine="720"/>
        <w:rPr>
          <w:rFonts w:ascii="Times New Roman" w:eastAsia="Calibri" w:hAnsi="Times New Roman" w:cs="Times New Roman"/>
          <w:noProof/>
        </w:rPr>
      </w:pPr>
      <w:r>
        <w:rPr>
          <w:rFonts w:ascii="Times New Roman" w:eastAsia="Calibri" w:hAnsi="Times New Roman" w:cs="Times New Roman"/>
          <w:noProof/>
        </w:rPr>
        <w:t>Under the state and federal contractual legislation, an agreement that obligates two or more parties to follow the terms and conditions of the contract</w:t>
      </w:r>
      <w:r w:rsidR="0067435F">
        <w:rPr>
          <w:rFonts w:ascii="Times New Roman" w:eastAsia="Calibri" w:hAnsi="Times New Roman" w:cs="Times New Roman"/>
          <w:noProof/>
        </w:rPr>
        <w:t xml:space="preserve"> </w:t>
      </w:r>
      <w:r w:rsidR="0067435F">
        <w:rPr>
          <w:rFonts w:ascii="Times New Roman" w:eastAsia="Calibri" w:hAnsi="Times New Roman" w:cs="Times New Roman"/>
          <w:noProof/>
        </w:rPr>
        <w:fldChar w:fldCharType="begin"/>
      </w:r>
      <w:r w:rsidR="0067435F">
        <w:rPr>
          <w:rFonts w:ascii="Times New Roman" w:eastAsia="Calibri" w:hAnsi="Times New Roman" w:cs="Times New Roman"/>
          <w:noProof/>
        </w:rPr>
        <w:instrText xml:space="preserve"> ADDIN ZOTERO_ITEM CSL_CITATION {"citationID":"hKKgpN5K","properties":{"formattedCitation":"(Stim, 2016)","plainCitation":"(Stim, 2016)","noteIndex":0},"citationItems":[{"id":89,"uris":["http://zotero.org/users/local/2y0xTiQs/items/Y868YBVD"],"uri":["http://zotero.org/users/local/2y0xTiQs/items/Y868YBVD"],"itemData":{"id":89,"type":"book","abstract":"Life has become an endless series of contracts—this is the manual. There’s no reason to risk your hard-earned money signing a contract you don’t understand. With Contracts: The Essential Business Desk Reference, you get easy-to-understand explanations for every common contract term. In no time, you’ll grasp mysterious concepts such as “waiver,” “indemnity,” and “most favored nation.” Contracts: The Essential Business Desk Reference is more than just an A–Z explanation of over 300 terms. It also includes:  common negotiating strategies  examples of contract provisions  sample contracts with explanations  illegal and dangerous contract clauses to watch out for  what to expect if a contract is broken  up-to-date explanations of electronic contracts, and  tips on amending and modifying agreements.  Whether you’re starting a business, signing a lease, hiring a new employee or independent contractor, licensing a concept, selling a boat, or contracting for a new fireplace, Contracts: The Essential Business Desk Reference can help. A must-have for small business owners, entrepreneurs, lawyers, and law students—and anyone else whose success is built around understanding and negotiating agreements.","ISBN":"978-1-4133-2300-9","language":"en","number-of-pages":"497","publisher":"Nolo","source":"Google Books","title":"Contracts: The Essential Business Desk Reference","title-short":"Contracts","author":[{"family":"Stim","given":"Richard"}],"issued":{"date-parts":[["2016",8,31]]}}}],"schema":"https://github.com/citation-style-language/schema/raw/master/csl-citation.json"} </w:instrText>
      </w:r>
      <w:r w:rsidR="0067435F">
        <w:rPr>
          <w:rFonts w:ascii="Times New Roman" w:eastAsia="Calibri" w:hAnsi="Times New Roman" w:cs="Times New Roman"/>
          <w:noProof/>
        </w:rPr>
        <w:fldChar w:fldCharType="separate"/>
      </w:r>
      <w:r w:rsidR="0067435F" w:rsidRPr="0067435F">
        <w:rPr>
          <w:rFonts w:ascii="Times New Roman" w:hAnsi="Times New Roman" w:cs="Times New Roman"/>
        </w:rPr>
        <w:t>(Stim, 2016)</w:t>
      </w:r>
      <w:r w:rsidR="0067435F">
        <w:rPr>
          <w:rFonts w:ascii="Times New Roman" w:eastAsia="Calibri" w:hAnsi="Times New Roman" w:cs="Times New Roman"/>
          <w:noProof/>
        </w:rPr>
        <w:fldChar w:fldCharType="end"/>
      </w:r>
    </w:p>
    <w:p w14:paraId="5C0A3E7F" w14:textId="77777777" w:rsidR="009927BB" w:rsidRDefault="0014074E" w:rsidP="009927BB">
      <w:pPr>
        <w:pStyle w:val="NoSpacing"/>
        <w:jc w:val="center"/>
        <w:rPr>
          <w:rFonts w:ascii="Times New Roman" w:eastAsia="Calibri" w:hAnsi="Times New Roman" w:cs="Times New Roman"/>
          <w:b/>
          <w:noProof/>
        </w:rPr>
      </w:pPr>
      <w:r w:rsidRPr="009927BB">
        <w:rPr>
          <w:rFonts w:ascii="Times New Roman" w:eastAsia="Calibri" w:hAnsi="Times New Roman" w:cs="Times New Roman"/>
          <w:b/>
          <w:noProof/>
        </w:rPr>
        <w:t>Evaluation test</w:t>
      </w:r>
    </w:p>
    <w:tbl>
      <w:tblPr>
        <w:tblStyle w:val="TableGrid"/>
        <w:tblW w:w="0" w:type="auto"/>
        <w:tblLook w:val="04A0" w:firstRow="1" w:lastRow="0" w:firstColumn="1" w:lastColumn="0" w:noHBand="0" w:noVBand="1"/>
      </w:tblPr>
      <w:tblGrid>
        <w:gridCol w:w="535"/>
        <w:gridCol w:w="6570"/>
        <w:gridCol w:w="720"/>
        <w:gridCol w:w="540"/>
        <w:gridCol w:w="985"/>
      </w:tblGrid>
      <w:tr w:rsidR="00515097" w14:paraId="79EFCC99" w14:textId="77777777" w:rsidTr="0067435F">
        <w:tc>
          <w:tcPr>
            <w:tcW w:w="535" w:type="dxa"/>
          </w:tcPr>
          <w:p w14:paraId="100C6641" w14:textId="77777777" w:rsidR="0067435F" w:rsidRDefault="0014074E" w:rsidP="0067435F">
            <w:pPr>
              <w:pStyle w:val="NoSpacing"/>
              <w:spacing w:line="480" w:lineRule="auto"/>
              <w:jc w:val="center"/>
              <w:rPr>
                <w:rFonts w:ascii="Times New Roman" w:eastAsia="Calibri" w:hAnsi="Times New Roman" w:cs="Times New Roman"/>
                <w:b/>
                <w:noProof/>
              </w:rPr>
            </w:pPr>
            <w:r>
              <w:rPr>
                <w:rFonts w:ascii="Times New Roman" w:eastAsia="Calibri" w:hAnsi="Times New Roman" w:cs="Times New Roman"/>
                <w:b/>
                <w:noProof/>
              </w:rPr>
              <w:t>#</w:t>
            </w:r>
          </w:p>
        </w:tc>
        <w:tc>
          <w:tcPr>
            <w:tcW w:w="6570" w:type="dxa"/>
          </w:tcPr>
          <w:p w14:paraId="46BB9677" w14:textId="77777777" w:rsidR="0067435F" w:rsidRDefault="0014074E" w:rsidP="0067435F">
            <w:pPr>
              <w:pStyle w:val="NoSpacing"/>
              <w:spacing w:line="480" w:lineRule="auto"/>
              <w:jc w:val="center"/>
              <w:rPr>
                <w:rFonts w:ascii="Times New Roman" w:eastAsia="Calibri" w:hAnsi="Times New Roman" w:cs="Times New Roman"/>
                <w:b/>
                <w:noProof/>
              </w:rPr>
            </w:pPr>
            <w:r>
              <w:rPr>
                <w:rFonts w:ascii="Times New Roman" w:eastAsia="Calibri" w:hAnsi="Times New Roman" w:cs="Times New Roman"/>
                <w:b/>
                <w:noProof/>
              </w:rPr>
              <w:t xml:space="preserve">Questions </w:t>
            </w:r>
          </w:p>
        </w:tc>
        <w:tc>
          <w:tcPr>
            <w:tcW w:w="720" w:type="dxa"/>
          </w:tcPr>
          <w:p w14:paraId="25883EAE" w14:textId="77777777" w:rsidR="0067435F" w:rsidRDefault="0014074E" w:rsidP="0067435F">
            <w:pPr>
              <w:pStyle w:val="NoSpacing"/>
              <w:spacing w:line="480" w:lineRule="auto"/>
              <w:jc w:val="center"/>
              <w:rPr>
                <w:rFonts w:ascii="Times New Roman" w:eastAsia="Calibri" w:hAnsi="Times New Roman" w:cs="Times New Roman"/>
                <w:b/>
                <w:noProof/>
              </w:rPr>
            </w:pPr>
            <w:r>
              <w:rPr>
                <w:rFonts w:ascii="Times New Roman" w:eastAsia="Calibri" w:hAnsi="Times New Roman" w:cs="Times New Roman"/>
                <w:b/>
                <w:noProof/>
              </w:rPr>
              <w:t>Yes</w:t>
            </w:r>
          </w:p>
        </w:tc>
        <w:tc>
          <w:tcPr>
            <w:tcW w:w="540" w:type="dxa"/>
          </w:tcPr>
          <w:p w14:paraId="76D95ED1" w14:textId="77777777" w:rsidR="0067435F" w:rsidRDefault="0014074E" w:rsidP="0067435F">
            <w:pPr>
              <w:pStyle w:val="NoSpacing"/>
              <w:spacing w:line="480" w:lineRule="auto"/>
              <w:jc w:val="center"/>
              <w:rPr>
                <w:rFonts w:ascii="Times New Roman" w:eastAsia="Calibri" w:hAnsi="Times New Roman" w:cs="Times New Roman"/>
                <w:b/>
                <w:noProof/>
              </w:rPr>
            </w:pPr>
            <w:r>
              <w:rPr>
                <w:rFonts w:ascii="Times New Roman" w:eastAsia="Calibri" w:hAnsi="Times New Roman" w:cs="Times New Roman"/>
                <w:b/>
                <w:noProof/>
              </w:rPr>
              <w:t>No</w:t>
            </w:r>
          </w:p>
        </w:tc>
        <w:tc>
          <w:tcPr>
            <w:tcW w:w="985" w:type="dxa"/>
          </w:tcPr>
          <w:p w14:paraId="0C176E51" w14:textId="77777777" w:rsidR="0067435F" w:rsidRDefault="0014074E" w:rsidP="0067435F">
            <w:pPr>
              <w:pStyle w:val="NoSpacing"/>
              <w:spacing w:line="480" w:lineRule="auto"/>
              <w:jc w:val="center"/>
              <w:rPr>
                <w:rFonts w:ascii="Times New Roman" w:eastAsia="Calibri" w:hAnsi="Times New Roman" w:cs="Times New Roman"/>
                <w:b/>
                <w:noProof/>
              </w:rPr>
            </w:pPr>
            <w:r>
              <w:rPr>
                <w:rFonts w:ascii="Times New Roman" w:eastAsia="Calibri" w:hAnsi="Times New Roman" w:cs="Times New Roman"/>
                <w:b/>
                <w:noProof/>
              </w:rPr>
              <w:t>May be</w:t>
            </w:r>
          </w:p>
        </w:tc>
      </w:tr>
      <w:tr w:rsidR="00515097" w14:paraId="16F7B921" w14:textId="77777777" w:rsidTr="0067435F">
        <w:tc>
          <w:tcPr>
            <w:tcW w:w="535" w:type="dxa"/>
          </w:tcPr>
          <w:p w14:paraId="7F890C1B" w14:textId="77777777" w:rsidR="0067435F" w:rsidRPr="0067435F" w:rsidRDefault="0014074E" w:rsidP="0067435F">
            <w:pPr>
              <w:pStyle w:val="NoSpacing"/>
              <w:spacing w:line="480" w:lineRule="auto"/>
              <w:jc w:val="center"/>
              <w:rPr>
                <w:rFonts w:ascii="Times New Roman" w:eastAsia="Calibri" w:hAnsi="Times New Roman" w:cs="Times New Roman"/>
                <w:noProof/>
              </w:rPr>
            </w:pPr>
            <w:r w:rsidRPr="0067435F">
              <w:rPr>
                <w:rFonts w:ascii="Times New Roman" w:eastAsia="Calibri" w:hAnsi="Times New Roman" w:cs="Times New Roman"/>
                <w:noProof/>
              </w:rPr>
              <w:t>1.</w:t>
            </w:r>
          </w:p>
        </w:tc>
        <w:tc>
          <w:tcPr>
            <w:tcW w:w="6570" w:type="dxa"/>
          </w:tcPr>
          <w:p w14:paraId="47A251D5" w14:textId="77777777" w:rsidR="0067435F" w:rsidRDefault="0014074E" w:rsidP="0067435F">
            <w:pPr>
              <w:pStyle w:val="NoSpacing"/>
              <w:spacing w:line="480" w:lineRule="auto"/>
              <w:rPr>
                <w:rFonts w:ascii="Times New Roman" w:eastAsia="Calibri" w:hAnsi="Times New Roman" w:cs="Times New Roman"/>
                <w:b/>
                <w:noProof/>
              </w:rPr>
            </w:pPr>
            <w:r>
              <w:t>Have you understood the types of business entities?</w:t>
            </w:r>
            <w:r>
              <w:tab/>
            </w:r>
          </w:p>
        </w:tc>
        <w:tc>
          <w:tcPr>
            <w:tcW w:w="720" w:type="dxa"/>
          </w:tcPr>
          <w:p w14:paraId="392A331E"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22F7DE77"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1A1E4988"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1E3FAFBA" w14:textId="77777777" w:rsidTr="0067435F">
        <w:tc>
          <w:tcPr>
            <w:tcW w:w="535" w:type="dxa"/>
          </w:tcPr>
          <w:p w14:paraId="3885EED8"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2.</w:t>
            </w:r>
          </w:p>
        </w:tc>
        <w:tc>
          <w:tcPr>
            <w:tcW w:w="6570" w:type="dxa"/>
          </w:tcPr>
          <w:p w14:paraId="0528B5BB" w14:textId="77777777" w:rsidR="00CB1CA3" w:rsidRDefault="0014074E" w:rsidP="00CB1CA3">
            <w:pPr>
              <w:pStyle w:val="NoSpacing"/>
              <w:spacing w:line="480" w:lineRule="auto"/>
              <w:rPr>
                <w:rFonts w:ascii="Times New Roman" w:eastAsia="Calibri" w:hAnsi="Times New Roman" w:cs="Times New Roman"/>
                <w:b/>
                <w:noProof/>
              </w:rPr>
            </w:pPr>
            <w:r>
              <w:t>Does the definition of business appropriate?</w:t>
            </w:r>
          </w:p>
        </w:tc>
        <w:tc>
          <w:tcPr>
            <w:tcW w:w="720" w:type="dxa"/>
          </w:tcPr>
          <w:p w14:paraId="05D07192"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28A1AF14"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5DC65F37"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388B31D9" w14:textId="77777777" w:rsidTr="0067435F">
        <w:tc>
          <w:tcPr>
            <w:tcW w:w="535" w:type="dxa"/>
          </w:tcPr>
          <w:p w14:paraId="0C4537E2"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3.</w:t>
            </w:r>
          </w:p>
        </w:tc>
        <w:tc>
          <w:tcPr>
            <w:tcW w:w="6570" w:type="dxa"/>
          </w:tcPr>
          <w:p w14:paraId="567D8D40" w14:textId="77777777" w:rsidR="0067435F" w:rsidRDefault="0014074E" w:rsidP="0067435F">
            <w:pPr>
              <w:pStyle w:val="NoSpacing"/>
              <w:spacing w:line="480" w:lineRule="auto"/>
              <w:rPr>
                <w:rFonts w:ascii="Times New Roman" w:eastAsia="Calibri" w:hAnsi="Times New Roman" w:cs="Times New Roman"/>
                <w:b/>
                <w:noProof/>
              </w:rPr>
            </w:pPr>
            <w:r>
              <w:t xml:space="preserve">Do you find the differences among the types of business entities?   </w:t>
            </w:r>
          </w:p>
        </w:tc>
        <w:tc>
          <w:tcPr>
            <w:tcW w:w="720" w:type="dxa"/>
          </w:tcPr>
          <w:p w14:paraId="29A0BA46"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1616EA19"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081F6C52"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1586FA7D" w14:textId="77777777" w:rsidTr="0067435F">
        <w:tc>
          <w:tcPr>
            <w:tcW w:w="535" w:type="dxa"/>
          </w:tcPr>
          <w:p w14:paraId="4F04242D"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4.</w:t>
            </w:r>
          </w:p>
        </w:tc>
        <w:tc>
          <w:tcPr>
            <w:tcW w:w="6570" w:type="dxa"/>
          </w:tcPr>
          <w:p w14:paraId="6CECC416" w14:textId="77777777" w:rsidR="0067435F" w:rsidRDefault="0014074E" w:rsidP="0067435F">
            <w:pPr>
              <w:pStyle w:val="NoSpacing"/>
              <w:spacing w:line="480" w:lineRule="auto"/>
              <w:rPr>
                <w:rFonts w:ascii="Times New Roman" w:eastAsia="Calibri" w:hAnsi="Times New Roman" w:cs="Times New Roman"/>
                <w:b/>
                <w:noProof/>
              </w:rPr>
            </w:pPr>
            <w:r>
              <w:t>Are the characteristics of sole-proprietorship described sufficiently?</w:t>
            </w:r>
          </w:p>
        </w:tc>
        <w:tc>
          <w:tcPr>
            <w:tcW w:w="720" w:type="dxa"/>
          </w:tcPr>
          <w:p w14:paraId="522B75DB"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685521C1"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24FCE918"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324C997C" w14:textId="77777777" w:rsidTr="0067435F">
        <w:tc>
          <w:tcPr>
            <w:tcW w:w="535" w:type="dxa"/>
          </w:tcPr>
          <w:p w14:paraId="76444CCC"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5.</w:t>
            </w:r>
          </w:p>
        </w:tc>
        <w:tc>
          <w:tcPr>
            <w:tcW w:w="6570" w:type="dxa"/>
          </w:tcPr>
          <w:p w14:paraId="35432193" w14:textId="77777777" w:rsidR="0067435F" w:rsidRDefault="0014074E" w:rsidP="0067435F">
            <w:pPr>
              <w:pStyle w:val="NoSpacing"/>
              <w:spacing w:line="480" w:lineRule="auto"/>
              <w:rPr>
                <w:rFonts w:ascii="Times New Roman" w:eastAsia="Calibri" w:hAnsi="Times New Roman" w:cs="Times New Roman"/>
                <w:b/>
                <w:noProof/>
              </w:rPr>
            </w:pPr>
            <w:r>
              <w:t>Do you have an understanding of the Corporation business type?</w:t>
            </w:r>
          </w:p>
        </w:tc>
        <w:tc>
          <w:tcPr>
            <w:tcW w:w="720" w:type="dxa"/>
          </w:tcPr>
          <w:p w14:paraId="6B6BDACB"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23B58825"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0634CA96"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4569EB15" w14:textId="77777777" w:rsidTr="0067435F">
        <w:tc>
          <w:tcPr>
            <w:tcW w:w="535" w:type="dxa"/>
          </w:tcPr>
          <w:p w14:paraId="3FA8FE57"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6.</w:t>
            </w:r>
          </w:p>
        </w:tc>
        <w:tc>
          <w:tcPr>
            <w:tcW w:w="6570" w:type="dxa"/>
          </w:tcPr>
          <w:p w14:paraId="513236B5" w14:textId="77777777" w:rsidR="0067435F" w:rsidRDefault="0014074E" w:rsidP="0067435F">
            <w:pPr>
              <w:pStyle w:val="NoSpacing"/>
              <w:spacing w:line="480" w:lineRule="auto"/>
              <w:rPr>
                <w:rFonts w:ascii="Times New Roman" w:eastAsia="Calibri" w:hAnsi="Times New Roman" w:cs="Times New Roman"/>
                <w:b/>
                <w:noProof/>
              </w:rPr>
            </w:pPr>
            <w:r>
              <w:t>Is the description of tax classifications ample to know tax liability?</w:t>
            </w:r>
          </w:p>
        </w:tc>
        <w:tc>
          <w:tcPr>
            <w:tcW w:w="720" w:type="dxa"/>
          </w:tcPr>
          <w:p w14:paraId="0E699533"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038D7808"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65428EB7"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7BBE0AAE" w14:textId="77777777" w:rsidTr="0067435F">
        <w:tc>
          <w:tcPr>
            <w:tcW w:w="535" w:type="dxa"/>
          </w:tcPr>
          <w:p w14:paraId="0B6C4DFD"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7.</w:t>
            </w:r>
          </w:p>
        </w:tc>
        <w:tc>
          <w:tcPr>
            <w:tcW w:w="6570" w:type="dxa"/>
          </w:tcPr>
          <w:p w14:paraId="54F88FB7" w14:textId="77777777" w:rsidR="0067435F" w:rsidRDefault="0014074E" w:rsidP="0067435F">
            <w:pPr>
              <w:pStyle w:val="NoSpacing"/>
              <w:spacing w:line="480" w:lineRule="auto"/>
              <w:rPr>
                <w:rFonts w:ascii="Times New Roman" w:eastAsia="Calibri" w:hAnsi="Times New Roman" w:cs="Times New Roman"/>
                <w:b/>
                <w:noProof/>
              </w:rPr>
            </w:pPr>
            <w:r>
              <w:t>Whether the SMART goals help in the structuring of business?</w:t>
            </w:r>
          </w:p>
        </w:tc>
        <w:tc>
          <w:tcPr>
            <w:tcW w:w="720" w:type="dxa"/>
          </w:tcPr>
          <w:p w14:paraId="5EAE5125"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606BE755"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2696A17D"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22EAB823" w14:textId="77777777" w:rsidTr="0067435F">
        <w:tc>
          <w:tcPr>
            <w:tcW w:w="535" w:type="dxa"/>
          </w:tcPr>
          <w:p w14:paraId="44AC9FFC"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8.</w:t>
            </w:r>
          </w:p>
        </w:tc>
        <w:tc>
          <w:tcPr>
            <w:tcW w:w="6570" w:type="dxa"/>
          </w:tcPr>
          <w:p w14:paraId="2D825A3E" w14:textId="77777777" w:rsidR="0067435F" w:rsidRDefault="0014074E" w:rsidP="00CB1CA3">
            <w:pPr>
              <w:pStyle w:val="NoSpacing"/>
              <w:spacing w:line="480" w:lineRule="auto"/>
              <w:rPr>
                <w:rFonts w:ascii="Times New Roman" w:eastAsia="Calibri" w:hAnsi="Times New Roman" w:cs="Times New Roman"/>
                <w:b/>
                <w:noProof/>
              </w:rPr>
            </w:pPr>
            <w:r>
              <w:t xml:space="preserve">Do you have an understanding of </w:t>
            </w:r>
            <w:r w:rsidR="00CB1CA3">
              <w:t>double taxation</w:t>
            </w:r>
            <w:r>
              <w:t>?</w:t>
            </w:r>
          </w:p>
        </w:tc>
        <w:tc>
          <w:tcPr>
            <w:tcW w:w="720" w:type="dxa"/>
          </w:tcPr>
          <w:p w14:paraId="7CCCD23D"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58AA6692"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1C2DC4FC"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04FFF6DE" w14:textId="77777777" w:rsidTr="0067435F">
        <w:tc>
          <w:tcPr>
            <w:tcW w:w="535" w:type="dxa"/>
          </w:tcPr>
          <w:p w14:paraId="21A6E039"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t>9.</w:t>
            </w:r>
          </w:p>
        </w:tc>
        <w:tc>
          <w:tcPr>
            <w:tcW w:w="6570" w:type="dxa"/>
          </w:tcPr>
          <w:p w14:paraId="19F4A574" w14:textId="77777777" w:rsidR="0067435F" w:rsidRDefault="0014074E" w:rsidP="0067435F">
            <w:pPr>
              <w:pStyle w:val="NoSpacing"/>
              <w:spacing w:line="480" w:lineRule="auto"/>
              <w:rPr>
                <w:rFonts w:ascii="Times New Roman" w:eastAsia="Calibri" w:hAnsi="Times New Roman" w:cs="Times New Roman"/>
                <w:b/>
                <w:noProof/>
              </w:rPr>
            </w:pPr>
            <w:r>
              <w:t>Does the explanation to contracts describe them fully?</w:t>
            </w:r>
          </w:p>
        </w:tc>
        <w:tc>
          <w:tcPr>
            <w:tcW w:w="720" w:type="dxa"/>
          </w:tcPr>
          <w:p w14:paraId="597C1633"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086C922D"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48306E30" w14:textId="77777777" w:rsidR="0067435F" w:rsidRDefault="0067435F" w:rsidP="0067435F">
            <w:pPr>
              <w:pStyle w:val="NoSpacing"/>
              <w:spacing w:line="480" w:lineRule="auto"/>
              <w:jc w:val="center"/>
              <w:rPr>
                <w:rFonts w:ascii="Times New Roman" w:eastAsia="Calibri" w:hAnsi="Times New Roman" w:cs="Times New Roman"/>
                <w:b/>
                <w:noProof/>
              </w:rPr>
            </w:pPr>
          </w:p>
        </w:tc>
      </w:tr>
      <w:tr w:rsidR="00515097" w14:paraId="137B82B6" w14:textId="77777777" w:rsidTr="0067435F">
        <w:tc>
          <w:tcPr>
            <w:tcW w:w="535" w:type="dxa"/>
          </w:tcPr>
          <w:p w14:paraId="6AAE4470" w14:textId="77777777" w:rsidR="0067435F" w:rsidRPr="0067435F" w:rsidRDefault="0014074E" w:rsidP="0067435F">
            <w:pPr>
              <w:pStyle w:val="NoSpacing"/>
              <w:spacing w:line="480" w:lineRule="auto"/>
              <w:jc w:val="center"/>
              <w:rPr>
                <w:rFonts w:ascii="Times New Roman" w:eastAsia="Calibri" w:hAnsi="Times New Roman" w:cs="Times New Roman"/>
                <w:noProof/>
              </w:rPr>
            </w:pPr>
            <w:r>
              <w:rPr>
                <w:rFonts w:ascii="Times New Roman" w:eastAsia="Calibri" w:hAnsi="Times New Roman" w:cs="Times New Roman"/>
                <w:noProof/>
              </w:rPr>
              <w:lastRenderedPageBreak/>
              <w:t>10.</w:t>
            </w:r>
          </w:p>
        </w:tc>
        <w:tc>
          <w:tcPr>
            <w:tcW w:w="6570" w:type="dxa"/>
          </w:tcPr>
          <w:p w14:paraId="3A8479D2" w14:textId="77777777" w:rsidR="0067435F" w:rsidRDefault="0014074E" w:rsidP="0067435F">
            <w:pPr>
              <w:pStyle w:val="NoSpacing"/>
              <w:spacing w:line="480" w:lineRule="auto"/>
              <w:rPr>
                <w:rFonts w:ascii="Times New Roman" w:eastAsia="Calibri" w:hAnsi="Times New Roman" w:cs="Times New Roman"/>
                <w:b/>
                <w:noProof/>
              </w:rPr>
            </w:pPr>
            <w:r>
              <w:t>Do you feel the provided explanations for the topics are up to date?</w:t>
            </w:r>
          </w:p>
        </w:tc>
        <w:tc>
          <w:tcPr>
            <w:tcW w:w="720" w:type="dxa"/>
          </w:tcPr>
          <w:p w14:paraId="07422DCE"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540" w:type="dxa"/>
          </w:tcPr>
          <w:p w14:paraId="10E3FA60" w14:textId="77777777" w:rsidR="0067435F" w:rsidRDefault="0067435F" w:rsidP="0067435F">
            <w:pPr>
              <w:pStyle w:val="NoSpacing"/>
              <w:spacing w:line="480" w:lineRule="auto"/>
              <w:jc w:val="center"/>
              <w:rPr>
                <w:rFonts w:ascii="Times New Roman" w:eastAsia="Calibri" w:hAnsi="Times New Roman" w:cs="Times New Roman"/>
                <w:b/>
                <w:noProof/>
              </w:rPr>
            </w:pPr>
          </w:p>
        </w:tc>
        <w:tc>
          <w:tcPr>
            <w:tcW w:w="985" w:type="dxa"/>
          </w:tcPr>
          <w:p w14:paraId="1508F3BE" w14:textId="77777777" w:rsidR="0067435F" w:rsidRDefault="0067435F" w:rsidP="0067435F">
            <w:pPr>
              <w:pStyle w:val="NoSpacing"/>
              <w:spacing w:line="480" w:lineRule="auto"/>
              <w:jc w:val="center"/>
              <w:rPr>
                <w:rFonts w:ascii="Times New Roman" w:eastAsia="Calibri" w:hAnsi="Times New Roman" w:cs="Times New Roman"/>
                <w:b/>
                <w:noProof/>
              </w:rPr>
            </w:pPr>
          </w:p>
        </w:tc>
      </w:tr>
    </w:tbl>
    <w:p w14:paraId="04524CEC" w14:textId="77777777" w:rsidR="00F36534" w:rsidRPr="009927BB" w:rsidRDefault="00F36534" w:rsidP="0067435F">
      <w:pPr>
        <w:pStyle w:val="NoSpacing"/>
        <w:ind w:left="720"/>
      </w:pPr>
    </w:p>
    <w:sdt>
      <w:sdtPr>
        <w:rPr>
          <w:rFonts w:asciiTheme="minorHAnsi" w:eastAsiaTheme="minorEastAsia" w:hAnsiTheme="minorHAnsi" w:cstheme="majorHAnsi"/>
        </w:rPr>
        <w:id w:val="62297111"/>
        <w:docPartObj>
          <w:docPartGallery w:val="Bibliographies"/>
          <w:docPartUnique/>
        </w:docPartObj>
      </w:sdtPr>
      <w:sdtEndPr/>
      <w:sdtContent>
        <w:p w14:paraId="645DB42D" w14:textId="77777777" w:rsidR="00E81978" w:rsidRPr="00DC4C70" w:rsidRDefault="0014074E" w:rsidP="000D7229">
          <w:pPr>
            <w:pStyle w:val="SectionTitle"/>
            <w:rPr>
              <w:rFonts w:cstheme="majorHAnsi"/>
            </w:rPr>
          </w:pPr>
          <w:r w:rsidRPr="00DC4C70">
            <w:rPr>
              <w:rFonts w:cstheme="majorHAnsi"/>
            </w:rPr>
            <w:t>References</w:t>
          </w:r>
        </w:p>
        <w:p w14:paraId="79D61642" w14:textId="77777777" w:rsidR="00B410AE" w:rsidRPr="000D7229" w:rsidRDefault="0014074E" w:rsidP="000D7229">
          <w:pPr>
            <w:pStyle w:val="Bibliography"/>
            <w:jc w:val="both"/>
            <w:rPr>
              <w:rFonts w:asciiTheme="majorHAnsi" w:hAnsiTheme="majorHAnsi" w:cstheme="majorHAnsi"/>
            </w:rPr>
          </w:pPr>
          <w:r w:rsidRPr="000D7229">
            <w:rPr>
              <w:rFonts w:asciiTheme="majorHAnsi" w:hAnsiTheme="majorHAnsi" w:cstheme="majorHAnsi"/>
              <w:noProof/>
            </w:rPr>
            <w:fldChar w:fldCharType="begin"/>
          </w:r>
          <w:r w:rsidRPr="000D7229">
            <w:rPr>
              <w:rFonts w:asciiTheme="majorHAnsi" w:hAnsiTheme="majorHAnsi" w:cstheme="majorHAnsi"/>
              <w:noProof/>
            </w:rPr>
            <w:instrText xml:space="preserve"> ADDIN ZOTERO_BIBL {"uncited":[],"omitted":[],"custom":[]} CSL_BIBLIOGRAPHY </w:instrText>
          </w:r>
          <w:r w:rsidRPr="000D7229">
            <w:rPr>
              <w:rFonts w:asciiTheme="majorHAnsi" w:hAnsiTheme="majorHAnsi" w:cstheme="majorHAnsi"/>
              <w:noProof/>
            </w:rPr>
            <w:fldChar w:fldCharType="separate"/>
          </w:r>
          <w:r w:rsidRPr="000D7229">
            <w:rPr>
              <w:rFonts w:asciiTheme="majorHAnsi" w:hAnsiTheme="majorHAnsi" w:cstheme="majorHAnsi"/>
            </w:rPr>
            <w:t xml:space="preserve">Needle, D. (2010). </w:t>
          </w:r>
          <w:r w:rsidRPr="000D7229">
            <w:rPr>
              <w:rFonts w:asciiTheme="majorHAnsi" w:hAnsiTheme="majorHAnsi" w:cstheme="majorHAnsi"/>
              <w:i/>
              <w:iCs/>
            </w:rPr>
            <w:t>Business in context: An introduction to business and its environment</w:t>
          </w:r>
          <w:r w:rsidRPr="000D7229">
            <w:rPr>
              <w:rFonts w:asciiTheme="majorHAnsi" w:hAnsiTheme="majorHAnsi" w:cstheme="majorHAnsi"/>
            </w:rPr>
            <w:t xml:space="preserve"> (5th ed). Andover: Cengage Learning.</w:t>
          </w:r>
        </w:p>
        <w:p w14:paraId="2520E21B" w14:textId="77777777" w:rsidR="00B410AE" w:rsidRPr="000D7229" w:rsidRDefault="0014074E" w:rsidP="000D7229">
          <w:pPr>
            <w:pStyle w:val="Bibliography"/>
            <w:jc w:val="both"/>
            <w:rPr>
              <w:rFonts w:asciiTheme="majorHAnsi" w:hAnsiTheme="majorHAnsi" w:cstheme="majorHAnsi"/>
            </w:rPr>
          </w:pPr>
          <w:r w:rsidRPr="000D7229">
            <w:rPr>
              <w:rFonts w:asciiTheme="majorHAnsi" w:hAnsiTheme="majorHAnsi" w:cstheme="majorHAnsi"/>
            </w:rPr>
            <w:t xml:space="preserve">Shahin, A., &amp; Mahbod, M. A. (2007). Prioritization of key performance indicators: An integration of analytical hierarchy process and goal setting. </w:t>
          </w:r>
          <w:r w:rsidRPr="000D7229">
            <w:rPr>
              <w:rFonts w:asciiTheme="majorHAnsi" w:hAnsiTheme="majorHAnsi" w:cstheme="majorHAnsi"/>
              <w:i/>
              <w:iCs/>
            </w:rPr>
            <w:t>International Journal of Productivity and Performance Management</w:t>
          </w:r>
          <w:r w:rsidRPr="000D7229">
            <w:rPr>
              <w:rFonts w:asciiTheme="majorHAnsi" w:hAnsiTheme="majorHAnsi" w:cstheme="majorHAnsi"/>
            </w:rPr>
            <w:t xml:space="preserve">, </w:t>
          </w:r>
          <w:r w:rsidRPr="000D7229">
            <w:rPr>
              <w:rFonts w:asciiTheme="majorHAnsi" w:hAnsiTheme="majorHAnsi" w:cstheme="majorHAnsi"/>
              <w:i/>
              <w:iCs/>
            </w:rPr>
            <w:t>56</w:t>
          </w:r>
          <w:r w:rsidRPr="000D7229">
            <w:rPr>
              <w:rFonts w:asciiTheme="majorHAnsi" w:hAnsiTheme="majorHAnsi" w:cstheme="majorHAnsi"/>
            </w:rPr>
            <w:t>(3), 226–240. https://doi.org/10.1108/17410400710731437</w:t>
          </w:r>
        </w:p>
        <w:p w14:paraId="798EF0A9" w14:textId="77777777" w:rsidR="00B410AE" w:rsidRPr="000D7229" w:rsidRDefault="0014074E" w:rsidP="000D7229">
          <w:pPr>
            <w:pStyle w:val="Bibliography"/>
            <w:jc w:val="both"/>
            <w:rPr>
              <w:rFonts w:asciiTheme="majorHAnsi" w:hAnsiTheme="majorHAnsi" w:cstheme="majorHAnsi"/>
            </w:rPr>
          </w:pPr>
          <w:r w:rsidRPr="000D7229">
            <w:rPr>
              <w:rFonts w:asciiTheme="majorHAnsi" w:hAnsiTheme="majorHAnsi" w:cstheme="majorHAnsi"/>
            </w:rPr>
            <w:t xml:space="preserve">Stim, R. (2016). </w:t>
          </w:r>
          <w:r w:rsidRPr="000D7229">
            <w:rPr>
              <w:rFonts w:asciiTheme="majorHAnsi" w:hAnsiTheme="majorHAnsi" w:cstheme="majorHAnsi"/>
              <w:i/>
              <w:iCs/>
            </w:rPr>
            <w:t>Contracts: The Essential Business Desk Reference</w:t>
          </w:r>
          <w:r w:rsidRPr="000D7229">
            <w:rPr>
              <w:rFonts w:asciiTheme="majorHAnsi" w:hAnsiTheme="majorHAnsi" w:cstheme="majorHAnsi"/>
            </w:rPr>
            <w:t>. Nolo.</w:t>
          </w:r>
        </w:p>
        <w:p w14:paraId="7BB36ED7" w14:textId="77777777" w:rsidR="000D7229" w:rsidRPr="000D7229" w:rsidRDefault="0014074E" w:rsidP="000D7229">
          <w:pPr>
            <w:pStyle w:val="Bibliography"/>
            <w:ind w:left="0" w:firstLine="0"/>
            <w:jc w:val="both"/>
            <w:rPr>
              <w:rFonts w:asciiTheme="majorHAnsi" w:hAnsiTheme="majorHAnsi" w:cstheme="majorHAnsi"/>
              <w:color w:val="222222"/>
              <w:shd w:val="clear" w:color="auto" w:fill="FFFFFF"/>
            </w:rPr>
          </w:pPr>
          <w:r w:rsidRPr="000D7229">
            <w:rPr>
              <w:rFonts w:asciiTheme="majorHAnsi" w:hAnsiTheme="majorHAnsi" w:cstheme="majorHAnsi"/>
              <w:noProof/>
            </w:rPr>
            <w:fldChar w:fldCharType="end"/>
          </w:r>
          <w:r w:rsidR="00B410AE" w:rsidRPr="000D7229">
            <w:rPr>
              <w:rFonts w:asciiTheme="majorHAnsi" w:hAnsiTheme="majorHAnsi" w:cstheme="majorHAnsi"/>
              <w:color w:val="222222"/>
              <w:shd w:val="clear" w:color="auto" w:fill="FFFFFF"/>
            </w:rPr>
            <w:t>Bayern, S. (2016). The Implications of Modern Business–Entity Law for the Regulation of Autonomous Systems. </w:t>
          </w:r>
          <w:r w:rsidR="00B410AE" w:rsidRPr="000D7229">
            <w:rPr>
              <w:rFonts w:asciiTheme="majorHAnsi" w:hAnsiTheme="majorHAnsi" w:cstheme="majorHAnsi"/>
              <w:i/>
              <w:iCs/>
              <w:color w:val="222222"/>
              <w:shd w:val="clear" w:color="auto" w:fill="FFFFFF"/>
            </w:rPr>
            <w:t>European Journal of Risk Regulation</w:t>
          </w:r>
          <w:r w:rsidR="00B410AE" w:rsidRPr="000D7229">
            <w:rPr>
              <w:rFonts w:asciiTheme="majorHAnsi" w:hAnsiTheme="majorHAnsi" w:cstheme="majorHAnsi"/>
              <w:color w:val="222222"/>
              <w:shd w:val="clear" w:color="auto" w:fill="FFFFFF"/>
            </w:rPr>
            <w:t>, </w:t>
          </w:r>
          <w:r w:rsidR="00B410AE" w:rsidRPr="000D7229">
            <w:rPr>
              <w:rFonts w:asciiTheme="majorHAnsi" w:hAnsiTheme="majorHAnsi" w:cstheme="majorHAnsi"/>
              <w:i/>
              <w:iCs/>
              <w:color w:val="222222"/>
              <w:shd w:val="clear" w:color="auto" w:fill="FFFFFF"/>
            </w:rPr>
            <w:t>7</w:t>
          </w:r>
          <w:r w:rsidR="00B410AE" w:rsidRPr="000D7229">
            <w:rPr>
              <w:rFonts w:asciiTheme="majorHAnsi" w:hAnsiTheme="majorHAnsi" w:cstheme="majorHAnsi"/>
              <w:color w:val="222222"/>
              <w:shd w:val="clear" w:color="auto" w:fill="FFFFFF"/>
            </w:rPr>
            <w:t>(2), 297-309.</w:t>
          </w:r>
          <w:r>
            <w:fldChar w:fldCharType="begin"/>
          </w:r>
          <w:r>
            <w:instrText xml:space="preserve"> BIBLIOGRAPHY  \l 1033 </w:instrText>
          </w:r>
          <w:r>
            <w:fldChar w:fldCharType="separate"/>
          </w:r>
        </w:p>
        <w:p w14:paraId="2DB01A3A" w14:textId="77777777" w:rsidR="000D7229" w:rsidRDefault="0014074E" w:rsidP="000D7229">
          <w:pPr>
            <w:pStyle w:val="Bibliography"/>
            <w:rPr>
              <w:noProof/>
            </w:rPr>
          </w:pPr>
          <w:r>
            <w:rPr>
              <w:noProof/>
            </w:rPr>
            <w:t xml:space="preserve">Wright, E. (2018, October 25). </w:t>
          </w:r>
          <w:r>
            <w:rPr>
              <w:i/>
              <w:iCs/>
              <w:noProof/>
            </w:rPr>
            <w:t>3 Types of Business Tax Classifications</w:t>
          </w:r>
          <w:r>
            <w:rPr>
              <w:noProof/>
            </w:rPr>
            <w:t>. Retrieved from Spring Hill chamber of Commerce: https://springhillchamber.com/3-types-of-business-tax-classifications/</w:t>
          </w:r>
        </w:p>
        <w:p w14:paraId="57EB011B" w14:textId="77777777" w:rsidR="000D7229" w:rsidRPr="000D7229" w:rsidRDefault="0014074E" w:rsidP="000D7229">
          <w:pPr>
            <w:ind w:firstLine="0"/>
            <w:jc w:val="both"/>
            <w:rPr>
              <w:rFonts w:asciiTheme="majorHAnsi" w:hAnsiTheme="majorHAnsi" w:cstheme="majorHAnsi"/>
            </w:rPr>
          </w:pPr>
          <w:r w:rsidRPr="000D7229">
            <w:rPr>
              <w:rFonts w:asciiTheme="majorHAnsi" w:hAnsiTheme="majorHAnsi" w:cstheme="majorHAnsi"/>
              <w:color w:val="222222"/>
              <w:shd w:val="clear" w:color="auto" w:fill="FFFFFF"/>
            </w:rPr>
            <w:t>Nithman, R. W. (2015). Business Entity Selection: Why It Matters to Healthcare Practitioners: Part I-Conceptual Framework, Sole Proprietorships, and Partnerships. </w:t>
          </w:r>
          <w:r w:rsidRPr="000D7229">
            <w:rPr>
              <w:rFonts w:asciiTheme="majorHAnsi" w:hAnsiTheme="majorHAnsi" w:cstheme="majorHAnsi"/>
              <w:i/>
              <w:iCs/>
              <w:color w:val="222222"/>
              <w:shd w:val="clear" w:color="auto" w:fill="FFFFFF"/>
            </w:rPr>
            <w:t>The Journal of medical practice management: MPM</w:t>
          </w:r>
          <w:r w:rsidRPr="000D7229">
            <w:rPr>
              <w:rFonts w:asciiTheme="majorHAnsi" w:hAnsiTheme="majorHAnsi" w:cstheme="majorHAnsi"/>
              <w:color w:val="222222"/>
              <w:shd w:val="clear" w:color="auto" w:fill="FFFFFF"/>
            </w:rPr>
            <w:t>, </w:t>
          </w:r>
          <w:r w:rsidRPr="000D7229">
            <w:rPr>
              <w:rFonts w:asciiTheme="majorHAnsi" w:hAnsiTheme="majorHAnsi" w:cstheme="majorHAnsi"/>
              <w:i/>
              <w:iCs/>
              <w:color w:val="222222"/>
              <w:shd w:val="clear" w:color="auto" w:fill="FFFFFF"/>
            </w:rPr>
            <w:t>30</w:t>
          </w:r>
          <w:r w:rsidRPr="000D7229">
            <w:rPr>
              <w:rFonts w:asciiTheme="majorHAnsi" w:hAnsiTheme="majorHAnsi" w:cstheme="majorHAnsi"/>
              <w:color w:val="222222"/>
              <w:shd w:val="clear" w:color="auto" w:fill="FFFFFF"/>
            </w:rPr>
            <w:t>(5), 358.</w:t>
          </w:r>
        </w:p>
        <w:p w14:paraId="6D964112" w14:textId="77777777" w:rsidR="000D7229" w:rsidRPr="000D7229" w:rsidRDefault="0014074E" w:rsidP="004014DC">
          <w:r>
            <w:fldChar w:fldCharType="end"/>
          </w:r>
        </w:p>
      </w:sdtContent>
    </w:sdt>
    <w:sectPr w:rsidR="000D7229" w:rsidRPr="000D722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B5AB" w14:textId="77777777" w:rsidR="006577F4" w:rsidRDefault="006577F4">
      <w:pPr>
        <w:spacing w:line="240" w:lineRule="auto"/>
      </w:pPr>
      <w:r>
        <w:separator/>
      </w:r>
    </w:p>
  </w:endnote>
  <w:endnote w:type="continuationSeparator" w:id="0">
    <w:p w14:paraId="21B84CF0" w14:textId="77777777" w:rsidR="006577F4" w:rsidRDefault="00657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47B8" w14:textId="77777777" w:rsidR="006577F4" w:rsidRDefault="006577F4">
      <w:pPr>
        <w:spacing w:line="240" w:lineRule="auto"/>
      </w:pPr>
      <w:r>
        <w:separator/>
      </w:r>
    </w:p>
  </w:footnote>
  <w:footnote w:type="continuationSeparator" w:id="0">
    <w:p w14:paraId="0F083C0D" w14:textId="77777777" w:rsidR="006577F4" w:rsidRDefault="00657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4925" w14:textId="77777777" w:rsidR="00E81978" w:rsidRDefault="006577F4">
    <w:pPr>
      <w:pStyle w:val="Header"/>
    </w:pPr>
    <w:sdt>
      <w:sdtPr>
        <w:rPr>
          <w:rFonts w:ascii="Times New Roman" w:eastAsia="Calibri" w:hAnsi="Times New Roman" w:cs="Times New Roman"/>
          <w:caps/>
          <w:noProof/>
          <w:kern w:val="0"/>
          <w:lang w:eastAsia="en-US"/>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sdtContent>
        <w:r w:rsidR="00EF56C9">
          <w:rPr>
            <w:rFonts w:ascii="Times New Roman" w:eastAsia="Calibri" w:hAnsi="Times New Roman" w:cs="Times New Roman"/>
            <w:caps/>
            <w:noProof/>
            <w:kern w:val="0"/>
            <w:lang w:eastAsia="en-US"/>
          </w:rPr>
          <w:t>LAW AND INTERNATIONAL LAW</w:t>
        </w:r>
      </w:sdtContent>
    </w:sdt>
    <w:r w:rsidR="0014074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79D0">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713A" w14:textId="77777777" w:rsidR="00E81978" w:rsidRDefault="00EF56C9">
    <w:pPr>
      <w:pStyle w:val="Header"/>
      <w:rPr>
        <w:rStyle w:val="Strong"/>
      </w:rPr>
    </w:pPr>
    <w:r>
      <w:rPr>
        <w:rFonts w:ascii="Times New Roman" w:eastAsia="Calibri" w:hAnsi="Times New Roman" w:cs="Times New Roman"/>
        <w:caps/>
        <w:noProof/>
        <w:kern w:val="0"/>
        <w:lang w:eastAsia="en-US"/>
      </w:rPr>
      <w:t>lAW AND INTERNATIONAL LAW</w:t>
    </w:r>
    <w:r w:rsidR="0014074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79D0">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3DD6A43"/>
    <w:multiLevelType w:val="hybridMultilevel"/>
    <w:tmpl w:val="60F2A044"/>
    <w:lvl w:ilvl="0" w:tplc="7534BD1A">
      <w:start w:val="4"/>
      <w:numFmt w:val="decimal"/>
      <w:lvlText w:val="%1."/>
      <w:lvlJc w:val="left"/>
      <w:pPr>
        <w:ind w:left="720" w:hanging="360"/>
      </w:pPr>
      <w:rPr>
        <w:rFonts w:hint="default"/>
      </w:rPr>
    </w:lvl>
    <w:lvl w:ilvl="1" w:tplc="11FC4C42" w:tentative="1">
      <w:start w:val="1"/>
      <w:numFmt w:val="lowerLetter"/>
      <w:lvlText w:val="%2."/>
      <w:lvlJc w:val="left"/>
      <w:pPr>
        <w:ind w:left="1440" w:hanging="360"/>
      </w:pPr>
    </w:lvl>
    <w:lvl w:ilvl="2" w:tplc="F5740BFC" w:tentative="1">
      <w:start w:val="1"/>
      <w:numFmt w:val="lowerRoman"/>
      <w:lvlText w:val="%3."/>
      <w:lvlJc w:val="right"/>
      <w:pPr>
        <w:ind w:left="2160" w:hanging="180"/>
      </w:pPr>
    </w:lvl>
    <w:lvl w:ilvl="3" w:tplc="292E3F58" w:tentative="1">
      <w:start w:val="1"/>
      <w:numFmt w:val="decimal"/>
      <w:lvlText w:val="%4."/>
      <w:lvlJc w:val="left"/>
      <w:pPr>
        <w:ind w:left="2880" w:hanging="360"/>
      </w:pPr>
    </w:lvl>
    <w:lvl w:ilvl="4" w:tplc="86803DB8" w:tentative="1">
      <w:start w:val="1"/>
      <w:numFmt w:val="lowerLetter"/>
      <w:lvlText w:val="%5."/>
      <w:lvlJc w:val="left"/>
      <w:pPr>
        <w:ind w:left="3600" w:hanging="360"/>
      </w:pPr>
    </w:lvl>
    <w:lvl w:ilvl="5" w:tplc="0FFE0972" w:tentative="1">
      <w:start w:val="1"/>
      <w:numFmt w:val="lowerRoman"/>
      <w:lvlText w:val="%6."/>
      <w:lvlJc w:val="right"/>
      <w:pPr>
        <w:ind w:left="4320" w:hanging="180"/>
      </w:pPr>
    </w:lvl>
    <w:lvl w:ilvl="6" w:tplc="C11E3ED2" w:tentative="1">
      <w:start w:val="1"/>
      <w:numFmt w:val="decimal"/>
      <w:lvlText w:val="%7."/>
      <w:lvlJc w:val="left"/>
      <w:pPr>
        <w:ind w:left="5040" w:hanging="360"/>
      </w:pPr>
    </w:lvl>
    <w:lvl w:ilvl="7" w:tplc="5A98E80E" w:tentative="1">
      <w:start w:val="1"/>
      <w:numFmt w:val="lowerLetter"/>
      <w:lvlText w:val="%8."/>
      <w:lvlJc w:val="left"/>
      <w:pPr>
        <w:ind w:left="5760" w:hanging="360"/>
      </w:pPr>
    </w:lvl>
    <w:lvl w:ilvl="8" w:tplc="1B18CB46"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1E0482"/>
    <w:multiLevelType w:val="hybridMultilevel"/>
    <w:tmpl w:val="5CE668F6"/>
    <w:lvl w:ilvl="0" w:tplc="6C266C60">
      <w:start w:val="1"/>
      <w:numFmt w:val="decimal"/>
      <w:lvlText w:val="%1."/>
      <w:lvlJc w:val="left"/>
      <w:pPr>
        <w:ind w:left="360" w:hanging="360"/>
      </w:pPr>
      <w:rPr>
        <w:rFonts w:hint="default"/>
      </w:rPr>
    </w:lvl>
    <w:lvl w:ilvl="1" w:tplc="3D64A2E2" w:tentative="1">
      <w:start w:val="1"/>
      <w:numFmt w:val="lowerLetter"/>
      <w:lvlText w:val="%2."/>
      <w:lvlJc w:val="left"/>
      <w:pPr>
        <w:ind w:left="1080" w:hanging="360"/>
      </w:pPr>
    </w:lvl>
    <w:lvl w:ilvl="2" w:tplc="2424BE3C" w:tentative="1">
      <w:start w:val="1"/>
      <w:numFmt w:val="lowerRoman"/>
      <w:lvlText w:val="%3."/>
      <w:lvlJc w:val="right"/>
      <w:pPr>
        <w:ind w:left="1800" w:hanging="180"/>
      </w:pPr>
    </w:lvl>
    <w:lvl w:ilvl="3" w:tplc="A392871E" w:tentative="1">
      <w:start w:val="1"/>
      <w:numFmt w:val="decimal"/>
      <w:lvlText w:val="%4."/>
      <w:lvlJc w:val="left"/>
      <w:pPr>
        <w:ind w:left="2520" w:hanging="360"/>
      </w:pPr>
    </w:lvl>
    <w:lvl w:ilvl="4" w:tplc="F15CDE7E" w:tentative="1">
      <w:start w:val="1"/>
      <w:numFmt w:val="lowerLetter"/>
      <w:lvlText w:val="%5."/>
      <w:lvlJc w:val="left"/>
      <w:pPr>
        <w:ind w:left="3240" w:hanging="360"/>
      </w:pPr>
    </w:lvl>
    <w:lvl w:ilvl="5" w:tplc="486228E6" w:tentative="1">
      <w:start w:val="1"/>
      <w:numFmt w:val="lowerRoman"/>
      <w:lvlText w:val="%6."/>
      <w:lvlJc w:val="right"/>
      <w:pPr>
        <w:ind w:left="3960" w:hanging="180"/>
      </w:pPr>
    </w:lvl>
    <w:lvl w:ilvl="6" w:tplc="4F002A8A" w:tentative="1">
      <w:start w:val="1"/>
      <w:numFmt w:val="decimal"/>
      <w:lvlText w:val="%7."/>
      <w:lvlJc w:val="left"/>
      <w:pPr>
        <w:ind w:left="4680" w:hanging="360"/>
      </w:pPr>
    </w:lvl>
    <w:lvl w:ilvl="7" w:tplc="5718CF9C" w:tentative="1">
      <w:start w:val="1"/>
      <w:numFmt w:val="lowerLetter"/>
      <w:lvlText w:val="%8."/>
      <w:lvlJc w:val="left"/>
      <w:pPr>
        <w:ind w:left="5400" w:hanging="360"/>
      </w:pPr>
    </w:lvl>
    <w:lvl w:ilvl="8" w:tplc="2F4AA022" w:tentative="1">
      <w:start w:val="1"/>
      <w:numFmt w:val="lowerRoman"/>
      <w:lvlText w:val="%9."/>
      <w:lvlJc w:val="right"/>
      <w:pPr>
        <w:ind w:left="612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1146F2"/>
    <w:multiLevelType w:val="hybridMultilevel"/>
    <w:tmpl w:val="68028818"/>
    <w:lvl w:ilvl="0" w:tplc="1DE6721E">
      <w:start w:val="1"/>
      <w:numFmt w:val="bullet"/>
      <w:lvlText w:val=""/>
      <w:lvlJc w:val="left"/>
      <w:pPr>
        <w:ind w:left="360" w:hanging="360"/>
      </w:pPr>
      <w:rPr>
        <w:rFonts w:ascii="Symbol" w:hAnsi="Symbol" w:hint="default"/>
      </w:rPr>
    </w:lvl>
    <w:lvl w:ilvl="1" w:tplc="6B6C9834" w:tentative="1">
      <w:start w:val="1"/>
      <w:numFmt w:val="bullet"/>
      <w:lvlText w:val="o"/>
      <w:lvlJc w:val="left"/>
      <w:pPr>
        <w:ind w:left="1080" w:hanging="360"/>
      </w:pPr>
      <w:rPr>
        <w:rFonts w:ascii="Courier New" w:hAnsi="Courier New" w:cs="Courier New" w:hint="default"/>
      </w:rPr>
    </w:lvl>
    <w:lvl w:ilvl="2" w:tplc="A58A2A7C" w:tentative="1">
      <w:start w:val="1"/>
      <w:numFmt w:val="bullet"/>
      <w:lvlText w:val=""/>
      <w:lvlJc w:val="left"/>
      <w:pPr>
        <w:ind w:left="1800" w:hanging="360"/>
      </w:pPr>
      <w:rPr>
        <w:rFonts w:ascii="Wingdings" w:hAnsi="Wingdings" w:hint="default"/>
      </w:rPr>
    </w:lvl>
    <w:lvl w:ilvl="3" w:tplc="4DAE5D2E" w:tentative="1">
      <w:start w:val="1"/>
      <w:numFmt w:val="bullet"/>
      <w:lvlText w:val=""/>
      <w:lvlJc w:val="left"/>
      <w:pPr>
        <w:ind w:left="2520" w:hanging="360"/>
      </w:pPr>
      <w:rPr>
        <w:rFonts w:ascii="Symbol" w:hAnsi="Symbol" w:hint="default"/>
      </w:rPr>
    </w:lvl>
    <w:lvl w:ilvl="4" w:tplc="3CF6253E" w:tentative="1">
      <w:start w:val="1"/>
      <w:numFmt w:val="bullet"/>
      <w:lvlText w:val="o"/>
      <w:lvlJc w:val="left"/>
      <w:pPr>
        <w:ind w:left="3240" w:hanging="360"/>
      </w:pPr>
      <w:rPr>
        <w:rFonts w:ascii="Courier New" w:hAnsi="Courier New" w:cs="Courier New" w:hint="default"/>
      </w:rPr>
    </w:lvl>
    <w:lvl w:ilvl="5" w:tplc="0B60DE80" w:tentative="1">
      <w:start w:val="1"/>
      <w:numFmt w:val="bullet"/>
      <w:lvlText w:val=""/>
      <w:lvlJc w:val="left"/>
      <w:pPr>
        <w:ind w:left="3960" w:hanging="360"/>
      </w:pPr>
      <w:rPr>
        <w:rFonts w:ascii="Wingdings" w:hAnsi="Wingdings" w:hint="default"/>
      </w:rPr>
    </w:lvl>
    <w:lvl w:ilvl="6" w:tplc="7F44D10C" w:tentative="1">
      <w:start w:val="1"/>
      <w:numFmt w:val="bullet"/>
      <w:lvlText w:val=""/>
      <w:lvlJc w:val="left"/>
      <w:pPr>
        <w:ind w:left="4680" w:hanging="360"/>
      </w:pPr>
      <w:rPr>
        <w:rFonts w:ascii="Symbol" w:hAnsi="Symbol" w:hint="default"/>
      </w:rPr>
    </w:lvl>
    <w:lvl w:ilvl="7" w:tplc="307EC522" w:tentative="1">
      <w:start w:val="1"/>
      <w:numFmt w:val="bullet"/>
      <w:lvlText w:val="o"/>
      <w:lvlJc w:val="left"/>
      <w:pPr>
        <w:ind w:left="5400" w:hanging="360"/>
      </w:pPr>
      <w:rPr>
        <w:rFonts w:ascii="Courier New" w:hAnsi="Courier New" w:cs="Courier New" w:hint="default"/>
      </w:rPr>
    </w:lvl>
    <w:lvl w:ilvl="8" w:tplc="5FEEABEE" w:tentative="1">
      <w:start w:val="1"/>
      <w:numFmt w:val="bullet"/>
      <w:lvlText w:val=""/>
      <w:lvlJc w:val="left"/>
      <w:pPr>
        <w:ind w:left="6120" w:hanging="360"/>
      </w:pPr>
      <w:rPr>
        <w:rFonts w:ascii="Wingdings" w:hAnsi="Wingdings" w:hint="default"/>
      </w:rPr>
    </w:lvl>
  </w:abstractNum>
  <w:abstractNum w:abstractNumId="15" w15:restartNumberingAfterBreak="0">
    <w:nsid w:val="5BA626F4"/>
    <w:multiLevelType w:val="hybridMultilevel"/>
    <w:tmpl w:val="90BC02C4"/>
    <w:lvl w:ilvl="0" w:tplc="B5A0539A">
      <w:start w:val="1"/>
      <w:numFmt w:val="decimal"/>
      <w:lvlText w:val="%1."/>
      <w:lvlJc w:val="left"/>
      <w:pPr>
        <w:ind w:left="720" w:hanging="360"/>
      </w:pPr>
      <w:rPr>
        <w:rFonts w:ascii="Times New Roman" w:eastAsia="Calibri" w:hAnsi="Times New Roman" w:cs="Times New Roman" w:hint="default"/>
      </w:rPr>
    </w:lvl>
    <w:lvl w:ilvl="1" w:tplc="A564594E" w:tentative="1">
      <w:start w:val="1"/>
      <w:numFmt w:val="lowerLetter"/>
      <w:lvlText w:val="%2."/>
      <w:lvlJc w:val="left"/>
      <w:pPr>
        <w:ind w:left="1440" w:hanging="360"/>
      </w:pPr>
    </w:lvl>
    <w:lvl w:ilvl="2" w:tplc="7D328A30" w:tentative="1">
      <w:start w:val="1"/>
      <w:numFmt w:val="lowerRoman"/>
      <w:lvlText w:val="%3."/>
      <w:lvlJc w:val="right"/>
      <w:pPr>
        <w:ind w:left="2160" w:hanging="180"/>
      </w:pPr>
    </w:lvl>
    <w:lvl w:ilvl="3" w:tplc="C9984328" w:tentative="1">
      <w:start w:val="1"/>
      <w:numFmt w:val="decimal"/>
      <w:lvlText w:val="%4."/>
      <w:lvlJc w:val="left"/>
      <w:pPr>
        <w:ind w:left="2880" w:hanging="360"/>
      </w:pPr>
    </w:lvl>
    <w:lvl w:ilvl="4" w:tplc="CC5A3808" w:tentative="1">
      <w:start w:val="1"/>
      <w:numFmt w:val="lowerLetter"/>
      <w:lvlText w:val="%5."/>
      <w:lvlJc w:val="left"/>
      <w:pPr>
        <w:ind w:left="3600" w:hanging="360"/>
      </w:pPr>
    </w:lvl>
    <w:lvl w:ilvl="5" w:tplc="0BD43566" w:tentative="1">
      <w:start w:val="1"/>
      <w:numFmt w:val="lowerRoman"/>
      <w:lvlText w:val="%6."/>
      <w:lvlJc w:val="right"/>
      <w:pPr>
        <w:ind w:left="4320" w:hanging="180"/>
      </w:pPr>
    </w:lvl>
    <w:lvl w:ilvl="6" w:tplc="107CD11A" w:tentative="1">
      <w:start w:val="1"/>
      <w:numFmt w:val="decimal"/>
      <w:lvlText w:val="%7."/>
      <w:lvlJc w:val="left"/>
      <w:pPr>
        <w:ind w:left="5040" w:hanging="360"/>
      </w:pPr>
    </w:lvl>
    <w:lvl w:ilvl="7" w:tplc="5C30FA7A" w:tentative="1">
      <w:start w:val="1"/>
      <w:numFmt w:val="lowerLetter"/>
      <w:lvlText w:val="%8."/>
      <w:lvlJc w:val="left"/>
      <w:pPr>
        <w:ind w:left="5760" w:hanging="360"/>
      </w:pPr>
    </w:lvl>
    <w:lvl w:ilvl="8" w:tplc="B8727CAA" w:tentative="1">
      <w:start w:val="1"/>
      <w:numFmt w:val="lowerRoman"/>
      <w:lvlText w:val="%9."/>
      <w:lvlJc w:val="right"/>
      <w:pPr>
        <w:ind w:left="6480" w:hanging="180"/>
      </w:pPr>
    </w:lvl>
  </w:abstractNum>
  <w:abstractNum w:abstractNumId="16" w15:restartNumberingAfterBreak="0">
    <w:nsid w:val="643A47C2"/>
    <w:multiLevelType w:val="hybridMultilevel"/>
    <w:tmpl w:val="C9E841D8"/>
    <w:lvl w:ilvl="0" w:tplc="EB883E44">
      <w:start w:val="1"/>
      <w:numFmt w:val="bullet"/>
      <w:lvlText w:val=""/>
      <w:lvlJc w:val="left"/>
      <w:pPr>
        <w:ind w:left="720" w:hanging="360"/>
      </w:pPr>
      <w:rPr>
        <w:rFonts w:ascii="Symbol" w:hAnsi="Symbol" w:hint="default"/>
      </w:rPr>
    </w:lvl>
    <w:lvl w:ilvl="1" w:tplc="11DEBBE0" w:tentative="1">
      <w:start w:val="1"/>
      <w:numFmt w:val="bullet"/>
      <w:lvlText w:val="o"/>
      <w:lvlJc w:val="left"/>
      <w:pPr>
        <w:ind w:left="1440" w:hanging="360"/>
      </w:pPr>
      <w:rPr>
        <w:rFonts w:ascii="Courier New" w:hAnsi="Courier New" w:cs="Courier New" w:hint="default"/>
      </w:rPr>
    </w:lvl>
    <w:lvl w:ilvl="2" w:tplc="19504FE0" w:tentative="1">
      <w:start w:val="1"/>
      <w:numFmt w:val="bullet"/>
      <w:lvlText w:val=""/>
      <w:lvlJc w:val="left"/>
      <w:pPr>
        <w:ind w:left="2160" w:hanging="360"/>
      </w:pPr>
      <w:rPr>
        <w:rFonts w:ascii="Wingdings" w:hAnsi="Wingdings" w:hint="default"/>
      </w:rPr>
    </w:lvl>
    <w:lvl w:ilvl="3" w:tplc="BD6A1BB8" w:tentative="1">
      <w:start w:val="1"/>
      <w:numFmt w:val="bullet"/>
      <w:lvlText w:val=""/>
      <w:lvlJc w:val="left"/>
      <w:pPr>
        <w:ind w:left="2880" w:hanging="360"/>
      </w:pPr>
      <w:rPr>
        <w:rFonts w:ascii="Symbol" w:hAnsi="Symbol" w:hint="default"/>
      </w:rPr>
    </w:lvl>
    <w:lvl w:ilvl="4" w:tplc="E542C740" w:tentative="1">
      <w:start w:val="1"/>
      <w:numFmt w:val="bullet"/>
      <w:lvlText w:val="o"/>
      <w:lvlJc w:val="left"/>
      <w:pPr>
        <w:ind w:left="3600" w:hanging="360"/>
      </w:pPr>
      <w:rPr>
        <w:rFonts w:ascii="Courier New" w:hAnsi="Courier New" w:cs="Courier New" w:hint="default"/>
      </w:rPr>
    </w:lvl>
    <w:lvl w:ilvl="5" w:tplc="5B14A5A0" w:tentative="1">
      <w:start w:val="1"/>
      <w:numFmt w:val="bullet"/>
      <w:lvlText w:val=""/>
      <w:lvlJc w:val="left"/>
      <w:pPr>
        <w:ind w:left="4320" w:hanging="360"/>
      </w:pPr>
      <w:rPr>
        <w:rFonts w:ascii="Wingdings" w:hAnsi="Wingdings" w:hint="default"/>
      </w:rPr>
    </w:lvl>
    <w:lvl w:ilvl="6" w:tplc="56D8282E" w:tentative="1">
      <w:start w:val="1"/>
      <w:numFmt w:val="bullet"/>
      <w:lvlText w:val=""/>
      <w:lvlJc w:val="left"/>
      <w:pPr>
        <w:ind w:left="5040" w:hanging="360"/>
      </w:pPr>
      <w:rPr>
        <w:rFonts w:ascii="Symbol" w:hAnsi="Symbol" w:hint="default"/>
      </w:rPr>
    </w:lvl>
    <w:lvl w:ilvl="7" w:tplc="EA3EC986" w:tentative="1">
      <w:start w:val="1"/>
      <w:numFmt w:val="bullet"/>
      <w:lvlText w:val="o"/>
      <w:lvlJc w:val="left"/>
      <w:pPr>
        <w:ind w:left="5760" w:hanging="360"/>
      </w:pPr>
      <w:rPr>
        <w:rFonts w:ascii="Courier New" w:hAnsi="Courier New" w:cs="Courier New" w:hint="default"/>
      </w:rPr>
    </w:lvl>
    <w:lvl w:ilvl="8" w:tplc="D578F83A" w:tentative="1">
      <w:start w:val="1"/>
      <w:numFmt w:val="bullet"/>
      <w:lvlText w:val=""/>
      <w:lvlJc w:val="left"/>
      <w:pPr>
        <w:ind w:left="648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E7C60CD"/>
    <w:multiLevelType w:val="hybridMultilevel"/>
    <w:tmpl w:val="D024A7BC"/>
    <w:lvl w:ilvl="0" w:tplc="A60803E6">
      <w:start w:val="1"/>
      <w:numFmt w:val="lowerRoman"/>
      <w:lvlText w:val="%1."/>
      <w:lvlJc w:val="right"/>
      <w:pPr>
        <w:ind w:left="720" w:hanging="360"/>
      </w:pPr>
      <w:rPr>
        <w:rFonts w:hint="default"/>
      </w:rPr>
    </w:lvl>
    <w:lvl w:ilvl="1" w:tplc="F252F704" w:tentative="1">
      <w:start w:val="1"/>
      <w:numFmt w:val="lowerLetter"/>
      <w:lvlText w:val="%2."/>
      <w:lvlJc w:val="left"/>
      <w:pPr>
        <w:ind w:left="1440" w:hanging="360"/>
      </w:pPr>
    </w:lvl>
    <w:lvl w:ilvl="2" w:tplc="E0828F1E" w:tentative="1">
      <w:start w:val="1"/>
      <w:numFmt w:val="lowerRoman"/>
      <w:lvlText w:val="%3."/>
      <w:lvlJc w:val="right"/>
      <w:pPr>
        <w:ind w:left="2160" w:hanging="180"/>
      </w:pPr>
    </w:lvl>
    <w:lvl w:ilvl="3" w:tplc="EBBA01C0" w:tentative="1">
      <w:start w:val="1"/>
      <w:numFmt w:val="decimal"/>
      <w:lvlText w:val="%4."/>
      <w:lvlJc w:val="left"/>
      <w:pPr>
        <w:ind w:left="2880" w:hanging="360"/>
      </w:pPr>
    </w:lvl>
    <w:lvl w:ilvl="4" w:tplc="6EC635C4" w:tentative="1">
      <w:start w:val="1"/>
      <w:numFmt w:val="lowerLetter"/>
      <w:lvlText w:val="%5."/>
      <w:lvlJc w:val="left"/>
      <w:pPr>
        <w:ind w:left="3600" w:hanging="360"/>
      </w:pPr>
    </w:lvl>
    <w:lvl w:ilvl="5" w:tplc="F2065FD4" w:tentative="1">
      <w:start w:val="1"/>
      <w:numFmt w:val="lowerRoman"/>
      <w:lvlText w:val="%6."/>
      <w:lvlJc w:val="right"/>
      <w:pPr>
        <w:ind w:left="4320" w:hanging="180"/>
      </w:pPr>
    </w:lvl>
    <w:lvl w:ilvl="6" w:tplc="9C307970" w:tentative="1">
      <w:start w:val="1"/>
      <w:numFmt w:val="decimal"/>
      <w:lvlText w:val="%7."/>
      <w:lvlJc w:val="left"/>
      <w:pPr>
        <w:ind w:left="5040" w:hanging="360"/>
      </w:pPr>
    </w:lvl>
    <w:lvl w:ilvl="7" w:tplc="50F68234" w:tentative="1">
      <w:start w:val="1"/>
      <w:numFmt w:val="lowerLetter"/>
      <w:lvlText w:val="%8."/>
      <w:lvlJc w:val="left"/>
      <w:pPr>
        <w:ind w:left="5760" w:hanging="360"/>
      </w:pPr>
    </w:lvl>
    <w:lvl w:ilvl="8" w:tplc="9BC6623E" w:tentative="1">
      <w:start w:val="1"/>
      <w:numFmt w:val="lowerRoman"/>
      <w:lvlText w:val="%9."/>
      <w:lvlJc w:val="right"/>
      <w:pPr>
        <w:ind w:left="6480" w:hanging="180"/>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3"/>
  </w:num>
  <w:num w:numId="14">
    <w:abstractNumId w:val="11"/>
  </w:num>
  <w:num w:numId="15">
    <w:abstractNumId w:val="17"/>
  </w:num>
  <w:num w:numId="16">
    <w:abstractNumId w:val="18"/>
  </w:num>
  <w:num w:numId="17">
    <w:abstractNumId w:val="14"/>
  </w:num>
  <w:num w:numId="18">
    <w:abstractNumId w:val="16"/>
  </w:num>
  <w:num w:numId="19">
    <w:abstractNumId w:val="1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130F"/>
    <w:rsid w:val="000D3F41"/>
    <w:rsid w:val="000D7229"/>
    <w:rsid w:val="0014074E"/>
    <w:rsid w:val="001C79D0"/>
    <w:rsid w:val="001C7BA2"/>
    <w:rsid w:val="001D14E2"/>
    <w:rsid w:val="00283D4A"/>
    <w:rsid w:val="0029311C"/>
    <w:rsid w:val="00355DCA"/>
    <w:rsid w:val="003F09EF"/>
    <w:rsid w:val="004014DC"/>
    <w:rsid w:val="004D02C2"/>
    <w:rsid w:val="00515097"/>
    <w:rsid w:val="005406D9"/>
    <w:rsid w:val="00551A02"/>
    <w:rsid w:val="005534FA"/>
    <w:rsid w:val="005607F2"/>
    <w:rsid w:val="005C34F0"/>
    <w:rsid w:val="005D3A03"/>
    <w:rsid w:val="006577F4"/>
    <w:rsid w:val="0067435F"/>
    <w:rsid w:val="0074228F"/>
    <w:rsid w:val="007A4DDC"/>
    <w:rsid w:val="007E0EE9"/>
    <w:rsid w:val="008002C0"/>
    <w:rsid w:val="0080533D"/>
    <w:rsid w:val="008C5323"/>
    <w:rsid w:val="009927BB"/>
    <w:rsid w:val="009A6A3B"/>
    <w:rsid w:val="009B55BB"/>
    <w:rsid w:val="00A6739D"/>
    <w:rsid w:val="00AB3DF3"/>
    <w:rsid w:val="00B410AE"/>
    <w:rsid w:val="00B823AA"/>
    <w:rsid w:val="00BA17D5"/>
    <w:rsid w:val="00BA45DB"/>
    <w:rsid w:val="00BF4184"/>
    <w:rsid w:val="00C04FEA"/>
    <w:rsid w:val="00C0601E"/>
    <w:rsid w:val="00C31D30"/>
    <w:rsid w:val="00C50272"/>
    <w:rsid w:val="00C51337"/>
    <w:rsid w:val="00C73F57"/>
    <w:rsid w:val="00CB1CA3"/>
    <w:rsid w:val="00CD6E39"/>
    <w:rsid w:val="00CF6E91"/>
    <w:rsid w:val="00D603F8"/>
    <w:rsid w:val="00D85B68"/>
    <w:rsid w:val="00DC4C70"/>
    <w:rsid w:val="00E52F98"/>
    <w:rsid w:val="00E6004D"/>
    <w:rsid w:val="00E81978"/>
    <w:rsid w:val="00EB4B41"/>
    <w:rsid w:val="00EF56C9"/>
    <w:rsid w:val="00F36534"/>
    <w:rsid w:val="00F379B7"/>
    <w:rsid w:val="00F46D6E"/>
    <w:rsid w:val="00F525FA"/>
    <w:rsid w:val="00F85D8B"/>
    <w:rsid w:val="00FA672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85B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fusion-inline-sep">
    <w:name w:val="fusion-inline-sep"/>
    <w:basedOn w:val="DefaultParagraphFont"/>
    <w:rsid w:val="00F46D6E"/>
  </w:style>
  <w:style w:type="character" w:styleId="Hyperlink">
    <w:name w:val="Hyperlink"/>
    <w:basedOn w:val="DefaultParagraphFont"/>
    <w:uiPriority w:val="99"/>
    <w:semiHidden/>
    <w:unhideWhenUsed/>
    <w:rsid w:val="00F46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0533D" w:rsidRDefault="00CE411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0533D" w:rsidRDefault="00CE411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0533D" w:rsidRDefault="00CE411D">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0533D" w:rsidRDefault="00CE411D">
          <w:pPr>
            <w:pStyle w:val="037316B403344476B38C5B9A07EB5CAC"/>
          </w:pPr>
          <w:r w:rsidRPr="005D3A03">
            <w:t>Figures title:</w:t>
          </w:r>
        </w:p>
      </w:docPartBody>
    </w:docPart>
    <w:docPart>
      <w:docPartPr>
        <w:name w:val="27BE0A2F7CAD4CA2B6750B971844E2F7"/>
        <w:category>
          <w:name w:val="General"/>
          <w:gallery w:val="placeholder"/>
        </w:category>
        <w:types>
          <w:type w:val="bbPlcHdr"/>
        </w:types>
        <w:behaviors>
          <w:behavior w:val="content"/>
        </w:behaviors>
        <w:guid w:val="{FB3C81D7-8B2A-4013-A646-4A320015C604}"/>
      </w:docPartPr>
      <w:docPartBody>
        <w:p w:rsidR="00C77C8D" w:rsidRDefault="00CA14E8" w:rsidP="00CA14E8">
          <w:pPr>
            <w:pStyle w:val="27BE0A2F7CAD4CA2B6750B971844E2F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04D6D"/>
    <w:rsid w:val="00313E00"/>
    <w:rsid w:val="006368CC"/>
    <w:rsid w:val="006B77E0"/>
    <w:rsid w:val="0080533D"/>
    <w:rsid w:val="00B279E5"/>
    <w:rsid w:val="00C77C8D"/>
    <w:rsid w:val="00CA14E8"/>
    <w:rsid w:val="00CE411D"/>
    <w:rsid w:val="00DF5D6F"/>
    <w:rsid w:val="00E3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710B22E449D6426F96BC05FB7CE02C06">
    <w:name w:val="710B22E449D6426F96BC05FB7CE02C06"/>
    <w:rsid w:val="0080533D"/>
  </w:style>
  <w:style w:type="paragraph" w:customStyle="1" w:styleId="27BE0A2F7CAD4CA2B6750B971844E2F7">
    <w:name w:val="27BE0A2F7CAD4CA2B6750B971844E2F7"/>
    <w:rsid w:val="00CA1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Wri18</b:Tag>
    <b:SourceType>InternetSite</b:SourceType>
    <b:Guid>{AA0E355A-7687-495F-91C3-F9CE90FA2614}</b:Guid>
    <b:Author>
      <b:Author>
        <b:NameList>
          <b:Person>
            <b:Last>Wright</b:Last>
            <b:First>Emily</b:First>
          </b:Person>
        </b:NameList>
      </b:Author>
    </b:Author>
    <b:Title>3 Types of Business Tax Classifications</b:Title>
    <b:InternetSiteTitle>Spring Hill chamber of Commerce</b:InternetSiteTitle>
    <b:Year>2018</b:Year>
    <b:Month>October</b:Month>
    <b:Day>25</b:Day>
    <b:URL>https://springhillchamber.com/3-types-of-business-tax-classifications/</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922A6-AC70-4C7E-BEA4-2E7ED8A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 Nuggets of a Dynamic Business Structure</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Nuggets of a Dynamic Business Structure</dc:title>
  <dc:creator>Zack Gold</dc:creator>
  <cp:lastModifiedBy>Morning</cp:lastModifiedBy>
  <cp:revision>2</cp:revision>
  <dcterms:created xsi:type="dcterms:W3CDTF">2019-12-04T17:14:00Z</dcterms:created>
  <dcterms:modified xsi:type="dcterms:W3CDTF">2019-12-04T17:14:00Z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id="fdqgwW5B"/&gt;&lt;style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