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Pr="008D7664" w:rsidRDefault="002A2A03">
      <w:pPr>
        <w:rPr>
          <w:color w:val="000000" w:themeColor="text1"/>
        </w:rPr>
      </w:pPr>
    </w:p>
    <w:p w:rsidR="002A2A03" w:rsidRPr="008D7664" w:rsidRDefault="002A2A03" w:rsidP="001A0A79">
      <w:pPr>
        <w:ind w:firstLine="0"/>
        <w:rPr>
          <w:color w:val="000000" w:themeColor="text1"/>
        </w:rPr>
      </w:pPr>
    </w:p>
    <w:p w:rsidR="002A2A03" w:rsidRPr="008D7664" w:rsidRDefault="002A2A03">
      <w:pPr>
        <w:rPr>
          <w:color w:val="000000" w:themeColor="text1"/>
        </w:rPr>
      </w:pPr>
    </w:p>
    <w:p w:rsidR="002A2A03" w:rsidRPr="008D7664" w:rsidRDefault="002A2A03">
      <w:pPr>
        <w:rPr>
          <w:color w:val="000000" w:themeColor="text1"/>
        </w:rPr>
      </w:pPr>
    </w:p>
    <w:p w:rsidR="003C7227" w:rsidRDefault="003C7227" w:rsidP="002314D3">
      <w:pPr>
        <w:ind w:firstLine="0"/>
        <w:jc w:val="center"/>
      </w:pPr>
    </w:p>
    <w:p w:rsidR="003C7227" w:rsidRDefault="003C7227" w:rsidP="002314D3">
      <w:pPr>
        <w:ind w:firstLine="0"/>
        <w:jc w:val="center"/>
      </w:pPr>
    </w:p>
    <w:p w:rsidR="003431EC" w:rsidRDefault="003431EC" w:rsidP="002314D3">
      <w:pPr>
        <w:spacing w:after="200" w:line="276" w:lineRule="auto"/>
        <w:ind w:firstLine="0"/>
        <w:jc w:val="center"/>
        <w:rPr>
          <w:rFonts w:eastAsia="Calibri"/>
        </w:rPr>
      </w:pPr>
      <w:r>
        <w:t>The Role of Washington and States as Policy Laboratories</w:t>
      </w:r>
      <w:r w:rsidRPr="002870F5">
        <w:rPr>
          <w:rFonts w:eastAsia="Calibri"/>
        </w:rPr>
        <w:t xml:space="preserve"> </w:t>
      </w:r>
    </w:p>
    <w:p w:rsidR="002314D3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proofErr w:type="gramStart"/>
      <w:r w:rsidRPr="002870F5">
        <w:rPr>
          <w:rFonts w:eastAsia="Calibri"/>
        </w:rPr>
        <w:t>Your</w:t>
      </w:r>
      <w:proofErr w:type="gramEnd"/>
      <w:r w:rsidRPr="002870F5">
        <w:rPr>
          <w:rFonts w:eastAsia="Calibri"/>
        </w:rPr>
        <w:t xml:space="preserve"> Name (First M. Last)</w:t>
      </w:r>
    </w:p>
    <w:p w:rsidR="002314D3" w:rsidRPr="002870F5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Date</w:t>
      </w:r>
    </w:p>
    <w:p w:rsidR="002314D3" w:rsidRDefault="002314D3" w:rsidP="002314D3">
      <w:r>
        <w:br w:type="page"/>
      </w:r>
    </w:p>
    <w:p w:rsidR="00453C5B" w:rsidRDefault="003431EC" w:rsidP="002100CC">
      <w:pPr>
        <w:ind w:firstLine="0"/>
        <w:jc w:val="center"/>
      </w:pPr>
      <w:r>
        <w:lastRenderedPageBreak/>
        <w:t>The Role of Washington and States as Policy Laboratories</w:t>
      </w:r>
    </w:p>
    <w:p w:rsidR="003431EC" w:rsidRDefault="00D80C29" w:rsidP="003431EC">
      <w:pPr>
        <w:ind w:firstLine="0"/>
      </w:pPr>
      <w:r>
        <w:t>The Role of Washington</w:t>
      </w:r>
    </w:p>
    <w:p w:rsidR="00A07ED5" w:rsidRDefault="00A07ED5" w:rsidP="003431EC">
      <w:pPr>
        <w:ind w:firstLine="0"/>
      </w:pPr>
      <w:r>
        <w:tab/>
      </w:r>
      <w:r w:rsidR="00DD3482">
        <w:t xml:space="preserve">The role of Washington DC can never be ignored as it is recognized as the federal entity referring to the federalist system established in the country. </w:t>
      </w:r>
      <w:r w:rsidR="00AC0E3F">
        <w:t xml:space="preserve">Consideration of the role of Washington is important to identify as the distribution of power between the governments of central entity and states. </w:t>
      </w:r>
      <w:r w:rsidR="00404613">
        <w:t xml:space="preserve">Association between federal and </w:t>
      </w:r>
      <w:r w:rsidR="00404613" w:rsidRPr="00571F5D">
        <w:rPr>
          <w:noProof/>
        </w:rPr>
        <w:t>state</w:t>
      </w:r>
      <w:r w:rsidR="00404613">
        <w:t xml:space="preserve"> governments is essential due to many different aspects. </w:t>
      </w:r>
      <w:r w:rsidR="00A12DAA">
        <w:t xml:space="preserve">Funding </w:t>
      </w:r>
      <w:r w:rsidR="00A12DAA" w:rsidRPr="00571F5D">
        <w:rPr>
          <w:noProof/>
        </w:rPr>
        <w:t>is refer</w:t>
      </w:r>
      <w:r w:rsidR="00571F5D" w:rsidRPr="00571F5D">
        <w:rPr>
          <w:noProof/>
        </w:rPr>
        <w:t>red</w:t>
      </w:r>
      <w:r w:rsidR="00571F5D">
        <w:rPr>
          <w:noProof/>
        </w:rPr>
        <w:t xml:space="preserve"> to</w:t>
      </w:r>
      <w:r w:rsidR="00A12DAA">
        <w:t xml:space="preserve"> as the one significant feature that </w:t>
      </w:r>
      <w:r w:rsidR="00A12DAA" w:rsidRPr="00571F5D">
        <w:rPr>
          <w:noProof/>
        </w:rPr>
        <w:t>determine</w:t>
      </w:r>
      <w:r w:rsidR="00571F5D">
        <w:rPr>
          <w:noProof/>
        </w:rPr>
        <w:t>s</w:t>
      </w:r>
      <w:r w:rsidR="00A12DAA">
        <w:t xml:space="preserve"> the role of central government of Washington DC under the domain of </w:t>
      </w:r>
      <w:r w:rsidR="00571F5D">
        <w:t xml:space="preserve">the </w:t>
      </w:r>
      <w:r w:rsidR="00A12DAA" w:rsidRPr="00571F5D">
        <w:rPr>
          <w:noProof/>
        </w:rPr>
        <w:t>federalist</w:t>
      </w:r>
      <w:r w:rsidR="00A12DAA">
        <w:t xml:space="preserve"> system. </w:t>
      </w:r>
      <w:r w:rsidR="009F2351">
        <w:t xml:space="preserve">It is critical to evaluate </w:t>
      </w:r>
      <w:r w:rsidR="007F24CC" w:rsidRPr="00571F5D">
        <w:rPr>
          <w:noProof/>
        </w:rPr>
        <w:t>how</w:t>
      </w:r>
      <w:r w:rsidR="007F24CC">
        <w:t xml:space="preserve"> much</w:t>
      </w:r>
      <w:r w:rsidR="009F2351">
        <w:t xml:space="preserve"> states rely on </w:t>
      </w:r>
      <w:r w:rsidR="00571F5D">
        <w:t xml:space="preserve">the </w:t>
      </w:r>
      <w:r w:rsidR="009F2351" w:rsidRPr="00571F5D">
        <w:rPr>
          <w:noProof/>
        </w:rPr>
        <w:t>federal</w:t>
      </w:r>
      <w:r w:rsidR="009F2351">
        <w:t xml:space="preserve"> government concerning the idea of funding. </w:t>
      </w:r>
      <w:r w:rsidR="00B60989">
        <w:t xml:space="preserve">States governments </w:t>
      </w:r>
      <w:r w:rsidR="00B60989" w:rsidRPr="00571F5D">
        <w:rPr>
          <w:noProof/>
        </w:rPr>
        <w:t>require</w:t>
      </w:r>
      <w:r w:rsidR="00B60989">
        <w:t xml:space="preserve"> funding from federal governing entity due to the wide range of policy perspectives. The facet of </w:t>
      </w:r>
      <w:r w:rsidR="00571F5D">
        <w:t xml:space="preserve">the </w:t>
      </w:r>
      <w:r w:rsidR="00B60989" w:rsidRPr="00571F5D">
        <w:rPr>
          <w:noProof/>
        </w:rPr>
        <w:t>authority</w:t>
      </w:r>
      <w:r w:rsidR="00B60989">
        <w:t xml:space="preserve"> of </w:t>
      </w:r>
      <w:r w:rsidR="00571F5D">
        <w:t xml:space="preserve">the </w:t>
      </w:r>
      <w:r w:rsidR="00B60989" w:rsidRPr="00571F5D">
        <w:rPr>
          <w:noProof/>
        </w:rPr>
        <w:t>federal</w:t>
      </w:r>
      <w:r w:rsidR="00B60989">
        <w:t xml:space="preserve"> government can observe through the examples of education, construction and many other different developmental areas. Undoubtedly, state administrative entities </w:t>
      </w:r>
      <w:r w:rsidR="00B60989" w:rsidRPr="00571F5D">
        <w:rPr>
          <w:noProof/>
        </w:rPr>
        <w:t>require</w:t>
      </w:r>
      <w:r w:rsidR="00B60989">
        <w:t xml:space="preserve"> funding to formulate and establish different public policy plans. </w:t>
      </w:r>
    </w:p>
    <w:p w:rsidR="00D80C29" w:rsidRDefault="00D80C29" w:rsidP="003431EC">
      <w:pPr>
        <w:ind w:firstLine="0"/>
      </w:pPr>
      <w:r>
        <w:t>States as Policy Laboratories</w:t>
      </w:r>
    </w:p>
    <w:p w:rsidR="00571F5D" w:rsidRDefault="00571F5D" w:rsidP="003431EC">
      <w:pPr>
        <w:ind w:firstLine="0"/>
      </w:pPr>
      <w:r>
        <w:tab/>
      </w:r>
      <w:r w:rsidR="006C57E2">
        <w:t xml:space="preserve">Today, bullying is characterized as the one critical social issue that adversely </w:t>
      </w:r>
      <w:r w:rsidR="006C57E2" w:rsidRPr="00F12D9E">
        <w:rPr>
          <w:noProof/>
        </w:rPr>
        <w:t>influence</w:t>
      </w:r>
      <w:r w:rsidR="00F12D9E">
        <w:rPr>
          <w:noProof/>
        </w:rPr>
        <w:t>s</w:t>
      </w:r>
      <w:r w:rsidR="006C57E2">
        <w:t xml:space="preserve"> the lives of people at great extent. </w:t>
      </w:r>
      <w:r w:rsidR="000E52EC">
        <w:t xml:space="preserve">The citizens </w:t>
      </w:r>
      <w:r w:rsidR="000E52EC" w:rsidRPr="00F12D9E">
        <w:rPr>
          <w:noProof/>
        </w:rPr>
        <w:t>belong</w:t>
      </w:r>
      <w:r w:rsidR="000E52EC">
        <w:t xml:space="preserve"> to the state of Minnesota also badly influenced by this problem. It is significant to indicate that </w:t>
      </w:r>
      <w:r w:rsidR="00F12D9E">
        <w:t xml:space="preserve">the </w:t>
      </w:r>
      <w:r w:rsidR="000E52EC" w:rsidRPr="00F12D9E">
        <w:rPr>
          <w:noProof/>
        </w:rPr>
        <w:t>government</w:t>
      </w:r>
      <w:r w:rsidR="000E52EC">
        <w:t xml:space="preserve"> of the state took serious practical actions to deal with this particular problem. </w:t>
      </w:r>
      <w:r w:rsidR="005A14ED">
        <w:t xml:space="preserve">Formulation and the strict implementation of different policies laws and rules in the form of anti-bullying strategies is the clear example of the state’s approach to </w:t>
      </w:r>
      <w:r w:rsidR="005A14ED" w:rsidRPr="00F12D9E">
        <w:rPr>
          <w:noProof/>
        </w:rPr>
        <w:t>handl</w:t>
      </w:r>
      <w:r w:rsidR="00F12D9E">
        <w:rPr>
          <w:noProof/>
        </w:rPr>
        <w:t>ing</w:t>
      </w:r>
      <w:r w:rsidR="005A14ED">
        <w:t xml:space="preserve"> the problem of bullying. </w:t>
      </w:r>
      <w:r w:rsidR="008F12C3">
        <w:t xml:space="preserve">Particular public policies established by the state of Minnesota linked with the consideration of anti-bullying programs and strategies. The main objective of these actions by the state government is to </w:t>
      </w:r>
      <w:r w:rsidR="008F12C3">
        <w:lastRenderedPageBreak/>
        <w:t xml:space="preserve">provide protection to every citizen which is one major responsibility of the administration. </w:t>
      </w:r>
      <w:r w:rsidR="00C87E8E">
        <w:t xml:space="preserve">The law domain of Minnesota effectively and clearly explains the problem of bullying and offer better intervention plan between key shareholders. </w:t>
      </w:r>
      <w:bookmarkStart w:id="0" w:name="_GoBack"/>
      <w:bookmarkEnd w:id="0"/>
    </w:p>
    <w:p w:rsidR="00D80C29" w:rsidRDefault="00D80C29" w:rsidP="003431EC">
      <w:pPr>
        <w:ind w:firstLine="0"/>
      </w:pPr>
    </w:p>
    <w:p w:rsidR="003431EC" w:rsidRDefault="003431EC" w:rsidP="002100CC">
      <w:pPr>
        <w:ind w:firstLine="0"/>
        <w:jc w:val="center"/>
      </w:pPr>
    </w:p>
    <w:p w:rsidR="00097DC2" w:rsidRDefault="00097DC2" w:rsidP="00080BD9"/>
    <w:p w:rsidR="004450CA" w:rsidRDefault="004450CA" w:rsidP="00080BD9"/>
    <w:p w:rsidR="004450CA" w:rsidRDefault="004450CA" w:rsidP="00080BD9"/>
    <w:p w:rsidR="00965BBF" w:rsidRDefault="00965BBF" w:rsidP="00080BD9"/>
    <w:p w:rsidR="004D6675" w:rsidRDefault="004D6675" w:rsidP="00080BD9"/>
    <w:p w:rsidR="00761BB8" w:rsidRDefault="007549AB" w:rsidP="00080BD9">
      <w:r>
        <w:t xml:space="preserve">   </w:t>
      </w:r>
    </w:p>
    <w:p w:rsidR="00001485" w:rsidRDefault="00001485" w:rsidP="00080BD9"/>
    <w:p w:rsidR="00761BB8" w:rsidRDefault="00761BB8" w:rsidP="00080BD9"/>
    <w:p w:rsidR="00BD6181" w:rsidRDefault="00BD6181" w:rsidP="00080BD9"/>
    <w:p w:rsidR="00182859" w:rsidRDefault="00182859" w:rsidP="00080BD9"/>
    <w:p w:rsidR="005256B0" w:rsidRDefault="00080BD9" w:rsidP="00080BD9">
      <w:r>
        <w:t xml:space="preserve"> </w:t>
      </w:r>
    </w:p>
    <w:p w:rsidR="00080BD9" w:rsidRPr="00D97FCE" w:rsidRDefault="00080BD9" w:rsidP="003A32B3"/>
    <w:p w:rsidR="003A32B3" w:rsidRPr="0040461A" w:rsidRDefault="003A32B3" w:rsidP="002314D3">
      <w:pPr>
        <w:jc w:val="center"/>
      </w:pPr>
    </w:p>
    <w:p w:rsidR="00771B85" w:rsidRPr="008D7664" w:rsidRDefault="00771B85" w:rsidP="002314D3">
      <w:pPr>
        <w:rPr>
          <w:color w:val="000000" w:themeColor="text1"/>
        </w:rPr>
      </w:pPr>
    </w:p>
    <w:sectPr w:rsidR="00771B85" w:rsidRPr="008D7664" w:rsidSect="004621FE">
      <w:headerReference w:type="even" r:id="rId7"/>
      <w:headerReference w:type="default" r:id="rId8"/>
      <w:headerReference w:type="first" r:id="rId9"/>
      <w:pgSz w:w="12240" w:h="15840" w:code="1"/>
      <w:pgMar w:top="115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BB" w:rsidRDefault="00954FBB">
      <w:pPr>
        <w:spacing w:line="240" w:lineRule="auto"/>
      </w:pPr>
      <w:r>
        <w:separator/>
      </w:r>
    </w:p>
  </w:endnote>
  <w:endnote w:type="continuationSeparator" w:id="0">
    <w:p w:rsidR="00954FBB" w:rsidRDefault="00954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BB" w:rsidRDefault="00954FBB">
      <w:pPr>
        <w:spacing w:line="240" w:lineRule="auto"/>
      </w:pPr>
      <w:r>
        <w:separator/>
      </w:r>
    </w:p>
  </w:footnote>
  <w:footnote w:type="continuationSeparator" w:id="0">
    <w:p w:rsidR="00954FBB" w:rsidRDefault="00954F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D9E">
      <w:rPr>
        <w:rStyle w:val="PageNumber"/>
        <w:noProof/>
      </w:rPr>
      <w:t>2</w:t>
    </w:r>
    <w:r>
      <w:rPr>
        <w:rStyle w:val="PageNumber"/>
      </w:rPr>
      <w:fldChar w:fldCharType="end"/>
    </w:r>
  </w:p>
  <w:p w:rsidR="00BF3C39" w:rsidRDefault="003431EC">
    <w:pPr>
      <w:pStyle w:val="Header"/>
      <w:ind w:right="360" w:firstLine="0"/>
    </w:pPr>
    <w:r>
      <w:t>BUSINESS AND MANAGEMENT</w:t>
    </w:r>
  </w:p>
  <w:p w:rsidR="002A2A03" w:rsidRDefault="002A2A03">
    <w:pPr>
      <w:pStyle w:val="Header"/>
      <w:ind w:right="360" w:firstLine="0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D9E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 xml:space="preserve">Running </w:t>
    </w:r>
    <w:r w:rsidR="00AC5A6D">
      <w:t xml:space="preserve">head: </w:t>
    </w:r>
    <w:r w:rsidR="003431EC">
      <w:t>BUSINESS AND MANAGEMENT</w:t>
    </w:r>
    <w:r w:rsidR="003431EC"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A2285"/>
    <w:multiLevelType w:val="hybridMultilevel"/>
    <w:tmpl w:val="18746838"/>
    <w:lvl w:ilvl="0" w:tplc="B2084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4262">
      <w:start w:val="2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4F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61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4F9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45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65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7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064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sLAwMDewNDY1NDFV0lEKTi0uzszPAykwtKgFAMXqg+gtAAAA"/>
  </w:docVars>
  <w:rsids>
    <w:rsidRoot w:val="00CF29F0"/>
    <w:rsid w:val="00001485"/>
    <w:rsid w:val="0000793A"/>
    <w:rsid w:val="00015999"/>
    <w:rsid w:val="00036A4E"/>
    <w:rsid w:val="000704B3"/>
    <w:rsid w:val="00080BD9"/>
    <w:rsid w:val="000830A7"/>
    <w:rsid w:val="00097DC2"/>
    <w:rsid w:val="000A6946"/>
    <w:rsid w:val="000B0A32"/>
    <w:rsid w:val="000B6455"/>
    <w:rsid w:val="000D7DA9"/>
    <w:rsid w:val="000E35B1"/>
    <w:rsid w:val="000E52EC"/>
    <w:rsid w:val="000F0C42"/>
    <w:rsid w:val="0010684A"/>
    <w:rsid w:val="00120918"/>
    <w:rsid w:val="0013470A"/>
    <w:rsid w:val="001375CE"/>
    <w:rsid w:val="00180D95"/>
    <w:rsid w:val="00182859"/>
    <w:rsid w:val="001970C6"/>
    <w:rsid w:val="001A0A79"/>
    <w:rsid w:val="001A64E8"/>
    <w:rsid w:val="001B0D17"/>
    <w:rsid w:val="001C1992"/>
    <w:rsid w:val="001C20CB"/>
    <w:rsid w:val="001C78FB"/>
    <w:rsid w:val="001D412A"/>
    <w:rsid w:val="001D48AE"/>
    <w:rsid w:val="001D676D"/>
    <w:rsid w:val="001E3624"/>
    <w:rsid w:val="001E4220"/>
    <w:rsid w:val="002100CC"/>
    <w:rsid w:val="00221134"/>
    <w:rsid w:val="00221663"/>
    <w:rsid w:val="002314D3"/>
    <w:rsid w:val="0024491B"/>
    <w:rsid w:val="0024670E"/>
    <w:rsid w:val="002469DB"/>
    <w:rsid w:val="00256835"/>
    <w:rsid w:val="00273696"/>
    <w:rsid w:val="002A2A03"/>
    <w:rsid w:val="002D024C"/>
    <w:rsid w:val="002F28E9"/>
    <w:rsid w:val="002F4173"/>
    <w:rsid w:val="002F4E8E"/>
    <w:rsid w:val="002F5C6A"/>
    <w:rsid w:val="00301302"/>
    <w:rsid w:val="00305FD1"/>
    <w:rsid w:val="003126BB"/>
    <w:rsid w:val="0033565F"/>
    <w:rsid w:val="003431EC"/>
    <w:rsid w:val="00355786"/>
    <w:rsid w:val="003764B1"/>
    <w:rsid w:val="0038577E"/>
    <w:rsid w:val="00397895"/>
    <w:rsid w:val="003A32B3"/>
    <w:rsid w:val="003A3A7F"/>
    <w:rsid w:val="003A5D57"/>
    <w:rsid w:val="003C08D3"/>
    <w:rsid w:val="003C13AB"/>
    <w:rsid w:val="003C6F97"/>
    <w:rsid w:val="003C7227"/>
    <w:rsid w:val="003D485B"/>
    <w:rsid w:val="003E48BB"/>
    <w:rsid w:val="00404613"/>
    <w:rsid w:val="00406810"/>
    <w:rsid w:val="0041465E"/>
    <w:rsid w:val="00423C60"/>
    <w:rsid w:val="00441410"/>
    <w:rsid w:val="004450CA"/>
    <w:rsid w:val="004466B9"/>
    <w:rsid w:val="00453C5B"/>
    <w:rsid w:val="00455501"/>
    <w:rsid w:val="00461879"/>
    <w:rsid w:val="004621FE"/>
    <w:rsid w:val="00462941"/>
    <w:rsid w:val="004811CA"/>
    <w:rsid w:val="00496C87"/>
    <w:rsid w:val="004A12F5"/>
    <w:rsid w:val="004A65F0"/>
    <w:rsid w:val="004B6244"/>
    <w:rsid w:val="004D6675"/>
    <w:rsid w:val="004E5B48"/>
    <w:rsid w:val="004F34AA"/>
    <w:rsid w:val="00517922"/>
    <w:rsid w:val="00524D18"/>
    <w:rsid w:val="005256B0"/>
    <w:rsid w:val="00531A87"/>
    <w:rsid w:val="0053798F"/>
    <w:rsid w:val="00547439"/>
    <w:rsid w:val="00567F1B"/>
    <w:rsid w:val="00571F5D"/>
    <w:rsid w:val="0057473A"/>
    <w:rsid w:val="005775E6"/>
    <w:rsid w:val="00585B37"/>
    <w:rsid w:val="005861EB"/>
    <w:rsid w:val="005A14ED"/>
    <w:rsid w:val="005B0DE5"/>
    <w:rsid w:val="005B752E"/>
    <w:rsid w:val="005E168F"/>
    <w:rsid w:val="005E686C"/>
    <w:rsid w:val="006077F4"/>
    <w:rsid w:val="006240BD"/>
    <w:rsid w:val="006449A6"/>
    <w:rsid w:val="00660CE1"/>
    <w:rsid w:val="00661C8A"/>
    <w:rsid w:val="00664D93"/>
    <w:rsid w:val="00690699"/>
    <w:rsid w:val="006911CC"/>
    <w:rsid w:val="006A4ED3"/>
    <w:rsid w:val="006B7D38"/>
    <w:rsid w:val="006C57E2"/>
    <w:rsid w:val="006E4202"/>
    <w:rsid w:val="006F6B5B"/>
    <w:rsid w:val="007549AB"/>
    <w:rsid w:val="00761BB8"/>
    <w:rsid w:val="00771B85"/>
    <w:rsid w:val="00785726"/>
    <w:rsid w:val="007B6697"/>
    <w:rsid w:val="007C7277"/>
    <w:rsid w:val="007D69CE"/>
    <w:rsid w:val="007E2A13"/>
    <w:rsid w:val="007E32FF"/>
    <w:rsid w:val="007E6776"/>
    <w:rsid w:val="007F24CC"/>
    <w:rsid w:val="007F4402"/>
    <w:rsid w:val="00800336"/>
    <w:rsid w:val="00812DB9"/>
    <w:rsid w:val="008247A3"/>
    <w:rsid w:val="00840231"/>
    <w:rsid w:val="008425A4"/>
    <w:rsid w:val="00857514"/>
    <w:rsid w:val="0086112D"/>
    <w:rsid w:val="008664A0"/>
    <w:rsid w:val="00882114"/>
    <w:rsid w:val="0088586C"/>
    <w:rsid w:val="008B6BDE"/>
    <w:rsid w:val="008D7664"/>
    <w:rsid w:val="008F12C3"/>
    <w:rsid w:val="009406D7"/>
    <w:rsid w:val="009500DC"/>
    <w:rsid w:val="00951FCA"/>
    <w:rsid w:val="00954FBB"/>
    <w:rsid w:val="0096099A"/>
    <w:rsid w:val="00962C90"/>
    <w:rsid w:val="00965BBF"/>
    <w:rsid w:val="009816FD"/>
    <w:rsid w:val="0098744F"/>
    <w:rsid w:val="0098796A"/>
    <w:rsid w:val="00995AC0"/>
    <w:rsid w:val="009A78B8"/>
    <w:rsid w:val="009C1505"/>
    <w:rsid w:val="009C2A63"/>
    <w:rsid w:val="009D6C89"/>
    <w:rsid w:val="009E042F"/>
    <w:rsid w:val="009E2916"/>
    <w:rsid w:val="009F2351"/>
    <w:rsid w:val="009F5EE3"/>
    <w:rsid w:val="00A07ED5"/>
    <w:rsid w:val="00A12DAA"/>
    <w:rsid w:val="00A317C6"/>
    <w:rsid w:val="00A37BA6"/>
    <w:rsid w:val="00A461E6"/>
    <w:rsid w:val="00A4686D"/>
    <w:rsid w:val="00A47E4F"/>
    <w:rsid w:val="00A47F4A"/>
    <w:rsid w:val="00A51120"/>
    <w:rsid w:val="00A959C2"/>
    <w:rsid w:val="00AC0E3F"/>
    <w:rsid w:val="00AC5A6D"/>
    <w:rsid w:val="00AC7C4B"/>
    <w:rsid w:val="00AD5811"/>
    <w:rsid w:val="00AE262E"/>
    <w:rsid w:val="00B144BB"/>
    <w:rsid w:val="00B30934"/>
    <w:rsid w:val="00B34319"/>
    <w:rsid w:val="00B3590D"/>
    <w:rsid w:val="00B40B89"/>
    <w:rsid w:val="00B447D1"/>
    <w:rsid w:val="00B44949"/>
    <w:rsid w:val="00B600F2"/>
    <w:rsid w:val="00B60989"/>
    <w:rsid w:val="00B60C43"/>
    <w:rsid w:val="00B757A2"/>
    <w:rsid w:val="00B75ED3"/>
    <w:rsid w:val="00BA5880"/>
    <w:rsid w:val="00BD6181"/>
    <w:rsid w:val="00BD6F31"/>
    <w:rsid w:val="00BF3C39"/>
    <w:rsid w:val="00C01B62"/>
    <w:rsid w:val="00C01FF7"/>
    <w:rsid w:val="00C10916"/>
    <w:rsid w:val="00C17BBF"/>
    <w:rsid w:val="00C21801"/>
    <w:rsid w:val="00C24CBB"/>
    <w:rsid w:val="00C25153"/>
    <w:rsid w:val="00C4635A"/>
    <w:rsid w:val="00C67138"/>
    <w:rsid w:val="00C67A3F"/>
    <w:rsid w:val="00C76088"/>
    <w:rsid w:val="00C8113D"/>
    <w:rsid w:val="00C86A0C"/>
    <w:rsid w:val="00C86AC5"/>
    <w:rsid w:val="00C87E8E"/>
    <w:rsid w:val="00CA1097"/>
    <w:rsid w:val="00CB2D30"/>
    <w:rsid w:val="00CC139F"/>
    <w:rsid w:val="00CC26CB"/>
    <w:rsid w:val="00CC79B8"/>
    <w:rsid w:val="00CD106C"/>
    <w:rsid w:val="00CF29F0"/>
    <w:rsid w:val="00D62B62"/>
    <w:rsid w:val="00D63F89"/>
    <w:rsid w:val="00D64E9B"/>
    <w:rsid w:val="00D73D88"/>
    <w:rsid w:val="00D764AE"/>
    <w:rsid w:val="00D80C29"/>
    <w:rsid w:val="00D97FCE"/>
    <w:rsid w:val="00DA581E"/>
    <w:rsid w:val="00DB4A5F"/>
    <w:rsid w:val="00DC71BA"/>
    <w:rsid w:val="00DD3482"/>
    <w:rsid w:val="00DD5EF9"/>
    <w:rsid w:val="00DE5A52"/>
    <w:rsid w:val="00E04E44"/>
    <w:rsid w:val="00E21E84"/>
    <w:rsid w:val="00E24A0F"/>
    <w:rsid w:val="00E319D5"/>
    <w:rsid w:val="00E32063"/>
    <w:rsid w:val="00E66452"/>
    <w:rsid w:val="00E75898"/>
    <w:rsid w:val="00EA3ACB"/>
    <w:rsid w:val="00EA3B28"/>
    <w:rsid w:val="00EB3B71"/>
    <w:rsid w:val="00EC261B"/>
    <w:rsid w:val="00EC3126"/>
    <w:rsid w:val="00EC71DA"/>
    <w:rsid w:val="00EF08E3"/>
    <w:rsid w:val="00F07A18"/>
    <w:rsid w:val="00F12D9E"/>
    <w:rsid w:val="00F41C54"/>
    <w:rsid w:val="00F42F66"/>
    <w:rsid w:val="00F45408"/>
    <w:rsid w:val="00F647B5"/>
    <w:rsid w:val="00F65B3A"/>
    <w:rsid w:val="00F66654"/>
    <w:rsid w:val="00F768B8"/>
    <w:rsid w:val="00F82368"/>
    <w:rsid w:val="00FB21BA"/>
    <w:rsid w:val="00FB43CB"/>
    <w:rsid w:val="00FB5225"/>
    <w:rsid w:val="00FC57AA"/>
    <w:rsid w:val="00FD183C"/>
    <w:rsid w:val="00FE3C5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F77991-C321-44E6-BFC4-BE75F40A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71B85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2264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salma Janjua</cp:lastModifiedBy>
  <cp:revision>179</cp:revision>
  <dcterms:created xsi:type="dcterms:W3CDTF">2017-11-06T10:21:00Z</dcterms:created>
  <dcterms:modified xsi:type="dcterms:W3CDTF">2019-01-22T17:35:00Z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zotero-version="5.0.24"&gt;&lt;session id="sBj38ON0"/&gt;&lt;style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value="true"/&gt;&lt;pref name="noteType" value="0"/&gt;&lt;/prefs&gt;&lt;/data&gt;</vt:lpwstr>
  </property>
</Properties>
</file>