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lang w:val="en-AU"/>
        </w:rPr>
        <w:id w:val="-198422361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 w:val="22"/>
          <w:lang w:val="en-IN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75B8F" w14:paraId="2CDED971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717EE9DE" w14:textId="77777777" w:rsidR="00975B8F" w:rsidRDefault="00975B8F" w:rsidP="00975B8F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975B8F" w14:paraId="08E984FD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7C489E30" w14:textId="77777777" w:rsidR="00975B8F" w:rsidRDefault="00975B8F" w:rsidP="00975B8F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Business and Corporate Law</w:t>
                    </w:r>
                  </w:p>
                </w:tc>
              </w:sdtContent>
            </w:sdt>
          </w:tr>
        </w:tbl>
        <w:p w14:paraId="019F809B" w14:textId="77777777" w:rsidR="00975B8F" w:rsidRDefault="00975B8F"/>
        <w:p w14:paraId="5F15719B" w14:textId="77777777" w:rsidR="00975B8F" w:rsidRDefault="00975B8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75B8F" w14:paraId="1DB34895" w14:textId="77777777">
            <w:tc>
              <w:tcPr>
                <w:tcW w:w="5000" w:type="pct"/>
              </w:tcPr>
              <w:p w14:paraId="54B42319" w14:textId="77777777" w:rsidR="00975B8F" w:rsidRDefault="00975B8F" w:rsidP="00975B8F">
                <w:pPr>
                  <w:pStyle w:val="NoSpacing"/>
                </w:pPr>
              </w:p>
            </w:tc>
          </w:tr>
        </w:tbl>
        <w:p w14:paraId="01F42F16" w14:textId="77777777" w:rsidR="00975B8F" w:rsidRDefault="00975B8F"/>
        <w:p w14:paraId="0FBEFFE4" w14:textId="77777777" w:rsidR="00975B8F" w:rsidRDefault="00975B8F">
          <w:r>
            <w:br w:type="page"/>
          </w:r>
        </w:p>
      </w:sdtContent>
    </w:sdt>
    <w:p w14:paraId="2D6B7758" w14:textId="77777777" w:rsidR="005E0A51" w:rsidRDefault="00501D37" w:rsidP="00D264AF">
      <w:pPr>
        <w:pStyle w:val="Heading1"/>
      </w:pPr>
      <w:r>
        <w:lastRenderedPageBreak/>
        <w:t>Part A</w:t>
      </w:r>
    </w:p>
    <w:p w14:paraId="0ECE2737" w14:textId="77777777" w:rsidR="00E145A2" w:rsidRDefault="00501D37" w:rsidP="00D264AF">
      <w:pPr>
        <w:pStyle w:val="Heading2"/>
      </w:pPr>
      <w:r>
        <w:t>Issue</w:t>
      </w:r>
    </w:p>
    <w:p w14:paraId="15C31DF5" w14:textId="0934FDF2" w:rsidR="00F348B7" w:rsidRDefault="00E145A2">
      <w:r>
        <w:t>The issue</w:t>
      </w:r>
      <w:r w:rsidR="009D26EF">
        <w:t>s</w:t>
      </w:r>
      <w:r>
        <w:t xml:space="preserve"> presented in this scenario </w:t>
      </w:r>
      <w:r w:rsidR="00EE75C4">
        <w:t>is related to contract law, i.e., if</w:t>
      </w:r>
      <w:r w:rsidR="00074279">
        <w:t xml:space="preserve"> the</w:t>
      </w:r>
      <w:r w:rsidR="00325572">
        <w:t xml:space="preserve"> published</w:t>
      </w:r>
      <w:r w:rsidR="00074279">
        <w:t xml:space="preserve"> advertisement </w:t>
      </w:r>
      <w:r w:rsidR="00325572">
        <w:t>had</w:t>
      </w:r>
      <w:r w:rsidR="00D05A45">
        <w:t xml:space="preserve"> the capacity to </w:t>
      </w:r>
      <w:r w:rsidR="00EE75C4">
        <w:t>form a contractual relationship,</w:t>
      </w:r>
      <w:r w:rsidR="00D05A45">
        <w:t xml:space="preserve"> </w:t>
      </w:r>
      <w:r w:rsidR="00EE75C4">
        <w:t>if</w:t>
      </w:r>
      <w:r w:rsidR="00F348B7">
        <w:t xml:space="preserve"> the forty customers</w:t>
      </w:r>
      <w:r w:rsidR="00EE75C4">
        <w:t>, who ca</w:t>
      </w:r>
      <w:r w:rsidR="00F348B7">
        <w:t>me to the shop</w:t>
      </w:r>
      <w:r w:rsidR="00EE75C4">
        <w:t>, could claim their haircut for $10,</w:t>
      </w:r>
      <w:r w:rsidR="00F348B7">
        <w:t xml:space="preserve"> </w:t>
      </w:r>
      <w:r w:rsidR="00EE75C4">
        <w:t xml:space="preserve">if the </w:t>
      </w:r>
      <w:r w:rsidR="00F348B7">
        <w:t>other ten customers</w:t>
      </w:r>
      <w:r w:rsidR="00EE75C4">
        <w:t>,</w:t>
      </w:r>
      <w:r w:rsidR="00F348B7">
        <w:t xml:space="preserve"> </w:t>
      </w:r>
      <w:r w:rsidR="00EE75C4">
        <w:t xml:space="preserve">who </w:t>
      </w:r>
      <w:r w:rsidR="00F348B7">
        <w:t xml:space="preserve">have </w:t>
      </w:r>
      <w:r w:rsidR="0056776F">
        <w:t>not brought the advertisement with them</w:t>
      </w:r>
      <w:r w:rsidR="00EE75C4">
        <w:t>, could enforce Ming for the haircut, if the advertisement could</w:t>
      </w:r>
      <w:r w:rsidR="00BC475D">
        <w:t xml:space="preserve"> create a lega</w:t>
      </w:r>
      <w:r w:rsidR="00EE75C4">
        <w:t>l relationship, and if such a</w:t>
      </w:r>
      <w:r w:rsidR="009D26EF">
        <w:t xml:space="preserve"> </w:t>
      </w:r>
      <w:r w:rsidR="00EE75C4">
        <w:t>relationship could</w:t>
      </w:r>
      <w:r w:rsidR="00BC475D">
        <w:t xml:space="preserve"> be eliminated by putting a sign on </w:t>
      </w:r>
      <w:r w:rsidR="00EE75C4">
        <w:t>the shop to terminate the offer.</w:t>
      </w:r>
    </w:p>
    <w:p w14:paraId="79610396" w14:textId="77777777" w:rsidR="00BC475D" w:rsidRDefault="00BC475D" w:rsidP="00D264AF">
      <w:pPr>
        <w:pStyle w:val="Heading2"/>
      </w:pPr>
      <w:r>
        <w:t>Rule</w:t>
      </w:r>
    </w:p>
    <w:p w14:paraId="1D27522F" w14:textId="77777777" w:rsidR="00626B31" w:rsidRDefault="008A27DA" w:rsidP="00485472">
      <w:r>
        <w:t xml:space="preserve">The common law principles provide provisions regarding contract law and governance of </w:t>
      </w:r>
      <w:r w:rsidR="00544DB1">
        <w:t>a</w:t>
      </w:r>
      <w:r w:rsidR="009D26EF">
        <w:t xml:space="preserve"> </w:t>
      </w:r>
      <w:r>
        <w:t xml:space="preserve">contractual relationship between </w:t>
      </w:r>
      <w:r w:rsidR="00544DB1">
        <w:t xml:space="preserve">contracting </w:t>
      </w:r>
      <w:r>
        <w:t xml:space="preserve">parties. </w:t>
      </w:r>
      <w:r w:rsidR="004F783B">
        <w:t>As per these provisions, parties have to make sure that they make a differentiation between an offer and an invitation to treat</w:t>
      </w:r>
      <w:r w:rsidR="000F7300">
        <w:t xml:space="preserve"> (Fitzpatrick </w:t>
      </w:r>
      <w:r w:rsidR="000F7300">
        <w:rPr>
          <w:i/>
        </w:rPr>
        <w:t xml:space="preserve">et al., </w:t>
      </w:r>
      <w:r w:rsidR="000F7300">
        <w:t>2011)</w:t>
      </w:r>
      <w:r w:rsidR="004F783B">
        <w:t xml:space="preserve">. A contract cannot be constructed </w:t>
      </w:r>
      <w:r w:rsidR="002C13B2">
        <w:t xml:space="preserve">between parties through an invitation to treat </w:t>
      </w:r>
      <w:r w:rsidR="0032157B">
        <w:t xml:space="preserve">as given in </w:t>
      </w:r>
      <w:r w:rsidR="0032157B" w:rsidRPr="00D4250B">
        <w:rPr>
          <w:i/>
        </w:rPr>
        <w:t>Harvey v Face</w:t>
      </w:r>
      <w:r w:rsidR="000A2DA3">
        <w:rPr>
          <w:i/>
        </w:rPr>
        <w:t>y</w:t>
      </w:r>
      <w:r w:rsidR="0032157B">
        <w:t xml:space="preserve"> </w:t>
      </w:r>
      <w:r w:rsidR="000A2DA3">
        <w:t>since it does not fulfil the</w:t>
      </w:r>
      <w:r w:rsidR="002C13B2">
        <w:t xml:space="preserve"> basic element of a valid offer</w:t>
      </w:r>
      <w:r w:rsidR="000A2DA3">
        <w:t>;</w:t>
      </w:r>
      <w:r w:rsidR="002C13B2">
        <w:t xml:space="preserve"> the parties must have the intention to create a legal relationship once acceptance </w:t>
      </w:r>
      <w:r w:rsidR="000F5D35">
        <w:t>is received on</w:t>
      </w:r>
      <w:r w:rsidR="000A2DA3">
        <w:t xml:space="preserve"> the</w:t>
      </w:r>
      <w:r w:rsidR="000F5D35">
        <w:t xml:space="preserve"> offer. </w:t>
      </w:r>
      <w:r w:rsidR="000A2DA3">
        <w:t>In the real-world scenario, it often happens that the contracting party does</w:t>
      </w:r>
      <w:r w:rsidR="000F5D35">
        <w:t xml:space="preserve"> not have the intention to create a legal relationship</w:t>
      </w:r>
      <w:r w:rsidR="000A2DA3">
        <w:t xml:space="preserve"> but it invites the other</w:t>
      </w:r>
      <w:r w:rsidR="000F5D35">
        <w:t xml:space="preserve"> party to make an offer through an invitation to treat </w:t>
      </w:r>
      <w:r w:rsidR="004C0579">
        <w:t>via</w:t>
      </w:r>
      <w:r w:rsidR="000F5D35">
        <w:t xml:space="preserve"> advertisements</w:t>
      </w:r>
      <w:r w:rsidR="004C0579">
        <w:t>,</w:t>
      </w:r>
      <w:r w:rsidR="000F5D35">
        <w:t xml:space="preserve"> as provided in the case of </w:t>
      </w:r>
      <w:r w:rsidR="000B03F0" w:rsidRPr="00D4250B">
        <w:rPr>
          <w:i/>
        </w:rPr>
        <w:t xml:space="preserve">Partridge v </w:t>
      </w:r>
      <w:r w:rsidR="00227DEA" w:rsidRPr="00D4250B">
        <w:rPr>
          <w:i/>
        </w:rPr>
        <w:t>Crittenden</w:t>
      </w:r>
      <w:r w:rsidR="000A2DA3">
        <w:t xml:space="preserve">. </w:t>
      </w:r>
      <w:r w:rsidR="00626B31">
        <w:t>Although</w:t>
      </w:r>
      <w:r w:rsidR="000B03F0">
        <w:t xml:space="preserve"> parties cannot form contractual relationships through an invitation to treat</w:t>
      </w:r>
      <w:r w:rsidR="00626B31">
        <w:t xml:space="preserve"> but </w:t>
      </w:r>
      <w:r w:rsidR="000B03F0">
        <w:t>it is not an absolute rule</w:t>
      </w:r>
      <w:r w:rsidR="00626B31">
        <w:t xml:space="preserve">. Thus, exceptions exist, such as </w:t>
      </w:r>
      <w:r w:rsidR="000B03F0">
        <w:t xml:space="preserve">in the case of </w:t>
      </w:r>
      <w:r w:rsidR="000B03F0" w:rsidRPr="00BE45A6">
        <w:rPr>
          <w:i/>
        </w:rPr>
        <w:t>Carlill v Carbolic Smoke Ball Co</w:t>
      </w:r>
      <w:r w:rsidR="000B03F0">
        <w:t xml:space="preserve">. </w:t>
      </w:r>
    </w:p>
    <w:p w14:paraId="639D7604" w14:textId="2D6CFE0F" w:rsidR="00D264AF" w:rsidRDefault="00626B31" w:rsidP="00485472">
      <w:r>
        <w:t>The</w:t>
      </w:r>
      <w:r w:rsidR="000D41B0">
        <w:t xml:space="preserve"> case</w:t>
      </w:r>
      <w:r>
        <w:t xml:space="preserve"> of </w:t>
      </w:r>
      <w:r w:rsidRPr="00BE45A6">
        <w:rPr>
          <w:i/>
        </w:rPr>
        <w:t>Carlill v Carbolic Smoke Ball Co</w:t>
      </w:r>
      <w:r>
        <w:t xml:space="preserve"> provide several</w:t>
      </w:r>
      <w:r w:rsidR="000D41B0">
        <w:t xml:space="preserve"> provisions based on which </w:t>
      </w:r>
      <w:r w:rsidR="00377E58">
        <w:t>an ad</w:t>
      </w:r>
      <w:r>
        <w:t>vertisement can be considered</w:t>
      </w:r>
      <w:r w:rsidR="00377E58">
        <w:t xml:space="preserve"> an offer. The court provided the concept of </w:t>
      </w:r>
      <w:r w:rsidR="009D26EF">
        <w:t xml:space="preserve">the </w:t>
      </w:r>
      <w:r w:rsidR="00377E58">
        <w:t xml:space="preserve">unilateral </w:t>
      </w:r>
      <w:r w:rsidR="00210008">
        <w:t>offer</w:t>
      </w:r>
      <w:r w:rsidR="009D26EF">
        <w:t>,</w:t>
      </w:r>
      <w:r w:rsidR="00210008">
        <w:t xml:space="preserve"> which can be made by a party</w:t>
      </w:r>
      <w:r w:rsidR="00BA3858">
        <w:t>,</w:t>
      </w:r>
      <w:r w:rsidR="00210008">
        <w:t xml:space="preserve"> </w:t>
      </w:r>
      <w:r w:rsidR="00406B8F">
        <w:t>and</w:t>
      </w:r>
      <w:r w:rsidR="00210008">
        <w:t xml:space="preserve"> it </w:t>
      </w:r>
      <w:r>
        <w:t>remains</w:t>
      </w:r>
      <w:r w:rsidR="00210008">
        <w:t xml:space="preserve"> open </w:t>
      </w:r>
      <w:r w:rsidR="007375F3">
        <w:t>to</w:t>
      </w:r>
      <w:r w:rsidR="00210008">
        <w:t xml:space="preserve"> the entire world</w:t>
      </w:r>
      <w:r w:rsidR="00C614A4">
        <w:t xml:space="preserve"> (Fitzpatrick </w:t>
      </w:r>
      <w:r w:rsidR="00C614A4">
        <w:rPr>
          <w:i/>
        </w:rPr>
        <w:t xml:space="preserve">et al., </w:t>
      </w:r>
      <w:r w:rsidR="00C614A4">
        <w:t>2011</w:t>
      </w:r>
      <w:r w:rsidR="00C11A72">
        <w:t xml:space="preserve"> p.85</w:t>
      </w:r>
      <w:r w:rsidR="00C614A4">
        <w:t>)</w:t>
      </w:r>
      <w:r w:rsidR="00210008">
        <w:t xml:space="preserve">. In this </w:t>
      </w:r>
      <w:r w:rsidR="00921625">
        <w:t xml:space="preserve">particular </w:t>
      </w:r>
      <w:r w:rsidR="00210008">
        <w:t xml:space="preserve">case, an advertisement was published by a company in the newspaper while promoting their medication. They made a promise in the advertisement that </w:t>
      </w:r>
      <w:r w:rsidR="00620A23">
        <w:t xml:space="preserve">people </w:t>
      </w:r>
      <w:r w:rsidR="00874769">
        <w:t>contracting</w:t>
      </w:r>
      <w:r w:rsidR="00620A23">
        <w:t xml:space="preserve"> influenza after usi</w:t>
      </w:r>
      <w:r w:rsidR="00DE5AA2">
        <w:t>ng their medication will receive a reward of 100 pounds by the company</w:t>
      </w:r>
      <w:r w:rsidR="00874769">
        <w:t xml:space="preserve"> (Poole, 2016 p.4)</w:t>
      </w:r>
      <w:r w:rsidR="00DE5AA2">
        <w:t xml:space="preserve">. Mrs Carlill purchased and used the medication as per the instructions </w:t>
      </w:r>
      <w:r w:rsidR="009D0F9A">
        <w:t>provided in the advertisement</w:t>
      </w:r>
      <w:r w:rsidR="00DE5AA2">
        <w:t xml:space="preserve">. </w:t>
      </w:r>
      <w:r w:rsidR="009D0F9A">
        <w:t>However</w:t>
      </w:r>
      <w:r w:rsidR="00A31CC0">
        <w:t>, she contacted influenza and thus made a claim for her reward.</w:t>
      </w:r>
      <w:r w:rsidR="005C7B98">
        <w:t xml:space="preserve"> </w:t>
      </w:r>
      <w:r w:rsidR="00A31CC0">
        <w:t>T</w:t>
      </w:r>
      <w:r w:rsidR="005C7B98">
        <w:t xml:space="preserve">he company </w:t>
      </w:r>
      <w:r w:rsidR="001B5ADF">
        <w:t>reject</w:t>
      </w:r>
      <w:r w:rsidR="004C5844">
        <w:t xml:space="preserve">ed </w:t>
      </w:r>
      <w:r w:rsidR="00004A33">
        <w:t xml:space="preserve">the claim </w:t>
      </w:r>
      <w:r w:rsidR="00A31CC0">
        <w:t>based on the ground that</w:t>
      </w:r>
      <w:r w:rsidR="00004A33">
        <w:t xml:space="preserve"> </w:t>
      </w:r>
      <w:r w:rsidR="00E51FBA">
        <w:t xml:space="preserve">it was </w:t>
      </w:r>
      <w:r w:rsidR="00803C9A">
        <w:t xml:space="preserve">an advert </w:t>
      </w:r>
      <w:r w:rsidR="00A31CC0">
        <w:t xml:space="preserve">and not </w:t>
      </w:r>
      <w:r w:rsidR="00803C9A">
        <w:t xml:space="preserve">an offer. </w:t>
      </w:r>
      <w:r w:rsidR="003218CE">
        <w:t>The court decided otherwise. It</w:t>
      </w:r>
      <w:r w:rsidR="002E7A11">
        <w:t xml:space="preserve"> was held that </w:t>
      </w:r>
      <w:r w:rsidR="003218CE">
        <w:t>the advertisment</w:t>
      </w:r>
      <w:r w:rsidR="002E7A11">
        <w:t xml:space="preserve"> was </w:t>
      </w:r>
      <w:r w:rsidR="00D4250B">
        <w:t>a</w:t>
      </w:r>
      <w:r w:rsidR="002E7A11">
        <w:t xml:space="preserve"> unilateral offer since the wordings and the actions of the compan</w:t>
      </w:r>
      <w:r w:rsidR="000D2A68">
        <w:t>y to put money in the bank show</w:t>
      </w:r>
      <w:r w:rsidR="002E7A11">
        <w:t xml:space="preserve"> the sincerity of the company to form a contract</w:t>
      </w:r>
      <w:r w:rsidR="000D2A68">
        <w:t xml:space="preserve"> (Poole, 2016 p.14)</w:t>
      </w:r>
      <w:r w:rsidR="002E7A11">
        <w:t xml:space="preserve">. </w:t>
      </w:r>
      <w:r w:rsidR="00755CD8">
        <w:t>In response to the claim brough forward by the company</w:t>
      </w:r>
      <w:r w:rsidR="00485472">
        <w:t xml:space="preserve"> that an offer c</w:t>
      </w:r>
      <w:r w:rsidR="009D26EF">
        <w:t xml:space="preserve">ould </w:t>
      </w:r>
      <w:r w:rsidR="00485472">
        <w:t xml:space="preserve">not be open </w:t>
      </w:r>
      <w:r w:rsidR="008E0D2A">
        <w:t>to the entire</w:t>
      </w:r>
      <w:r w:rsidR="00485472">
        <w:t xml:space="preserve"> world</w:t>
      </w:r>
      <w:r w:rsidR="009D26EF">
        <w:t>,</w:t>
      </w:r>
      <w:r w:rsidR="00755CD8">
        <w:t xml:space="preserve"> the court provided that a </w:t>
      </w:r>
      <w:r w:rsidR="002E7A11">
        <w:t xml:space="preserve">unilateral offer </w:t>
      </w:r>
      <w:r w:rsidR="00485472">
        <w:t xml:space="preserve">can be accepted by </w:t>
      </w:r>
      <w:r w:rsidR="00485472">
        <w:lastRenderedPageBreak/>
        <w:t>anyone</w:t>
      </w:r>
      <w:r w:rsidR="00755CD8">
        <w:t xml:space="preserve"> (Fitzpatrick</w:t>
      </w:r>
      <w:r w:rsidR="00D3293B">
        <w:t xml:space="preserve"> </w:t>
      </w:r>
      <w:r w:rsidR="00D3293B">
        <w:rPr>
          <w:i/>
        </w:rPr>
        <w:t>et al.</w:t>
      </w:r>
      <w:r w:rsidR="00755CD8">
        <w:t>, 2011 p.91)</w:t>
      </w:r>
      <w:r w:rsidR="00485472">
        <w:t>. The</w:t>
      </w:r>
      <w:r w:rsidR="00E96F40">
        <w:t xml:space="preserve"> court further elaborated that</w:t>
      </w:r>
      <w:r w:rsidR="00485472">
        <w:t xml:space="preserve"> communication of acceptance is made </w:t>
      </w:r>
      <w:r w:rsidR="00E96F40">
        <w:t>when the parties</w:t>
      </w:r>
      <w:r w:rsidR="00485472">
        <w:t xml:space="preserve"> comply with the </w:t>
      </w:r>
      <w:r w:rsidR="00D97EB7">
        <w:t xml:space="preserve">instructions </w:t>
      </w:r>
      <w:r w:rsidR="001531E3">
        <w:t>provided</w:t>
      </w:r>
      <w:r w:rsidR="00D97EB7">
        <w:t xml:space="preserve"> in the advertisemen</w:t>
      </w:r>
      <w:r w:rsidR="001531E3">
        <w:t>t.</w:t>
      </w:r>
    </w:p>
    <w:p w14:paraId="2AC55078" w14:textId="1CD9976B" w:rsidR="005257FF" w:rsidRDefault="00CC5AD2" w:rsidP="00485472">
      <w:r>
        <w:t>In the case of consideration, the court provided that consideration can be of any value</w:t>
      </w:r>
      <w:r w:rsidR="00144A20">
        <w:t>, as</w:t>
      </w:r>
      <w:r>
        <w:t xml:space="preserve"> </w:t>
      </w:r>
      <w:r w:rsidR="00A56279">
        <w:t xml:space="preserve">in the case of </w:t>
      </w:r>
      <w:r w:rsidR="00A56279" w:rsidRPr="00A56279">
        <w:rPr>
          <w:i/>
        </w:rPr>
        <w:t>Thomas v Thomas</w:t>
      </w:r>
      <w:r w:rsidR="00144A20">
        <w:rPr>
          <w:i/>
        </w:rPr>
        <w:t xml:space="preserve">. </w:t>
      </w:r>
      <w:r w:rsidR="00144A20">
        <w:t xml:space="preserve">In the particular case under discussion, the amount of </w:t>
      </w:r>
      <w:r>
        <w:t xml:space="preserve">consideration </w:t>
      </w:r>
      <w:r w:rsidR="00144A20">
        <w:t>consisted of the payment made</w:t>
      </w:r>
      <w:r>
        <w:t xml:space="preserve"> by Mrs Carlill </w:t>
      </w:r>
      <w:r w:rsidR="00144A20">
        <w:t>for puschasing</w:t>
      </w:r>
      <w:r>
        <w:t xml:space="preserve"> the product. Since all </w:t>
      </w:r>
      <w:r w:rsidR="000E3062">
        <w:t>prerequisites of a binding contract were met in this scenario</w:t>
      </w:r>
      <w:r>
        <w:t>, the court established that a lega</w:t>
      </w:r>
      <w:r w:rsidR="000E3062">
        <w:t>lly enforceable relationship had been</w:t>
      </w:r>
      <w:r>
        <w:t xml:space="preserve"> </w:t>
      </w:r>
      <w:r w:rsidR="000E3062">
        <w:t>established</w:t>
      </w:r>
      <w:r>
        <w:t xml:space="preserve"> between </w:t>
      </w:r>
      <w:r w:rsidR="000E3062">
        <w:t xml:space="preserve">the two </w:t>
      </w:r>
      <w:r>
        <w:t xml:space="preserve">parties </w:t>
      </w:r>
      <w:r w:rsidR="000E3062">
        <w:t>in the case of</w:t>
      </w:r>
      <w:r w:rsidR="00427CDA">
        <w:t xml:space="preserve"> </w:t>
      </w:r>
      <w:r w:rsidR="00A93EDF" w:rsidRPr="00BE45A6">
        <w:rPr>
          <w:i/>
        </w:rPr>
        <w:t>Carlill v Carbolic Smoke Ball Co</w:t>
      </w:r>
      <w:r>
        <w:t xml:space="preserve">. </w:t>
      </w:r>
      <w:r w:rsidR="000E3062">
        <w:t>Further elaboration on the amount and form of consideration has been provided i</w:t>
      </w:r>
      <w:r>
        <w:t xml:space="preserve">n the case of </w:t>
      </w:r>
      <w:r w:rsidR="008414FD" w:rsidRPr="002E7CAB">
        <w:rPr>
          <w:i/>
        </w:rPr>
        <w:t>Chappell Â Co Ltd v Nestle Co Ltd</w:t>
      </w:r>
      <w:r w:rsidR="000E3062">
        <w:t xml:space="preserve"> where</w:t>
      </w:r>
      <w:r w:rsidR="008414FD">
        <w:t xml:space="preserve"> the court </w:t>
      </w:r>
      <w:r w:rsidR="000E3062">
        <w:t>held that a</w:t>
      </w:r>
      <w:r w:rsidR="00C91800">
        <w:t xml:space="preserve"> consideration need</w:t>
      </w:r>
      <w:r w:rsidR="009D26EF">
        <w:t>s</w:t>
      </w:r>
      <w:r w:rsidR="00C91800">
        <w:t xml:space="preserve"> to be adequate</w:t>
      </w:r>
      <w:r w:rsidR="000E3062">
        <w:t xml:space="preserve"> but</w:t>
      </w:r>
      <w:r w:rsidR="00C91800">
        <w:t xml:space="preserve"> i</w:t>
      </w:r>
      <w:r w:rsidR="002E7CAB">
        <w:t>t need</w:t>
      </w:r>
      <w:r w:rsidR="00230F52">
        <w:t>s</w:t>
      </w:r>
      <w:r w:rsidR="002E7CAB">
        <w:t xml:space="preserve"> not to be sufficient</w:t>
      </w:r>
      <w:r w:rsidR="009D26EF">
        <w:t>,</w:t>
      </w:r>
      <w:r w:rsidR="008718D8">
        <w:t xml:space="preserve"> and it can be</w:t>
      </w:r>
      <w:r w:rsidR="00230F52">
        <w:t xml:space="preserve"> of</w:t>
      </w:r>
      <w:r w:rsidR="008718D8">
        <w:t xml:space="preserve"> any value</w:t>
      </w:r>
      <w:r w:rsidR="002E7CAB">
        <w:t xml:space="preserve">. </w:t>
      </w:r>
      <w:r w:rsidR="007B622A">
        <w:t xml:space="preserve">The court further provided that a </w:t>
      </w:r>
      <w:r w:rsidR="002E7CAB">
        <w:t xml:space="preserve">unilateral offer cannot be terminated </w:t>
      </w:r>
      <w:r w:rsidR="007B622A">
        <w:t>like a regular</w:t>
      </w:r>
      <w:r w:rsidR="00D0577E">
        <w:t xml:space="preserve"> offer but only in two conditions. Firstly</w:t>
      </w:r>
      <w:r w:rsidR="005257FF">
        <w:t xml:space="preserve"> when the performance of the contract has not </w:t>
      </w:r>
      <w:r w:rsidR="00D0577E">
        <w:t xml:space="preserve">been </w:t>
      </w:r>
      <w:r w:rsidR="005257FF">
        <w:t>started by the parties aft</w:t>
      </w:r>
      <w:r w:rsidR="00D0577E">
        <w:t xml:space="preserve">er the advertisement is posted and secondly when </w:t>
      </w:r>
      <w:r w:rsidR="005257FF">
        <w:t>performance is not completed by the parties within a re</w:t>
      </w:r>
      <w:r w:rsidR="00395B46">
        <w:t>asonable period</w:t>
      </w:r>
      <w:r w:rsidR="005257FF">
        <w:t xml:space="preserve">. </w:t>
      </w:r>
    </w:p>
    <w:p w14:paraId="6EACDD57" w14:textId="77777777" w:rsidR="005257FF" w:rsidRDefault="005257FF" w:rsidP="00D264AF">
      <w:pPr>
        <w:pStyle w:val="Heading2"/>
      </w:pPr>
      <w:r>
        <w:t>Application</w:t>
      </w:r>
    </w:p>
    <w:p w14:paraId="78B432F6" w14:textId="1E1B68F4" w:rsidR="00D264AF" w:rsidRDefault="00880C7F" w:rsidP="00485472">
      <w:r>
        <w:t>In the given scena</w:t>
      </w:r>
      <w:r w:rsidR="00391D01">
        <w:t>rio, the first issue relates</w:t>
      </w:r>
      <w:r>
        <w:t xml:space="preserve"> to the validity of the advertisement posted by Ming to be constituted as a valid offer. </w:t>
      </w:r>
      <w:r w:rsidR="00BE45A6">
        <w:t xml:space="preserve">The principles discussed in the case of </w:t>
      </w:r>
      <w:r w:rsidR="00BE45A6" w:rsidRPr="00BE45A6">
        <w:rPr>
          <w:i/>
        </w:rPr>
        <w:t>Carlill v Carbolic Smoke Ball Co</w:t>
      </w:r>
      <w:r w:rsidR="00BE45A6" w:rsidRPr="000B03F0">
        <w:t xml:space="preserve"> </w:t>
      </w:r>
      <w:r w:rsidR="00BE45A6">
        <w:t xml:space="preserve">are necessary to be analysed in order to determine </w:t>
      </w:r>
      <w:r w:rsidR="002466F8">
        <w:t>if</w:t>
      </w:r>
      <w:r w:rsidR="00BE45A6">
        <w:t xml:space="preserve"> a valid unilateral offer has made or not</w:t>
      </w:r>
      <w:r w:rsidR="001A2410">
        <w:t xml:space="preserve"> (Fitzpatrick </w:t>
      </w:r>
      <w:r w:rsidR="001A2410">
        <w:rPr>
          <w:i/>
        </w:rPr>
        <w:t xml:space="preserve">et al., </w:t>
      </w:r>
      <w:r w:rsidR="001A2410">
        <w:t>2011 p.90)</w:t>
      </w:r>
      <w:r w:rsidR="00BE45A6">
        <w:t xml:space="preserve">. The intention of Ming was to post the advertisement in order to increase the number of customers of his business. </w:t>
      </w:r>
      <w:r w:rsidR="00BE4F3D">
        <w:t>He did not post it with the intention of</w:t>
      </w:r>
      <w:r w:rsidR="00BE45A6">
        <w:t xml:space="preserve"> an invitation to treat since he provided specific instructions for its customers</w:t>
      </w:r>
      <w:r w:rsidR="009D26EF">
        <w:t>,</w:t>
      </w:r>
      <w:r w:rsidR="00BE45A6">
        <w:t xml:space="preserve"> which they can follow in order to get a $10 haircut from him. The first forty customers complied with the instructions given in the advertisement since they brought </w:t>
      </w:r>
      <w:r w:rsidR="009D26EF">
        <w:t>a</w:t>
      </w:r>
      <w:r w:rsidR="00BE45A6">
        <w:t xml:space="preserve"> copy of the advertisement with them. The acceptance in a unilateral offer is given by the parties by complying with the instructions which </w:t>
      </w:r>
      <w:r w:rsidR="009D26EF">
        <w:t>are</w:t>
      </w:r>
      <w:r w:rsidR="00BE45A6">
        <w:t xml:space="preserve"> present in this case. </w:t>
      </w:r>
    </w:p>
    <w:p w14:paraId="3413F7FC" w14:textId="0A6B3741" w:rsidR="00A737C3" w:rsidRDefault="00BE45A6" w:rsidP="00485472">
      <w:r>
        <w:t xml:space="preserve">As discussed in </w:t>
      </w:r>
      <w:r w:rsidRPr="002E7CAB">
        <w:rPr>
          <w:i/>
        </w:rPr>
        <w:t>Chappell Â Co Ltd v Nestle Co Ltd</w:t>
      </w:r>
      <w:r w:rsidR="00BE4F3D">
        <w:rPr>
          <w:i/>
        </w:rPr>
        <w:t xml:space="preserve"> </w:t>
      </w:r>
      <w:r w:rsidR="00BE4F3D">
        <w:t xml:space="preserve">(Fitzpatrick </w:t>
      </w:r>
      <w:r w:rsidR="00BE4F3D">
        <w:rPr>
          <w:i/>
        </w:rPr>
        <w:t xml:space="preserve">et al., </w:t>
      </w:r>
      <w:r w:rsidR="00BE4F3D">
        <w:t>2011 p.157)</w:t>
      </w:r>
      <w:r>
        <w:t xml:space="preserve">, the consideration in this case is present despite the fact that the usual cost of a haircut is $60 rather than $10 because consideration </w:t>
      </w:r>
      <w:r w:rsidR="008718D8">
        <w:t>can be any value and it need not to be sufficient to form a valid contract</w:t>
      </w:r>
      <w:r>
        <w:t xml:space="preserve">. Thus, since the elements of a contract are present, the forty customers can legally enforce their contractual terms on Ming to claim their $10 haircut. However, </w:t>
      </w:r>
      <w:r w:rsidR="000B4456">
        <w:t>the case is not the same</w:t>
      </w:r>
      <w:r>
        <w:t xml:space="preserve"> with </w:t>
      </w:r>
      <w:r w:rsidR="000B4456">
        <w:t xml:space="preserve">the </w:t>
      </w:r>
      <w:r w:rsidR="000F1725">
        <w:t xml:space="preserve">other ten customers </w:t>
      </w:r>
      <w:r w:rsidR="000B4456">
        <w:t>because a contract has not been</w:t>
      </w:r>
      <w:r w:rsidR="000F1725">
        <w:t xml:space="preserve"> formed with them. The element of acceptance is missing in their</w:t>
      </w:r>
      <w:r w:rsidR="000D7796">
        <w:t xml:space="preserve"> case </w:t>
      </w:r>
      <w:r w:rsidR="002062D8">
        <w:t xml:space="preserve">because the customers did not </w:t>
      </w:r>
      <w:r w:rsidR="00D4250B">
        <w:t>follow</w:t>
      </w:r>
      <w:r w:rsidR="002062D8">
        <w:t xml:space="preserve"> the instructions ment</w:t>
      </w:r>
      <w:r w:rsidR="00084CF5">
        <w:t>ioned in Ming’s</w:t>
      </w:r>
      <w:r w:rsidR="002062D8">
        <w:t xml:space="preserve"> advertisement. The sign put by Ming on the shop in order to terminate the offer through the advertisement is not valid since a unilateral offer can only be terminated by two mediums: </w:t>
      </w:r>
      <w:r w:rsidR="00084CF5">
        <w:lastRenderedPageBreak/>
        <w:t>perfo</w:t>
      </w:r>
      <w:r w:rsidR="00A737C3">
        <w:t>rmance has not started</w:t>
      </w:r>
      <w:r w:rsidR="009D26EF">
        <w:t>,</w:t>
      </w:r>
      <w:r w:rsidR="00A737C3">
        <w:t xml:space="preserve"> or it is not finished within a reasonable </w:t>
      </w:r>
      <w:r w:rsidR="00084CF5">
        <w:t>period</w:t>
      </w:r>
      <w:r w:rsidR="00A737C3">
        <w:t xml:space="preserve">. </w:t>
      </w:r>
      <w:r w:rsidR="00A31422">
        <w:t xml:space="preserve">As long as customers brought the copy with them, they can claim the $10 haircut. </w:t>
      </w:r>
      <w:r w:rsidR="00A737C3">
        <w:t>Thus, Ming should specif</w:t>
      </w:r>
      <w:r w:rsidR="009D26EF">
        <w:t>y</w:t>
      </w:r>
      <w:r w:rsidR="00A737C3">
        <w:t xml:space="preserve"> a time period for this offer after which the offer wi</w:t>
      </w:r>
      <w:r w:rsidR="00A31422">
        <w:t xml:space="preserve">ll be terminated. </w:t>
      </w:r>
    </w:p>
    <w:p w14:paraId="7D1D58AF" w14:textId="77777777" w:rsidR="00A737C3" w:rsidRDefault="00A737C3" w:rsidP="00D264AF">
      <w:pPr>
        <w:pStyle w:val="Heading2"/>
      </w:pPr>
      <w:r>
        <w:t>Conclusion</w:t>
      </w:r>
    </w:p>
    <w:p w14:paraId="69E01F1E" w14:textId="614458E2" w:rsidR="00D264AF" w:rsidRDefault="00A737C3" w:rsidP="00485472">
      <w:r>
        <w:t xml:space="preserve">To conclude, the advertisement </w:t>
      </w:r>
      <w:r w:rsidR="00F17DC3">
        <w:t>is considered</w:t>
      </w:r>
      <w:r>
        <w:t xml:space="preserve"> a valid offer which </w:t>
      </w:r>
      <w:r w:rsidR="00F17DC3">
        <w:t>is</w:t>
      </w:r>
      <w:r>
        <w:t xml:space="preserve"> open for the entire world</w:t>
      </w:r>
      <w:r w:rsidR="009D26EF">
        <w:t>,</w:t>
      </w:r>
      <w:r>
        <w:t xml:space="preserve"> </w:t>
      </w:r>
      <w:r w:rsidR="00D264AF">
        <w:t>and it was accepted by forty customers who can claim</w:t>
      </w:r>
      <w:r w:rsidR="00F17DC3">
        <w:t>ed their $10 haircut. The o</w:t>
      </w:r>
      <w:r w:rsidR="00D264AF">
        <w:t>ther ten customers have not given their acceptance; thus, a con</w:t>
      </w:r>
      <w:r w:rsidR="00981856">
        <w:t>tract is not formed with them. Also, t</w:t>
      </w:r>
      <w:r w:rsidR="00D264AF">
        <w:t>he sign put</w:t>
      </w:r>
      <w:r w:rsidR="00981856">
        <w:t xml:space="preserve"> up</w:t>
      </w:r>
      <w:r w:rsidR="00D264AF">
        <w:t xml:space="preserve"> by Min</w:t>
      </w:r>
      <w:r w:rsidR="00994854">
        <w:t>g does</w:t>
      </w:r>
      <w:bookmarkStart w:id="0" w:name="_GoBack"/>
      <w:bookmarkEnd w:id="0"/>
      <w:r w:rsidR="00D264AF">
        <w:t xml:space="preserve"> not </w:t>
      </w:r>
      <w:r w:rsidR="00D4250B">
        <w:t>terminate</w:t>
      </w:r>
      <w:r w:rsidR="00D264AF">
        <w:t xml:space="preserve"> the offer.</w:t>
      </w:r>
    </w:p>
    <w:p w14:paraId="5616B151" w14:textId="77777777" w:rsidR="00D264AF" w:rsidRDefault="00D264AF">
      <w:r>
        <w:br w:type="page"/>
      </w:r>
    </w:p>
    <w:p w14:paraId="3F9D4E16" w14:textId="77777777" w:rsidR="00D264AF" w:rsidRDefault="007B27E7" w:rsidP="00D264AF">
      <w:pPr>
        <w:pStyle w:val="Heading1"/>
      </w:pPr>
      <w:r>
        <w:lastRenderedPageBreak/>
        <w:t>Bibliography</w:t>
      </w:r>
    </w:p>
    <w:p w14:paraId="10C97DC8" w14:textId="77777777" w:rsidR="00D412AE" w:rsidRPr="008B03A6" w:rsidRDefault="00D412AE" w:rsidP="00D412AE">
      <w:pPr>
        <w:rPr>
          <w:b/>
        </w:rPr>
      </w:pPr>
      <w:r w:rsidRPr="008B03A6">
        <w:rPr>
          <w:b/>
        </w:rPr>
        <w:t>Books</w:t>
      </w:r>
    </w:p>
    <w:p w14:paraId="1CEB28B1" w14:textId="77777777" w:rsidR="00442C9D" w:rsidRDefault="00442C9D" w:rsidP="009B7F1E">
      <w:r>
        <w:t xml:space="preserve">Fitzpatrick J, Symes C, Velijanovski A and Parker, D </w:t>
      </w:r>
      <w:r w:rsidRPr="00E701C5">
        <w:rPr>
          <w:i/>
        </w:rPr>
        <w:t>Business and Corporations Law</w:t>
      </w:r>
      <w:r>
        <w:t>, LexisNexis Butterworths Australia, Chatswood, NSW, 2017.</w:t>
      </w:r>
    </w:p>
    <w:p w14:paraId="0484C946" w14:textId="77777777" w:rsidR="00442C9D" w:rsidRDefault="00442C9D" w:rsidP="009B7F1E">
      <w:r>
        <w:t xml:space="preserve">Poole, J </w:t>
      </w:r>
      <w:r w:rsidRPr="00E701C5">
        <w:rPr>
          <w:i/>
        </w:rPr>
        <w:t>Casebook on Contract Law</w:t>
      </w:r>
      <w:r>
        <w:t>, Oxford University Press, Oxford.</w:t>
      </w:r>
    </w:p>
    <w:p w14:paraId="752A3408" w14:textId="77777777" w:rsidR="00D412AE" w:rsidRPr="008B03A6" w:rsidRDefault="00D412AE" w:rsidP="00D412AE">
      <w:pPr>
        <w:rPr>
          <w:b/>
        </w:rPr>
      </w:pPr>
      <w:r w:rsidRPr="008B03A6">
        <w:rPr>
          <w:b/>
        </w:rPr>
        <w:t>Cases</w:t>
      </w:r>
    </w:p>
    <w:p w14:paraId="6F1AFA2F" w14:textId="77777777" w:rsidR="00442C9D" w:rsidRDefault="00442C9D" w:rsidP="00746F0F">
      <w:r w:rsidRPr="00BE45A6">
        <w:rPr>
          <w:i/>
        </w:rPr>
        <w:t>Carlill v Carbolic Smoke Ball Co</w:t>
      </w:r>
      <w:r>
        <w:t xml:space="preserve"> [1893] 1 </w:t>
      </w:r>
      <w:r w:rsidRPr="000B03F0">
        <w:t>QB 256</w:t>
      </w:r>
    </w:p>
    <w:p w14:paraId="78FCD0D6" w14:textId="77777777" w:rsidR="00442C9D" w:rsidRPr="00746F0F" w:rsidRDefault="00442C9D" w:rsidP="00746F0F">
      <w:r w:rsidRPr="002E7CAB">
        <w:rPr>
          <w:i/>
        </w:rPr>
        <w:t>Chappell Â Co Ltd v Nestle Co Ltd</w:t>
      </w:r>
      <w:r w:rsidRPr="008414FD">
        <w:t xml:space="preserve"> [1960] AC 87</w:t>
      </w:r>
    </w:p>
    <w:p w14:paraId="15E49403" w14:textId="77777777" w:rsidR="00442C9D" w:rsidRDefault="00442C9D" w:rsidP="00746F0F">
      <w:r w:rsidRPr="00D4250B">
        <w:rPr>
          <w:i/>
        </w:rPr>
        <w:t>Harvey v Facey</w:t>
      </w:r>
      <w:r w:rsidRPr="000F5D35">
        <w:t xml:space="preserve"> (1893) UKPC 1</w:t>
      </w:r>
    </w:p>
    <w:p w14:paraId="7D0EEAB6" w14:textId="77777777" w:rsidR="00442C9D" w:rsidRDefault="00442C9D" w:rsidP="00746F0F">
      <w:r w:rsidRPr="00D4250B">
        <w:rPr>
          <w:i/>
        </w:rPr>
        <w:t>Partridge v Crittenden</w:t>
      </w:r>
      <w:r w:rsidRPr="00227DEA">
        <w:t xml:space="preserve"> </w:t>
      </w:r>
      <w:r w:rsidRPr="000B03F0">
        <w:t>(1968) 2 All ER 425</w:t>
      </w:r>
    </w:p>
    <w:p w14:paraId="404F4E17" w14:textId="77777777" w:rsidR="00442C9D" w:rsidRDefault="00442C9D">
      <w:pPr>
        <w:jc w:val="left"/>
        <w:rPr>
          <w:shd w:val="clear" w:color="auto" w:fill="FFFFFF"/>
        </w:rPr>
      </w:pPr>
      <w:r w:rsidRPr="00442C9D">
        <w:rPr>
          <w:i/>
          <w:shd w:val="clear" w:color="auto" w:fill="FFFFFF"/>
        </w:rPr>
        <w:t>Thomas v Thomas</w:t>
      </w:r>
      <w:r w:rsidRPr="00442C9D">
        <w:rPr>
          <w:shd w:val="clear" w:color="auto" w:fill="FFFFFF"/>
        </w:rPr>
        <w:t xml:space="preserve"> (1842) 2 QB 851</w:t>
      </w:r>
      <w:r>
        <w:rPr>
          <w:shd w:val="clear" w:color="auto" w:fill="FFFFFF"/>
        </w:rPr>
        <w:br w:type="page"/>
      </w:r>
    </w:p>
    <w:p w14:paraId="3D739981" w14:textId="77777777" w:rsidR="00244CE9" w:rsidRDefault="00C7669A" w:rsidP="00C7669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>Bibliography</w:t>
      </w:r>
    </w:p>
    <w:p w14:paraId="16D4B8D7" w14:textId="77777777" w:rsidR="00244CE9" w:rsidRPr="00337097" w:rsidRDefault="00337097" w:rsidP="00244CE9">
      <w:pPr>
        <w:rPr>
          <w:b/>
          <w:shd w:val="clear" w:color="auto" w:fill="FFFFFF"/>
        </w:rPr>
      </w:pPr>
      <w:r w:rsidRPr="00337097">
        <w:rPr>
          <w:b/>
          <w:shd w:val="clear" w:color="auto" w:fill="FFFFFF"/>
        </w:rPr>
        <w:t>Web Document</w:t>
      </w:r>
    </w:p>
    <w:p w14:paraId="79C3D4D0" w14:textId="77777777" w:rsidR="00337097" w:rsidRDefault="00337097" w:rsidP="00337097">
      <w:r>
        <w:t xml:space="preserve">ASIC, ‘Business name availability tests’, in </w:t>
      </w:r>
      <w:r>
        <w:rPr>
          <w:i/>
        </w:rPr>
        <w:t>ASIC</w:t>
      </w:r>
      <w:r>
        <w:t>, 2019, viewed on 23 May 2019, &lt;</w:t>
      </w:r>
      <w:r w:rsidRPr="00F243EB">
        <w:t xml:space="preserve"> https://asic.gov.au/for-business/registering-a-business-name/before-you-register-a-business-name/business-name-availability/business-name-availability-tests/</w:t>
      </w:r>
      <w:r>
        <w:t>&gt;.</w:t>
      </w:r>
    </w:p>
    <w:p w14:paraId="68C81F0E" w14:textId="77777777" w:rsidR="00337097" w:rsidRPr="00337097" w:rsidRDefault="00337097" w:rsidP="00244CE9">
      <w:r>
        <w:t>ASIC, ‘</w:t>
      </w:r>
      <w:r w:rsidRPr="00FD30D2">
        <w:t>Guidelines for names relating to financial institutions</w:t>
      </w:r>
      <w:r>
        <w:t xml:space="preserve">’, in </w:t>
      </w:r>
      <w:r>
        <w:rPr>
          <w:i/>
        </w:rPr>
        <w:t>ASIC</w:t>
      </w:r>
      <w:r>
        <w:t>, 2019, viewed on 23 May 2019, &lt;</w:t>
      </w:r>
      <w:r w:rsidRPr="00FD30D2">
        <w:t xml:space="preserve"> https://asic.gov.au/for-business/registering-a-company/steps-to-register-a-company/company-name-availability/guidelines-for-names-relating-to-financial-institutions/</w:t>
      </w:r>
      <w:r>
        <w:t>&gt;.</w:t>
      </w:r>
    </w:p>
    <w:p w14:paraId="605C40B7" w14:textId="77777777" w:rsidR="00337097" w:rsidRDefault="00337097" w:rsidP="00337097">
      <w:r>
        <w:t xml:space="preserve">Austlii, ‘Corporations Act 2001’, in </w:t>
      </w:r>
      <w:r>
        <w:rPr>
          <w:i/>
        </w:rPr>
        <w:t>Austlii</w:t>
      </w:r>
      <w:r>
        <w:t>, 2019, viewed on 23 May 2019 &lt;</w:t>
      </w:r>
      <w:r w:rsidRPr="00A105D5">
        <w:t>http://www.austlii.edu.au/cgi-bin/viewdb/au/legis/cth/consol_act/ca2001172/</w:t>
      </w:r>
      <w:r>
        <w:t>&gt;.</w:t>
      </w:r>
    </w:p>
    <w:p w14:paraId="4E2B8425" w14:textId="77777777" w:rsidR="00337097" w:rsidRDefault="00337097" w:rsidP="00337097">
      <w:r>
        <w:t>CCASA, ‘</w:t>
      </w:r>
      <w:r w:rsidRPr="005A7615">
        <w:t>Understanding the differences between a proprietary company and a small unlisted public company</w:t>
      </w:r>
      <w:r>
        <w:t xml:space="preserve">’, in </w:t>
      </w:r>
      <w:r>
        <w:rPr>
          <w:i/>
        </w:rPr>
        <w:t>CCASA</w:t>
      </w:r>
      <w:r>
        <w:t>, 2019, viewed on 23 May 2019, &lt;</w:t>
      </w:r>
      <w:r w:rsidRPr="005A7615">
        <w:t>https://www.ccasa.com.au/understanding-the-differences-between-a-proprietary-company-and-a-small-unlisted-public-company/</w:t>
      </w:r>
      <w:r>
        <w:t>&gt;.</w:t>
      </w:r>
    </w:p>
    <w:p w14:paraId="76796D35" w14:textId="77777777" w:rsidR="00337097" w:rsidRDefault="00337097" w:rsidP="00337097">
      <w:r>
        <w:t>LegalVision, ‘</w:t>
      </w:r>
      <w:r w:rsidRPr="00BA6DA6">
        <w:t>5 Differences Between a Public Company and a Private Company</w:t>
      </w:r>
      <w:r>
        <w:t xml:space="preserve">’, in </w:t>
      </w:r>
      <w:r>
        <w:rPr>
          <w:i/>
        </w:rPr>
        <w:t>LegalVision</w:t>
      </w:r>
      <w:r>
        <w:t>, 2018, viewed on 23 May 2019, &lt;</w:t>
      </w:r>
      <w:r w:rsidRPr="007E37DB">
        <w:t>https://legalvision.com.au/difference-between-public-and-private-company/</w:t>
      </w:r>
      <w:r>
        <w:t>&gt;.</w:t>
      </w:r>
    </w:p>
    <w:p w14:paraId="2B5F8E6E" w14:textId="77777777" w:rsidR="00337097" w:rsidRDefault="00337097" w:rsidP="00337097">
      <w:r>
        <w:t xml:space="preserve">Legislation, ’Corporations Act 2001’, in </w:t>
      </w:r>
      <w:r>
        <w:rPr>
          <w:i/>
        </w:rPr>
        <w:t>Legislation</w:t>
      </w:r>
      <w:r>
        <w:t>, 2019, viewed on 23 May 2019,&lt;</w:t>
      </w:r>
      <w:r w:rsidRPr="00A105D5">
        <w:t xml:space="preserve"> https://www.legislation.gov.au/Details/C2018C00424</w:t>
      </w:r>
      <w:r>
        <w:t>&gt;.</w:t>
      </w:r>
    </w:p>
    <w:p w14:paraId="0BE7D553" w14:textId="77777777" w:rsidR="00337097" w:rsidRDefault="00337097" w:rsidP="00337097">
      <w:r>
        <w:t xml:space="preserve">SLV, ‘Companies in Australia’, in </w:t>
      </w:r>
      <w:r>
        <w:rPr>
          <w:i/>
        </w:rPr>
        <w:t>SLV</w:t>
      </w:r>
      <w:r>
        <w:t>, 2019, viewed on 23 May 2019, &lt;</w:t>
      </w:r>
      <w:r w:rsidRPr="005A7615">
        <w:t>https://guides.slv.vic.gov.au/companies/structures</w:t>
      </w:r>
      <w:r>
        <w:t>&gt;.</w:t>
      </w:r>
    </w:p>
    <w:p w14:paraId="57EF8FF1" w14:textId="77777777" w:rsidR="00BA3858" w:rsidRDefault="00BA3858" w:rsidP="00337097"/>
    <w:sectPr w:rsidR="00BA3858" w:rsidSect="00975B8F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6FE80" w14:textId="77777777" w:rsidR="00706F81" w:rsidRDefault="00706F81" w:rsidP="00975B8F">
      <w:pPr>
        <w:spacing w:after="0" w:line="240" w:lineRule="auto"/>
      </w:pPr>
      <w:r>
        <w:separator/>
      </w:r>
    </w:p>
  </w:endnote>
  <w:endnote w:type="continuationSeparator" w:id="0">
    <w:p w14:paraId="374C22BD" w14:textId="77777777" w:rsidR="00706F81" w:rsidRDefault="00706F81" w:rsidP="0097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B548" w14:textId="77777777" w:rsidR="00706F81" w:rsidRDefault="00706F81" w:rsidP="00975B8F">
      <w:pPr>
        <w:spacing w:after="0" w:line="240" w:lineRule="auto"/>
      </w:pPr>
      <w:r>
        <w:separator/>
      </w:r>
    </w:p>
  </w:footnote>
  <w:footnote w:type="continuationSeparator" w:id="0">
    <w:p w14:paraId="7C5450ED" w14:textId="77777777" w:rsidR="00706F81" w:rsidRDefault="00706F81" w:rsidP="0097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6EE6F" w14:textId="77777777" w:rsidR="00706F81" w:rsidRDefault="00706F81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94854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A08FF" w14:textId="77777777" w:rsidR="00706F81" w:rsidRDefault="00706F81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E4F3D">
      <w:rPr>
        <w:noProof/>
      </w:rPr>
      <w:t>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10B"/>
    <w:multiLevelType w:val="hybridMultilevel"/>
    <w:tmpl w:val="B03A14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F581E"/>
    <w:multiLevelType w:val="hybridMultilevel"/>
    <w:tmpl w:val="9F38C9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33CE"/>
    <w:multiLevelType w:val="hybridMultilevel"/>
    <w:tmpl w:val="61DCC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DA0"/>
    <w:multiLevelType w:val="hybridMultilevel"/>
    <w:tmpl w:val="C14E5D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1066C"/>
    <w:multiLevelType w:val="hybridMultilevel"/>
    <w:tmpl w:val="F7086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tzA2MTQxMjY2szBR0lEKTi0uzszPAykwrQUA++RPVywAAAA="/>
  </w:docVars>
  <w:rsids>
    <w:rsidRoot w:val="00975B8F"/>
    <w:rsid w:val="00004A33"/>
    <w:rsid w:val="00006B6D"/>
    <w:rsid w:val="00042DF6"/>
    <w:rsid w:val="00051A22"/>
    <w:rsid w:val="00074279"/>
    <w:rsid w:val="00075BE7"/>
    <w:rsid w:val="00084CF5"/>
    <w:rsid w:val="000A2DA3"/>
    <w:rsid w:val="000A4432"/>
    <w:rsid w:val="000B03F0"/>
    <w:rsid w:val="000B4456"/>
    <w:rsid w:val="000B53BF"/>
    <w:rsid w:val="000D2A68"/>
    <w:rsid w:val="000D41B0"/>
    <w:rsid w:val="000D7796"/>
    <w:rsid w:val="000E3062"/>
    <w:rsid w:val="000F1725"/>
    <w:rsid w:val="000F5D35"/>
    <w:rsid w:val="000F7300"/>
    <w:rsid w:val="00144A20"/>
    <w:rsid w:val="001531E3"/>
    <w:rsid w:val="00176356"/>
    <w:rsid w:val="00183400"/>
    <w:rsid w:val="001873E6"/>
    <w:rsid w:val="001A2410"/>
    <w:rsid w:val="001B5ADF"/>
    <w:rsid w:val="001C095C"/>
    <w:rsid w:val="002062D8"/>
    <w:rsid w:val="00210008"/>
    <w:rsid w:val="00227DEA"/>
    <w:rsid w:val="002306F3"/>
    <w:rsid w:val="00230F52"/>
    <w:rsid w:val="00244CE9"/>
    <w:rsid w:val="002466F8"/>
    <w:rsid w:val="00254F62"/>
    <w:rsid w:val="002718A5"/>
    <w:rsid w:val="002C13B2"/>
    <w:rsid w:val="002D7E42"/>
    <w:rsid w:val="002E7A11"/>
    <w:rsid w:val="002E7CAB"/>
    <w:rsid w:val="002F541F"/>
    <w:rsid w:val="0032157B"/>
    <w:rsid w:val="003218CE"/>
    <w:rsid w:val="00325572"/>
    <w:rsid w:val="00337097"/>
    <w:rsid w:val="00363E44"/>
    <w:rsid w:val="00377E58"/>
    <w:rsid w:val="00391D01"/>
    <w:rsid w:val="00395B46"/>
    <w:rsid w:val="003A28D3"/>
    <w:rsid w:val="003A6E14"/>
    <w:rsid w:val="003F5162"/>
    <w:rsid w:val="00406B8F"/>
    <w:rsid w:val="00427CDA"/>
    <w:rsid w:val="00435BD4"/>
    <w:rsid w:val="00442C9D"/>
    <w:rsid w:val="00466E73"/>
    <w:rsid w:val="00484494"/>
    <w:rsid w:val="00485472"/>
    <w:rsid w:val="004C0579"/>
    <w:rsid w:val="004C5844"/>
    <w:rsid w:val="004F783B"/>
    <w:rsid w:val="00501D37"/>
    <w:rsid w:val="005257FF"/>
    <w:rsid w:val="00544DB1"/>
    <w:rsid w:val="0056776F"/>
    <w:rsid w:val="00577B92"/>
    <w:rsid w:val="005A7615"/>
    <w:rsid w:val="005C7B98"/>
    <w:rsid w:val="005E0A51"/>
    <w:rsid w:val="00620A23"/>
    <w:rsid w:val="00626B31"/>
    <w:rsid w:val="00675AAA"/>
    <w:rsid w:val="006C2BAE"/>
    <w:rsid w:val="006C7E1B"/>
    <w:rsid w:val="00706F81"/>
    <w:rsid w:val="00717FE2"/>
    <w:rsid w:val="00733E15"/>
    <w:rsid w:val="007375F3"/>
    <w:rsid w:val="00746F0F"/>
    <w:rsid w:val="00755CD8"/>
    <w:rsid w:val="007B27E7"/>
    <w:rsid w:val="007B622A"/>
    <w:rsid w:val="007E37DB"/>
    <w:rsid w:val="00803C9A"/>
    <w:rsid w:val="008114DB"/>
    <w:rsid w:val="008376AF"/>
    <w:rsid w:val="008414FD"/>
    <w:rsid w:val="008718D8"/>
    <w:rsid w:val="00874769"/>
    <w:rsid w:val="00880C7F"/>
    <w:rsid w:val="00892162"/>
    <w:rsid w:val="008A27DA"/>
    <w:rsid w:val="008B03A6"/>
    <w:rsid w:val="008B642E"/>
    <w:rsid w:val="008D45D6"/>
    <w:rsid w:val="008E0D2A"/>
    <w:rsid w:val="00921625"/>
    <w:rsid w:val="00975B8F"/>
    <w:rsid w:val="00981856"/>
    <w:rsid w:val="00994854"/>
    <w:rsid w:val="009B7F1E"/>
    <w:rsid w:val="009D0F9A"/>
    <w:rsid w:val="009D26EF"/>
    <w:rsid w:val="009F594D"/>
    <w:rsid w:val="00A04C34"/>
    <w:rsid w:val="00A105D5"/>
    <w:rsid w:val="00A31422"/>
    <w:rsid w:val="00A31CC0"/>
    <w:rsid w:val="00A56279"/>
    <w:rsid w:val="00A737C3"/>
    <w:rsid w:val="00A93EDF"/>
    <w:rsid w:val="00B858DA"/>
    <w:rsid w:val="00BA3858"/>
    <w:rsid w:val="00BA6DA6"/>
    <w:rsid w:val="00BC475D"/>
    <w:rsid w:val="00BE45A6"/>
    <w:rsid w:val="00BE4F3D"/>
    <w:rsid w:val="00C11A72"/>
    <w:rsid w:val="00C22991"/>
    <w:rsid w:val="00C614A4"/>
    <w:rsid w:val="00C7669A"/>
    <w:rsid w:val="00C91800"/>
    <w:rsid w:val="00CA7B71"/>
    <w:rsid w:val="00CC5AD2"/>
    <w:rsid w:val="00CE791B"/>
    <w:rsid w:val="00D0577E"/>
    <w:rsid w:val="00D05A45"/>
    <w:rsid w:val="00D20C9E"/>
    <w:rsid w:val="00D264AF"/>
    <w:rsid w:val="00D3293B"/>
    <w:rsid w:val="00D412AE"/>
    <w:rsid w:val="00D4250B"/>
    <w:rsid w:val="00D56EA8"/>
    <w:rsid w:val="00D97EB7"/>
    <w:rsid w:val="00DE5AA2"/>
    <w:rsid w:val="00E145A2"/>
    <w:rsid w:val="00E20686"/>
    <w:rsid w:val="00E51FBA"/>
    <w:rsid w:val="00E66F2C"/>
    <w:rsid w:val="00E701C5"/>
    <w:rsid w:val="00E96F40"/>
    <w:rsid w:val="00EE75C4"/>
    <w:rsid w:val="00F17DC3"/>
    <w:rsid w:val="00F243EB"/>
    <w:rsid w:val="00F348B7"/>
    <w:rsid w:val="00F60234"/>
    <w:rsid w:val="00F638A6"/>
    <w:rsid w:val="00F7775E"/>
    <w:rsid w:val="00FA7A02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CF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0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2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5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5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5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5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5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25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5B8F"/>
  </w:style>
  <w:style w:type="paragraph" w:styleId="BalloonText">
    <w:name w:val="Balloon Text"/>
    <w:basedOn w:val="Normal"/>
    <w:link w:val="BalloonTextChar"/>
    <w:uiPriority w:val="99"/>
    <w:semiHidden/>
    <w:unhideWhenUsed/>
    <w:rsid w:val="0097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8F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7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8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8F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42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2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5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5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5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5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5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5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5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5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4250B"/>
    <w:rPr>
      <w:b/>
      <w:bCs/>
    </w:rPr>
  </w:style>
  <w:style w:type="character" w:styleId="Emphasis">
    <w:name w:val="Emphasis"/>
    <w:basedOn w:val="DefaultParagraphFont"/>
    <w:uiPriority w:val="20"/>
    <w:qFormat/>
    <w:rsid w:val="00D4250B"/>
    <w:rPr>
      <w:i/>
      <w:iCs/>
    </w:rPr>
  </w:style>
  <w:style w:type="paragraph" w:styleId="ListParagraph">
    <w:name w:val="List Paragraph"/>
    <w:basedOn w:val="Normal"/>
    <w:uiPriority w:val="34"/>
    <w:qFormat/>
    <w:rsid w:val="00D42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25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250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5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50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4250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250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250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25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25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50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5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8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8D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E3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0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2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5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5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5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5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5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25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5B8F"/>
  </w:style>
  <w:style w:type="paragraph" w:styleId="BalloonText">
    <w:name w:val="Balloon Text"/>
    <w:basedOn w:val="Normal"/>
    <w:link w:val="BalloonTextChar"/>
    <w:uiPriority w:val="99"/>
    <w:semiHidden/>
    <w:unhideWhenUsed/>
    <w:rsid w:val="0097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8F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7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8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8F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42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2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5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5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5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5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5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5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5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5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4250B"/>
    <w:rPr>
      <w:b/>
      <w:bCs/>
    </w:rPr>
  </w:style>
  <w:style w:type="character" w:styleId="Emphasis">
    <w:name w:val="Emphasis"/>
    <w:basedOn w:val="DefaultParagraphFont"/>
    <w:uiPriority w:val="20"/>
    <w:qFormat/>
    <w:rsid w:val="00D4250B"/>
    <w:rPr>
      <w:i/>
      <w:iCs/>
    </w:rPr>
  </w:style>
  <w:style w:type="paragraph" w:styleId="ListParagraph">
    <w:name w:val="List Paragraph"/>
    <w:basedOn w:val="Normal"/>
    <w:uiPriority w:val="34"/>
    <w:qFormat/>
    <w:rsid w:val="00D42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25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250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5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50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4250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250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250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25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25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50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5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8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8D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E3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B662788-81C2-B344-A2E6-04678C42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1299</Words>
  <Characters>7083</Characters>
  <Application>Microsoft Macintosh Word</Application>
  <DocSecurity>0</DocSecurity>
  <Lines>116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and Corporate Law</vt:lpstr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and Corporate Law</dc:title>
  <dc:creator>#04036</dc:creator>
  <cp:lastModifiedBy>Alish</cp:lastModifiedBy>
  <cp:revision>20</cp:revision>
  <dcterms:created xsi:type="dcterms:W3CDTF">2019-05-27T02:32:00Z</dcterms:created>
  <dcterms:modified xsi:type="dcterms:W3CDTF">2019-05-27T02:52:00Z</dcterms:modified>
</cp:coreProperties>
</file>