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7B5A7" w14:textId="33C09F67" w:rsidR="00391710" w:rsidRPr="00391710" w:rsidRDefault="00391710" w:rsidP="00AF6541">
      <w:pPr>
        <w:spacing w:line="480" w:lineRule="auto"/>
        <w:jc w:val="both"/>
        <w:outlineLvl w:val="0"/>
        <w:rPr>
          <w:rFonts w:ascii="Times New Roman" w:eastAsia="Times New Roman" w:hAnsi="Times New Roman" w:cs="Times New Roman"/>
        </w:rPr>
      </w:pPr>
      <w:r w:rsidRPr="00391710">
        <w:rPr>
          <w:rFonts w:ascii="Times New Roman" w:eastAsia="Times New Roman" w:hAnsi="Times New Roman" w:cs="Times New Roman"/>
          <w:b/>
        </w:rPr>
        <w:t>Question 1</w:t>
      </w:r>
    </w:p>
    <w:p w14:paraId="4F90B849" w14:textId="77777777" w:rsidR="00391710" w:rsidRPr="00391710" w:rsidRDefault="00391710" w:rsidP="00391710">
      <w:pPr>
        <w:spacing w:line="480" w:lineRule="auto"/>
        <w:jc w:val="both"/>
        <w:rPr>
          <w:rFonts w:ascii="Times New Roman" w:eastAsia="Times New Roman" w:hAnsi="Times New Roman" w:cs="Times New Roman"/>
        </w:rPr>
      </w:pPr>
    </w:p>
    <w:p w14:paraId="50DFBD1D" w14:textId="60EF7B1F" w:rsidR="0054729C" w:rsidRPr="00211CA1" w:rsidRDefault="005350B8" w:rsidP="00BA1D55">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rPr>
        <w:t xml:space="preserve">Judicial corporate veil piercing exists in most parts of the world. </w:t>
      </w:r>
      <w:r w:rsidR="006B55B8" w:rsidRPr="00211CA1">
        <w:rPr>
          <w:rFonts w:ascii="Times New Roman" w:eastAsia="Times New Roman" w:hAnsi="Times New Roman" w:cs="Times New Roman"/>
        </w:rPr>
        <w:t>The majority of the scholarship emerging through the efforts of the</w:t>
      </w:r>
      <w:r w:rsidRPr="00211CA1">
        <w:rPr>
          <w:rFonts w:ascii="Times New Roman" w:eastAsia="Times New Roman" w:hAnsi="Times New Roman" w:cs="Times New Roman"/>
        </w:rPr>
        <w:t xml:space="preserve"> commentators and courts </w:t>
      </w:r>
      <w:r w:rsidR="006B55B8" w:rsidRPr="00211CA1">
        <w:rPr>
          <w:rFonts w:ascii="Times New Roman" w:eastAsia="Times New Roman" w:hAnsi="Times New Roman" w:cs="Times New Roman"/>
        </w:rPr>
        <w:t xml:space="preserve">in Australia and elsewhere considers the </w:t>
      </w:r>
      <w:r w:rsidR="00AF6541">
        <w:rPr>
          <w:rFonts w:ascii="Times New Roman" w:eastAsia="Times New Roman" w:hAnsi="Times New Roman" w:cs="Times New Roman"/>
        </w:rPr>
        <w:t>conditions</w:t>
      </w:r>
      <w:r w:rsidR="006B55B8" w:rsidRPr="00211CA1">
        <w:rPr>
          <w:rFonts w:ascii="Times New Roman" w:eastAsia="Times New Roman" w:hAnsi="Times New Roman" w:cs="Times New Roman"/>
        </w:rPr>
        <w:t xml:space="preserve"> under which the veil is ought to be pierced. </w:t>
      </w:r>
      <w:r w:rsidR="00675858" w:rsidRPr="00211CA1">
        <w:rPr>
          <w:rFonts w:ascii="Times New Roman" w:eastAsia="Times New Roman" w:hAnsi="Times New Roman" w:cs="Times New Roman"/>
        </w:rPr>
        <w:t xml:space="preserve">Despite the famous comment of </w:t>
      </w:r>
      <w:r w:rsidR="00AF19EC" w:rsidRPr="00211CA1">
        <w:rPr>
          <w:rFonts w:ascii="Times New Roman" w:eastAsia="Times New Roman" w:hAnsi="Times New Roman" w:cs="Times New Roman"/>
        </w:rPr>
        <w:t>Easterbrook and Fischel</w:t>
      </w:r>
      <w:r w:rsidR="00265B19" w:rsidRPr="00211CA1">
        <w:rPr>
          <w:rFonts w:ascii="Times New Roman" w:eastAsia="Times New Roman" w:hAnsi="Times New Roman" w:cs="Times New Roman"/>
        </w:rPr>
        <w:t xml:space="preserve"> that piercing happens freakishly like the lightening, and thus, remains unprincipled, severe and rare,</w:t>
      </w:r>
      <w:r w:rsidR="00C04C8A" w:rsidRPr="00211CA1">
        <w:rPr>
          <w:rStyle w:val="FootnoteReference"/>
          <w:rFonts w:ascii="Times New Roman" w:eastAsia="Times New Roman" w:hAnsi="Times New Roman" w:cs="Times New Roman"/>
        </w:rPr>
        <w:footnoteReference w:id="1"/>
      </w:r>
      <w:r w:rsidR="00265B19" w:rsidRPr="00211CA1">
        <w:rPr>
          <w:rFonts w:ascii="Times New Roman" w:eastAsia="Times New Roman" w:hAnsi="Times New Roman" w:cs="Times New Roman"/>
        </w:rPr>
        <w:t xml:space="preserve"> the literature and case laws underlie the arguments in favor of v</w:t>
      </w:r>
      <w:r w:rsidR="00312AC1" w:rsidRPr="00211CA1">
        <w:rPr>
          <w:rFonts w:ascii="Times New Roman" w:eastAsia="Times New Roman" w:hAnsi="Times New Roman" w:cs="Times New Roman"/>
        </w:rPr>
        <w:t>eil piercing in the present times.</w:t>
      </w:r>
      <w:r w:rsidR="00C04C8A" w:rsidRPr="00211CA1">
        <w:rPr>
          <w:rStyle w:val="FootnoteReference"/>
          <w:rFonts w:ascii="Times New Roman" w:eastAsia="Times New Roman" w:hAnsi="Times New Roman" w:cs="Times New Roman"/>
        </w:rPr>
        <w:footnoteReference w:id="2"/>
      </w:r>
      <w:r w:rsidR="00312AC1" w:rsidRPr="00211CA1">
        <w:rPr>
          <w:rFonts w:ascii="Times New Roman" w:eastAsia="Times New Roman" w:hAnsi="Times New Roman" w:cs="Times New Roman"/>
        </w:rPr>
        <w:t xml:space="preserve"> </w:t>
      </w:r>
    </w:p>
    <w:p w14:paraId="0E33D6F6" w14:textId="77777777" w:rsidR="00526BC5" w:rsidRPr="00211CA1" w:rsidRDefault="00526BC5" w:rsidP="00BA1D55">
      <w:pPr>
        <w:spacing w:line="480" w:lineRule="auto"/>
        <w:jc w:val="both"/>
        <w:rPr>
          <w:rFonts w:ascii="Times New Roman" w:eastAsia="Times New Roman" w:hAnsi="Times New Roman" w:cs="Times New Roman"/>
        </w:rPr>
      </w:pPr>
    </w:p>
    <w:p w14:paraId="23EC5CC1" w14:textId="30A41421" w:rsidR="007E1DF5" w:rsidRPr="00211CA1" w:rsidRDefault="0054729C" w:rsidP="00BA1D55">
      <w:pPr>
        <w:pStyle w:val="NormalWeb"/>
        <w:shd w:val="clear" w:color="auto" w:fill="FFFFFF"/>
        <w:spacing w:before="0" w:beforeAutospacing="0" w:after="0" w:afterAutospacing="0" w:line="480" w:lineRule="auto"/>
        <w:jc w:val="both"/>
        <w:rPr>
          <w:rFonts w:ascii="Times New Roman" w:hAnsi="Times New Roman"/>
          <w:sz w:val="24"/>
          <w:szCs w:val="24"/>
        </w:rPr>
      </w:pPr>
      <w:r w:rsidRPr="00211CA1">
        <w:rPr>
          <w:rFonts w:ascii="Times New Roman" w:hAnsi="Times New Roman"/>
          <w:sz w:val="24"/>
          <w:szCs w:val="24"/>
        </w:rPr>
        <w:t xml:space="preserve">Registering a company is of considerable importance for the owners as it protects them under the corporate veil. It indicates to the fact that the registered </w:t>
      </w:r>
      <w:r w:rsidR="00AF6541">
        <w:rPr>
          <w:rFonts w:ascii="Times New Roman" w:hAnsi="Times New Roman"/>
          <w:sz w:val="24"/>
          <w:szCs w:val="24"/>
        </w:rPr>
        <w:t>corporation</w:t>
      </w:r>
      <w:r w:rsidRPr="00211CA1">
        <w:rPr>
          <w:rFonts w:ascii="Times New Roman" w:hAnsi="Times New Roman"/>
          <w:sz w:val="24"/>
          <w:szCs w:val="24"/>
        </w:rPr>
        <w:t xml:space="preserve"> is a</w:t>
      </w:r>
      <w:r w:rsidR="00552159">
        <w:rPr>
          <w:rFonts w:ascii="Times New Roman" w:hAnsi="Times New Roman"/>
          <w:sz w:val="24"/>
          <w:szCs w:val="24"/>
        </w:rPr>
        <w:t>n</w:t>
      </w:r>
      <w:r w:rsidRPr="00211CA1">
        <w:rPr>
          <w:rFonts w:ascii="Times New Roman" w:hAnsi="Times New Roman"/>
          <w:sz w:val="24"/>
          <w:szCs w:val="24"/>
        </w:rPr>
        <w:t xml:space="preserve"> </w:t>
      </w:r>
      <w:r w:rsidR="00EE2C11">
        <w:rPr>
          <w:rFonts w:ascii="Times New Roman" w:hAnsi="Times New Roman"/>
          <w:sz w:val="24"/>
          <w:szCs w:val="24"/>
        </w:rPr>
        <w:t>independent</w:t>
      </w:r>
      <w:r w:rsidRPr="00211CA1">
        <w:rPr>
          <w:rFonts w:ascii="Times New Roman" w:hAnsi="Times New Roman"/>
          <w:sz w:val="24"/>
          <w:szCs w:val="24"/>
        </w:rPr>
        <w:t xml:space="preserve"> legal entity from its </w:t>
      </w:r>
      <w:r w:rsidR="004329C8">
        <w:rPr>
          <w:rFonts w:ascii="Times New Roman" w:hAnsi="Times New Roman"/>
          <w:sz w:val="24"/>
          <w:szCs w:val="24"/>
        </w:rPr>
        <w:t>shareholders</w:t>
      </w:r>
      <w:r w:rsidRPr="00211CA1">
        <w:rPr>
          <w:rFonts w:ascii="Times New Roman" w:hAnsi="Times New Roman"/>
          <w:sz w:val="24"/>
          <w:szCs w:val="24"/>
        </w:rPr>
        <w:t xml:space="preserve">, and if </w:t>
      </w:r>
      <w:r w:rsidR="00AF6541">
        <w:rPr>
          <w:rFonts w:ascii="Times New Roman" w:hAnsi="Times New Roman"/>
          <w:sz w:val="24"/>
          <w:szCs w:val="24"/>
        </w:rPr>
        <w:t xml:space="preserve">it </w:t>
      </w:r>
      <w:r w:rsidRPr="00211CA1">
        <w:rPr>
          <w:rFonts w:ascii="Times New Roman" w:hAnsi="Times New Roman"/>
          <w:sz w:val="24"/>
          <w:szCs w:val="24"/>
        </w:rPr>
        <w:t xml:space="preserve">gets in to debt or if anything goes amiss, the </w:t>
      </w:r>
      <w:r w:rsidR="004329C8">
        <w:rPr>
          <w:rFonts w:ascii="Times New Roman" w:hAnsi="Times New Roman"/>
          <w:sz w:val="24"/>
          <w:szCs w:val="24"/>
        </w:rPr>
        <w:t>directors</w:t>
      </w:r>
      <w:r w:rsidRPr="00211CA1">
        <w:rPr>
          <w:rFonts w:ascii="Times New Roman" w:hAnsi="Times New Roman"/>
          <w:sz w:val="24"/>
          <w:szCs w:val="24"/>
        </w:rPr>
        <w:t xml:space="preserve"> (owners) are not responsible. Moreover, the court actions taken in this regard will not be against the directors but the company itself. Overall, it provides the owners with limited liability protection. The analogy of corporate veil stems from this protection. </w:t>
      </w:r>
    </w:p>
    <w:p w14:paraId="008D23D3" w14:textId="77777777" w:rsidR="007E1DF5" w:rsidRPr="00211CA1" w:rsidRDefault="007E1DF5" w:rsidP="00BA1D55">
      <w:pPr>
        <w:pStyle w:val="NormalWeb"/>
        <w:shd w:val="clear" w:color="auto" w:fill="FFFFFF"/>
        <w:spacing w:before="0" w:beforeAutospacing="0" w:after="0" w:afterAutospacing="0" w:line="480" w:lineRule="auto"/>
        <w:jc w:val="both"/>
        <w:rPr>
          <w:rFonts w:ascii="Times New Roman" w:hAnsi="Times New Roman"/>
          <w:sz w:val="24"/>
          <w:szCs w:val="24"/>
        </w:rPr>
      </w:pPr>
    </w:p>
    <w:p w14:paraId="41A3F9D8" w14:textId="203DD933" w:rsidR="007E1DF5" w:rsidRPr="00211CA1" w:rsidRDefault="006C7262" w:rsidP="00BA1D55">
      <w:pPr>
        <w:pStyle w:val="NormalWeb"/>
        <w:shd w:val="clear" w:color="auto" w:fill="FFFFFF"/>
        <w:spacing w:before="0" w:beforeAutospacing="0" w:after="0" w:afterAutospacing="0" w:line="480" w:lineRule="auto"/>
        <w:jc w:val="both"/>
        <w:rPr>
          <w:rFonts w:ascii="Times New Roman" w:eastAsia="Times New Roman" w:hAnsi="Times New Roman"/>
          <w:sz w:val="24"/>
          <w:szCs w:val="24"/>
          <w:shd w:val="clear" w:color="auto" w:fill="FFFFFF"/>
        </w:rPr>
      </w:pPr>
      <w:r w:rsidRPr="00211CA1">
        <w:rPr>
          <w:rFonts w:ascii="Times New Roman" w:eastAsia="Times New Roman" w:hAnsi="Times New Roman"/>
          <w:sz w:val="24"/>
          <w:szCs w:val="24"/>
          <w:shd w:val="clear" w:color="auto" w:fill="FFFFFF"/>
        </w:rPr>
        <w:t>The concession t</w:t>
      </w:r>
      <w:r w:rsidR="0015106A" w:rsidRPr="00211CA1">
        <w:rPr>
          <w:rFonts w:ascii="Times New Roman" w:eastAsia="Times New Roman" w:hAnsi="Times New Roman"/>
          <w:sz w:val="24"/>
          <w:szCs w:val="24"/>
          <w:shd w:val="clear" w:color="auto" w:fill="FFFFFF"/>
        </w:rPr>
        <w:t xml:space="preserve">heory posited the same conception; it treats a registered </w:t>
      </w:r>
      <w:r w:rsidR="00353985">
        <w:rPr>
          <w:rFonts w:ascii="Times New Roman" w:eastAsia="Times New Roman" w:hAnsi="Times New Roman"/>
          <w:sz w:val="24"/>
          <w:szCs w:val="24"/>
          <w:shd w:val="clear" w:color="auto" w:fill="FFFFFF"/>
        </w:rPr>
        <w:t xml:space="preserve">corporation as an </w:t>
      </w:r>
      <w:r w:rsidR="00552159">
        <w:rPr>
          <w:rFonts w:ascii="Times New Roman" w:eastAsia="Times New Roman" w:hAnsi="Times New Roman"/>
          <w:sz w:val="24"/>
          <w:szCs w:val="24"/>
          <w:shd w:val="clear" w:color="auto" w:fill="FFFFFF"/>
        </w:rPr>
        <w:t>entity</w:t>
      </w:r>
      <w:r w:rsidR="0015106A" w:rsidRPr="00211CA1">
        <w:rPr>
          <w:rFonts w:ascii="Times New Roman" w:eastAsia="Times New Roman" w:hAnsi="Times New Roman"/>
          <w:sz w:val="24"/>
          <w:szCs w:val="24"/>
          <w:shd w:val="clear" w:color="auto" w:fill="FFFFFF"/>
        </w:rPr>
        <w:t xml:space="preserve"> </w:t>
      </w:r>
      <w:r w:rsidR="00BA4280">
        <w:rPr>
          <w:rFonts w:ascii="Times New Roman" w:eastAsia="Times New Roman" w:hAnsi="Times New Roman"/>
          <w:sz w:val="24"/>
          <w:szCs w:val="24"/>
          <w:shd w:val="clear" w:color="auto" w:fill="FFFFFF"/>
        </w:rPr>
        <w:t>that a government has created</w:t>
      </w:r>
      <w:r w:rsidR="0015106A" w:rsidRPr="00211CA1">
        <w:rPr>
          <w:rFonts w:ascii="Times New Roman" w:eastAsia="Times New Roman" w:hAnsi="Times New Roman"/>
          <w:sz w:val="24"/>
          <w:szCs w:val="24"/>
          <w:shd w:val="clear" w:color="auto" w:fill="FFFFFF"/>
        </w:rPr>
        <w:t xml:space="preserve">, i.e., a corporation exists as a legal entity only because governments require so. For this reason, a company distinct from its directors and </w:t>
      </w:r>
      <w:r w:rsidR="004329C8">
        <w:rPr>
          <w:rFonts w:ascii="Times New Roman" w:eastAsia="Times New Roman" w:hAnsi="Times New Roman"/>
          <w:sz w:val="24"/>
          <w:szCs w:val="24"/>
          <w:shd w:val="clear" w:color="auto" w:fill="FFFFFF"/>
        </w:rPr>
        <w:t>shareholders</w:t>
      </w:r>
      <w:r w:rsidR="0015106A" w:rsidRPr="00211CA1">
        <w:rPr>
          <w:rFonts w:ascii="Times New Roman" w:eastAsia="Times New Roman" w:hAnsi="Times New Roman"/>
          <w:sz w:val="24"/>
          <w:szCs w:val="24"/>
          <w:shd w:val="clear" w:color="auto" w:fill="FFFFFF"/>
        </w:rPr>
        <w:t xml:space="preserve">, and considers to receive the concession or privilege from the government. From the strong version of the theory, such privilege must be </w:t>
      </w:r>
      <w:r w:rsidR="00BA4280">
        <w:rPr>
          <w:rFonts w:ascii="Times New Roman" w:eastAsia="Times New Roman" w:hAnsi="Times New Roman"/>
          <w:sz w:val="24"/>
          <w:szCs w:val="24"/>
          <w:shd w:val="clear" w:color="auto" w:fill="FFFFFF"/>
        </w:rPr>
        <w:t>obtained on a regularly</w:t>
      </w:r>
      <w:r w:rsidR="0015106A" w:rsidRPr="00211CA1">
        <w:rPr>
          <w:rFonts w:ascii="Times New Roman" w:eastAsia="Times New Roman" w:hAnsi="Times New Roman"/>
          <w:sz w:val="24"/>
          <w:szCs w:val="24"/>
          <w:shd w:val="clear" w:color="auto" w:fill="FFFFFF"/>
        </w:rPr>
        <w:t xml:space="preserve"> basis. For the sake of </w:t>
      </w:r>
      <w:r w:rsidR="0015106A" w:rsidRPr="00211CA1">
        <w:rPr>
          <w:rFonts w:ascii="Times New Roman" w:eastAsia="Times New Roman" w:hAnsi="Times New Roman"/>
          <w:sz w:val="24"/>
          <w:szCs w:val="24"/>
          <w:shd w:val="clear" w:color="auto" w:fill="FFFFFF"/>
        </w:rPr>
        <w:lastRenderedPageBreak/>
        <w:t>discussion, in the judgment of a 1985 case,</w:t>
      </w:r>
      <w:r w:rsidR="0015106A" w:rsidRPr="00211CA1">
        <w:rPr>
          <w:rStyle w:val="FootnoteReference"/>
          <w:rFonts w:ascii="Times New Roman" w:eastAsia="Times New Roman" w:hAnsi="Times New Roman"/>
          <w:sz w:val="24"/>
          <w:szCs w:val="24"/>
          <w:shd w:val="clear" w:color="auto" w:fill="FFFFFF"/>
        </w:rPr>
        <w:footnoteReference w:id="3"/>
      </w:r>
      <w:r w:rsidR="0015106A" w:rsidRPr="00211CA1">
        <w:rPr>
          <w:rFonts w:ascii="Times New Roman" w:eastAsia="Times New Roman" w:hAnsi="Times New Roman"/>
          <w:sz w:val="24"/>
          <w:szCs w:val="24"/>
          <w:shd w:val="clear" w:color="auto" w:fill="FFFFFF"/>
        </w:rPr>
        <w:t xml:space="preserve"> the Court explained limited liability as a privilege, which is </w:t>
      </w:r>
      <w:r w:rsidR="00BA4280">
        <w:rPr>
          <w:rFonts w:ascii="Times New Roman" w:eastAsia="Times New Roman" w:hAnsi="Times New Roman"/>
          <w:sz w:val="24"/>
          <w:szCs w:val="24"/>
          <w:shd w:val="clear" w:color="auto" w:fill="FFFFFF"/>
        </w:rPr>
        <w:t>inevitable</w:t>
      </w:r>
      <w:r w:rsidR="0015106A" w:rsidRPr="00211CA1">
        <w:rPr>
          <w:rFonts w:ascii="Times New Roman" w:eastAsia="Times New Roman" w:hAnsi="Times New Roman"/>
          <w:sz w:val="24"/>
          <w:szCs w:val="24"/>
          <w:shd w:val="clear" w:color="auto" w:fill="FFFFFF"/>
        </w:rPr>
        <w:t xml:space="preserve"> to the expansion of commerce and opportunities. However, almost simultaneously, it remains exposed to abuse as well. The judgment further elaborated that irresponsible structural engineering in the form of actions such as creating, transforming or dissolving incorporated companies to the creditor's prejudices is a mischief in this regard, and the courts must pay a heed to such matters. </w:t>
      </w:r>
    </w:p>
    <w:p w14:paraId="0EDFBE8E" w14:textId="77777777" w:rsidR="007E1DF5" w:rsidRPr="00211CA1" w:rsidRDefault="007E1DF5" w:rsidP="00BA1D55">
      <w:pPr>
        <w:pStyle w:val="NormalWeb"/>
        <w:shd w:val="clear" w:color="auto" w:fill="FFFFFF"/>
        <w:spacing w:before="0" w:beforeAutospacing="0" w:after="0" w:afterAutospacing="0" w:line="480" w:lineRule="auto"/>
        <w:jc w:val="both"/>
        <w:rPr>
          <w:rFonts w:ascii="Times New Roman" w:eastAsia="Times New Roman" w:hAnsi="Times New Roman"/>
          <w:sz w:val="24"/>
          <w:szCs w:val="24"/>
          <w:shd w:val="clear" w:color="auto" w:fill="FFFFFF"/>
        </w:rPr>
      </w:pPr>
    </w:p>
    <w:p w14:paraId="14AAFB7F" w14:textId="7A59DC3E" w:rsidR="00F31026" w:rsidRPr="00211CA1" w:rsidRDefault="00F6188B" w:rsidP="00BA1D55">
      <w:pPr>
        <w:pStyle w:val="NormalWeb"/>
        <w:shd w:val="clear" w:color="auto" w:fill="FFFFFF"/>
        <w:spacing w:before="0" w:beforeAutospacing="0" w:after="0" w:afterAutospacing="0" w:line="480" w:lineRule="auto"/>
        <w:jc w:val="both"/>
        <w:rPr>
          <w:rFonts w:ascii="Times New Roman" w:hAnsi="Times New Roman"/>
          <w:sz w:val="24"/>
          <w:szCs w:val="24"/>
        </w:rPr>
      </w:pPr>
      <w:r>
        <w:rPr>
          <w:rFonts w:ascii="Times New Roman" w:eastAsia="Times New Roman" w:hAnsi="Times New Roman"/>
          <w:sz w:val="24"/>
          <w:szCs w:val="24"/>
          <w:shd w:val="clear" w:color="auto" w:fill="FFFFFF"/>
        </w:rPr>
        <w:t>On the other hand of the discussion, the natural entity theory</w:t>
      </w:r>
      <w:r w:rsidR="007E1DF5" w:rsidRPr="00211CA1">
        <w:rPr>
          <w:rFonts w:ascii="Times New Roman" w:eastAsia="Times New Roman" w:hAnsi="Times New Roman"/>
          <w:sz w:val="24"/>
          <w:szCs w:val="24"/>
          <w:shd w:val="clear" w:color="auto" w:fill="FFFFFF"/>
        </w:rPr>
        <w:t xml:space="preserve"> makes two claims. The first supports the argument that corporations come into existence as a natural product </w:t>
      </w:r>
      <w:r>
        <w:rPr>
          <w:rFonts w:ascii="Times New Roman" w:eastAsia="Times New Roman" w:hAnsi="Times New Roman"/>
          <w:sz w:val="24"/>
          <w:szCs w:val="24"/>
          <w:shd w:val="clear" w:color="auto" w:fill="FFFFFF"/>
        </w:rPr>
        <w:t>due to the</w:t>
      </w:r>
      <w:r w:rsidR="007E1DF5" w:rsidRPr="00211CA1">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social and economic interaction of humans</w:t>
      </w:r>
      <w:r w:rsidR="004B57FB" w:rsidRPr="00211CA1">
        <w:rPr>
          <w:rFonts w:ascii="Times New Roman" w:eastAsia="Times New Roman" w:hAnsi="Times New Roman"/>
          <w:sz w:val="24"/>
          <w:szCs w:val="24"/>
          <w:shd w:val="clear" w:color="auto" w:fill="FFFFFF"/>
        </w:rPr>
        <w:t xml:space="preserve"> instead of being</w:t>
      </w:r>
      <w:r w:rsidR="007E1DF5" w:rsidRPr="00211CA1">
        <w:rPr>
          <w:rFonts w:ascii="Times New Roman" w:eastAsia="Times New Roman" w:hAnsi="Times New Roman"/>
          <w:sz w:val="24"/>
          <w:szCs w:val="24"/>
          <w:shd w:val="clear" w:color="auto" w:fill="FFFFFF"/>
        </w:rPr>
        <w:t xml:space="preserve"> created through the corporate law, which gives </w:t>
      </w:r>
      <w:r>
        <w:rPr>
          <w:rFonts w:ascii="Times New Roman" w:eastAsia="Times New Roman" w:hAnsi="Times New Roman"/>
          <w:sz w:val="24"/>
          <w:szCs w:val="24"/>
          <w:shd w:val="clear" w:color="auto" w:fill="FFFFFF"/>
        </w:rPr>
        <w:t>official</w:t>
      </w:r>
      <w:r w:rsidR="007E1DF5" w:rsidRPr="00211CA1">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 xml:space="preserve">acknowledgment </w:t>
      </w:r>
      <w:r w:rsidR="007E1DF5" w:rsidRPr="00211CA1">
        <w:rPr>
          <w:rFonts w:ascii="Times New Roman" w:eastAsia="Times New Roman" w:hAnsi="Times New Roman"/>
          <w:sz w:val="24"/>
          <w:szCs w:val="24"/>
          <w:shd w:val="clear" w:color="auto" w:fill="FFFFFF"/>
        </w:rPr>
        <w:t xml:space="preserve">to their existence. The second claim elaborates the fact that the corporation exists </w:t>
      </w:r>
      <w:r w:rsidR="00EE2C11">
        <w:rPr>
          <w:rFonts w:ascii="Times New Roman" w:eastAsia="Times New Roman" w:hAnsi="Times New Roman"/>
          <w:sz w:val="24"/>
          <w:szCs w:val="24"/>
          <w:shd w:val="clear" w:color="auto" w:fill="FFFFFF"/>
        </w:rPr>
        <w:t>independent</w:t>
      </w:r>
      <w:r w:rsidR="007E1DF5" w:rsidRPr="00211CA1">
        <w:rPr>
          <w:rFonts w:ascii="Times New Roman" w:eastAsia="Times New Roman" w:hAnsi="Times New Roman"/>
          <w:sz w:val="24"/>
          <w:szCs w:val="24"/>
          <w:shd w:val="clear" w:color="auto" w:fill="FFFFFF"/>
        </w:rPr>
        <w:t xml:space="preserve">ly from its </w:t>
      </w:r>
      <w:r w:rsidR="004329C8">
        <w:rPr>
          <w:rFonts w:ascii="Times New Roman" w:eastAsia="Times New Roman" w:hAnsi="Times New Roman"/>
          <w:sz w:val="24"/>
          <w:szCs w:val="24"/>
          <w:shd w:val="clear" w:color="auto" w:fill="FFFFFF"/>
        </w:rPr>
        <w:t>shareholders</w:t>
      </w:r>
      <w:r w:rsidR="007E1DF5" w:rsidRPr="00211CA1">
        <w:rPr>
          <w:rFonts w:ascii="Times New Roman" w:eastAsia="Times New Roman" w:hAnsi="Times New Roman"/>
          <w:sz w:val="24"/>
          <w:szCs w:val="24"/>
          <w:shd w:val="clear" w:color="auto" w:fill="FFFFFF"/>
        </w:rPr>
        <w:t xml:space="preserve"> and directors. Otto von Gierke describes a corporation as a large group, which enjoys an independent and real life along with a conscious will and the ability to act </w:t>
      </w:r>
      <w:r w:rsidR="00EE2C11">
        <w:rPr>
          <w:rFonts w:ascii="Times New Roman" w:eastAsia="Times New Roman" w:hAnsi="Times New Roman"/>
          <w:sz w:val="24"/>
          <w:szCs w:val="24"/>
          <w:shd w:val="clear" w:color="auto" w:fill="FFFFFF"/>
        </w:rPr>
        <w:t>independent</w:t>
      </w:r>
      <w:r w:rsidR="007E1DF5" w:rsidRPr="00211CA1">
        <w:rPr>
          <w:rFonts w:ascii="Times New Roman" w:eastAsia="Times New Roman" w:hAnsi="Times New Roman"/>
          <w:sz w:val="24"/>
          <w:szCs w:val="24"/>
          <w:shd w:val="clear" w:color="auto" w:fill="FFFFFF"/>
        </w:rPr>
        <w:t xml:space="preserve">ly from its </w:t>
      </w:r>
      <w:r w:rsidR="004329C8">
        <w:rPr>
          <w:rFonts w:ascii="Times New Roman" w:eastAsia="Times New Roman" w:hAnsi="Times New Roman"/>
          <w:sz w:val="24"/>
          <w:szCs w:val="24"/>
          <w:shd w:val="clear" w:color="auto" w:fill="FFFFFF"/>
        </w:rPr>
        <w:t>shareholders</w:t>
      </w:r>
      <w:r w:rsidR="007E1DF5" w:rsidRPr="00211CA1">
        <w:rPr>
          <w:rFonts w:ascii="Times New Roman" w:eastAsia="Times New Roman" w:hAnsi="Times New Roman"/>
          <w:sz w:val="24"/>
          <w:szCs w:val="24"/>
          <w:shd w:val="clear" w:color="auto" w:fill="FFFFFF"/>
        </w:rPr>
        <w:t xml:space="preserve">. This claim is further supported by the argument that a corporation continues to exist despite the fact that its management and </w:t>
      </w:r>
      <w:r w:rsidR="0040107E">
        <w:rPr>
          <w:rFonts w:ascii="Times New Roman" w:eastAsia="Times New Roman" w:hAnsi="Times New Roman"/>
          <w:sz w:val="24"/>
          <w:szCs w:val="24"/>
          <w:shd w:val="clear" w:color="auto" w:fill="FFFFFF"/>
        </w:rPr>
        <w:t>member</w:t>
      </w:r>
      <w:r w:rsidR="004329C8">
        <w:rPr>
          <w:rFonts w:ascii="Times New Roman" w:eastAsia="Times New Roman" w:hAnsi="Times New Roman"/>
          <w:sz w:val="24"/>
          <w:szCs w:val="24"/>
          <w:shd w:val="clear" w:color="auto" w:fill="FFFFFF"/>
        </w:rPr>
        <w:t>s</w:t>
      </w:r>
      <w:r w:rsidR="007E1DF5" w:rsidRPr="00211CA1">
        <w:rPr>
          <w:rFonts w:ascii="Times New Roman" w:eastAsia="Times New Roman" w:hAnsi="Times New Roman"/>
          <w:sz w:val="24"/>
          <w:szCs w:val="24"/>
          <w:shd w:val="clear" w:color="auto" w:fill="FFFFFF"/>
        </w:rPr>
        <w:t>hip change over time.</w:t>
      </w:r>
      <w:r w:rsidR="007847FE" w:rsidRPr="00211CA1">
        <w:rPr>
          <w:rStyle w:val="FootnoteReference"/>
          <w:rFonts w:ascii="Times New Roman" w:eastAsia="Times New Roman" w:hAnsi="Times New Roman"/>
          <w:sz w:val="24"/>
          <w:szCs w:val="24"/>
          <w:shd w:val="clear" w:color="auto" w:fill="FFFFFF"/>
        </w:rPr>
        <w:footnoteReference w:id="4"/>
      </w:r>
      <w:r w:rsidR="007E1DF5" w:rsidRPr="00211CA1">
        <w:rPr>
          <w:rFonts w:ascii="Times New Roman" w:eastAsia="Times New Roman" w:hAnsi="Times New Roman"/>
          <w:sz w:val="24"/>
          <w:szCs w:val="24"/>
          <w:shd w:val="clear" w:color="auto" w:fill="FFFFFF"/>
        </w:rPr>
        <w:t xml:space="preserve"> </w:t>
      </w:r>
    </w:p>
    <w:p w14:paraId="1CDDC003" w14:textId="77777777" w:rsidR="0054729C" w:rsidRPr="00211CA1" w:rsidRDefault="0054729C" w:rsidP="00BA1D55">
      <w:pPr>
        <w:pStyle w:val="NormalWeb"/>
        <w:shd w:val="clear" w:color="auto" w:fill="FFFFFF"/>
        <w:spacing w:before="0" w:beforeAutospacing="0" w:after="0" w:afterAutospacing="0" w:line="480" w:lineRule="auto"/>
        <w:jc w:val="both"/>
        <w:rPr>
          <w:rFonts w:ascii="Times New Roman" w:hAnsi="Times New Roman"/>
          <w:sz w:val="24"/>
          <w:szCs w:val="24"/>
        </w:rPr>
      </w:pPr>
    </w:p>
    <w:p w14:paraId="021C061D" w14:textId="65E058E7" w:rsidR="0054729C" w:rsidRPr="00211CA1" w:rsidRDefault="0054729C" w:rsidP="00BA1D55">
      <w:pPr>
        <w:spacing w:line="480" w:lineRule="auto"/>
        <w:jc w:val="both"/>
        <w:rPr>
          <w:rFonts w:ascii="Times New Roman" w:eastAsia="Times New Roman" w:hAnsi="Times New Roman" w:cs="Times New Roman"/>
        </w:rPr>
      </w:pPr>
      <w:r w:rsidRPr="00211CA1">
        <w:rPr>
          <w:rFonts w:ascii="Times New Roman" w:hAnsi="Times New Roman" w:cs="Times New Roman"/>
        </w:rPr>
        <w:t xml:space="preserve">However, over the period of time, situations may arise where the </w:t>
      </w:r>
      <w:r w:rsidR="004329C8">
        <w:rPr>
          <w:rFonts w:ascii="Times New Roman" w:hAnsi="Times New Roman" w:cs="Times New Roman"/>
        </w:rPr>
        <w:t>shareholders</w:t>
      </w:r>
      <w:r w:rsidRPr="00211CA1">
        <w:rPr>
          <w:rFonts w:ascii="Times New Roman" w:hAnsi="Times New Roman" w:cs="Times New Roman"/>
        </w:rPr>
        <w:t xml:space="preserve"> would be </w:t>
      </w:r>
      <w:r w:rsidR="009172C2">
        <w:rPr>
          <w:rFonts w:ascii="Times New Roman" w:hAnsi="Times New Roman" w:cs="Times New Roman"/>
        </w:rPr>
        <w:t>taken as</w:t>
      </w:r>
      <w:r w:rsidRPr="00211CA1">
        <w:rPr>
          <w:rFonts w:ascii="Times New Roman" w:hAnsi="Times New Roman" w:cs="Times New Roman"/>
        </w:rPr>
        <w:t xml:space="preserve"> </w:t>
      </w:r>
      <w:r w:rsidR="004329C8">
        <w:rPr>
          <w:rFonts w:ascii="Times New Roman" w:hAnsi="Times New Roman" w:cs="Times New Roman"/>
        </w:rPr>
        <w:t>responsible</w:t>
      </w:r>
      <w:r w:rsidRPr="00211CA1">
        <w:rPr>
          <w:rFonts w:ascii="Times New Roman" w:hAnsi="Times New Roman" w:cs="Times New Roman"/>
        </w:rPr>
        <w:t xml:space="preserve">. It is legally known as 'piercing' or 'lifting' the veil. Such a situation effectively opens up the assets of </w:t>
      </w:r>
      <w:r w:rsidR="004329C8">
        <w:rPr>
          <w:rFonts w:ascii="Times New Roman" w:hAnsi="Times New Roman" w:cs="Times New Roman"/>
        </w:rPr>
        <w:t>shareholders</w:t>
      </w:r>
      <w:r w:rsidRPr="00211CA1">
        <w:rPr>
          <w:rFonts w:ascii="Times New Roman" w:hAnsi="Times New Roman" w:cs="Times New Roman"/>
        </w:rPr>
        <w:t xml:space="preserve"> and directors of the corporate entity to the creditors and third parties. What makes this situation a bit tricky is the lacking in the law, where the Courts have failed to provide a specific outline of when to pierce or lift the veil. Further, </w:t>
      </w:r>
      <w:r w:rsidR="00531BB3" w:rsidRPr="00211CA1">
        <w:rPr>
          <w:rFonts w:ascii="Times New Roman" w:hAnsi="Times New Roman" w:cs="Times New Roman"/>
        </w:rPr>
        <w:t>the law</w:t>
      </w:r>
      <w:r w:rsidRPr="00211CA1">
        <w:rPr>
          <w:rFonts w:ascii="Times New Roman" w:hAnsi="Times New Roman" w:cs="Times New Roman"/>
        </w:rPr>
        <w:t xml:space="preserve"> does not </w:t>
      </w:r>
      <w:r w:rsidRPr="00211CA1">
        <w:rPr>
          <w:rFonts w:ascii="Times New Roman" w:hAnsi="Times New Roman" w:cs="Times New Roman"/>
        </w:rPr>
        <w:lastRenderedPageBreak/>
        <w:t>expressly mentions anything in this regard.</w:t>
      </w:r>
      <w:r w:rsidR="006C7262" w:rsidRPr="00211CA1">
        <w:rPr>
          <w:rFonts w:ascii="Times New Roman" w:hAnsi="Times New Roman" w:cs="Times New Roman"/>
        </w:rPr>
        <w:t xml:space="preserve"> As noted in the previous literature, “</w:t>
      </w:r>
      <w:r w:rsidR="00AF6541">
        <w:rPr>
          <w:rFonts w:ascii="Times New Roman" w:eastAsia="Times New Roman" w:hAnsi="Times New Roman" w:cs="Times New Roman"/>
        </w:rPr>
        <w:t>conditions</w:t>
      </w:r>
      <w:r w:rsidR="006C7262" w:rsidRPr="00211CA1">
        <w:rPr>
          <w:rFonts w:ascii="Times New Roman" w:eastAsia="Times New Roman" w:hAnsi="Times New Roman" w:cs="Times New Roman"/>
        </w:rPr>
        <w:t xml:space="preserve"> in which the corporate veil may be lifted are greatly circumscribed.”</w:t>
      </w:r>
      <w:r w:rsidR="006C7262" w:rsidRPr="00211CA1">
        <w:rPr>
          <w:rStyle w:val="FootnoteReference"/>
          <w:rFonts w:ascii="Times New Roman" w:eastAsia="Times New Roman" w:hAnsi="Times New Roman" w:cs="Times New Roman"/>
        </w:rPr>
        <w:footnoteReference w:id="5"/>
      </w:r>
      <w:r w:rsidRPr="00211CA1">
        <w:rPr>
          <w:rFonts w:ascii="Times New Roman" w:hAnsi="Times New Roman" w:cs="Times New Roman"/>
        </w:rPr>
        <w:t xml:space="preserve"> It provides solid grounds to the open discussion that</w:t>
      </w:r>
      <w:r w:rsidR="002B54DA">
        <w:rPr>
          <w:rFonts w:ascii="Times New Roman" w:hAnsi="Times New Roman" w:cs="Times New Roman"/>
        </w:rPr>
        <w:t xml:space="preserve"> if </w:t>
      </w:r>
      <w:r w:rsidR="002B54DA" w:rsidRPr="00211CA1">
        <w:rPr>
          <w:rFonts w:ascii="Times New Roman" w:hAnsi="Times New Roman" w:cs="Times New Roman"/>
        </w:rPr>
        <w:t>there</w:t>
      </w:r>
      <w:r w:rsidR="002B54DA">
        <w:rPr>
          <w:rFonts w:ascii="Times New Roman" w:hAnsi="Times New Roman" w:cs="Times New Roman"/>
        </w:rPr>
        <w:t xml:space="preserve"> is</w:t>
      </w:r>
      <w:r w:rsidR="002B54DA" w:rsidRPr="00211CA1">
        <w:rPr>
          <w:rFonts w:ascii="Times New Roman" w:hAnsi="Times New Roman" w:cs="Times New Roman"/>
        </w:rPr>
        <w:t xml:space="preserve"> an</w:t>
      </w:r>
      <w:r w:rsidR="002B54DA">
        <w:rPr>
          <w:rFonts w:ascii="Times New Roman" w:hAnsi="Times New Roman" w:cs="Times New Roman"/>
        </w:rPr>
        <w:t>y real benefit to such language whilst the courts remain reluctant to lift or pierce the corporate veil.</w:t>
      </w:r>
    </w:p>
    <w:p w14:paraId="46B16A2F" w14:textId="77777777" w:rsidR="006E2D0B" w:rsidRPr="00211CA1" w:rsidRDefault="006E2D0B" w:rsidP="00BA1D55">
      <w:pPr>
        <w:spacing w:line="480" w:lineRule="auto"/>
        <w:jc w:val="both"/>
        <w:rPr>
          <w:rFonts w:ascii="Times New Roman" w:eastAsia="Times New Roman" w:hAnsi="Times New Roman" w:cs="Times New Roman"/>
        </w:rPr>
      </w:pPr>
    </w:p>
    <w:p w14:paraId="4FCDD5A1" w14:textId="76770032" w:rsidR="00E94C47" w:rsidRPr="00211CA1" w:rsidRDefault="00E94C47" w:rsidP="00BA1D55">
      <w:pPr>
        <w:pStyle w:val="NormalWeb"/>
        <w:shd w:val="clear" w:color="auto" w:fill="FFFFFF"/>
        <w:spacing w:before="0" w:beforeAutospacing="0" w:after="0" w:afterAutospacing="0" w:line="480" w:lineRule="auto"/>
        <w:jc w:val="both"/>
        <w:rPr>
          <w:rFonts w:ascii="Times New Roman" w:hAnsi="Times New Roman"/>
          <w:sz w:val="24"/>
          <w:szCs w:val="24"/>
        </w:rPr>
      </w:pPr>
      <w:r w:rsidRPr="00211CA1">
        <w:rPr>
          <w:rFonts w:ascii="Times New Roman" w:hAnsi="Times New Roman"/>
          <w:sz w:val="24"/>
          <w:szCs w:val="24"/>
        </w:rPr>
        <w:t xml:space="preserve">Generally speaking, two common categories exist under which the veil is effectively pierced. The first category is when the company is registered with the sole purpose of taking advantage of the veil, i.e., for the objectives of fraud and improper conduct. Further, if the company is a mere sham or cloak, it is tantamount to improper and fraudulent conduct as well. Primarily, it occurs when the company has been set-up with the mission of not trading. If the Court senses such a situation, the veil is immediately lifted. </w:t>
      </w:r>
    </w:p>
    <w:p w14:paraId="2689631F" w14:textId="77777777" w:rsidR="00E94C47" w:rsidRPr="00211CA1" w:rsidRDefault="00E94C47" w:rsidP="00BA1D55">
      <w:pPr>
        <w:pStyle w:val="NormalWeb"/>
        <w:shd w:val="clear" w:color="auto" w:fill="FFFFFF"/>
        <w:spacing w:before="0" w:beforeAutospacing="0" w:after="0" w:afterAutospacing="0" w:line="480" w:lineRule="auto"/>
        <w:jc w:val="both"/>
        <w:rPr>
          <w:rFonts w:ascii="Times New Roman" w:hAnsi="Times New Roman"/>
          <w:sz w:val="24"/>
          <w:szCs w:val="24"/>
        </w:rPr>
      </w:pPr>
    </w:p>
    <w:p w14:paraId="40E35ABD" w14:textId="260FD11F" w:rsidR="00964048" w:rsidRPr="00211CA1" w:rsidRDefault="00E94C47" w:rsidP="00BA1D55">
      <w:pPr>
        <w:pStyle w:val="NormalWeb"/>
        <w:shd w:val="clear" w:color="auto" w:fill="FFFFFF"/>
        <w:spacing w:before="0" w:beforeAutospacing="0" w:after="0" w:afterAutospacing="0" w:line="480" w:lineRule="auto"/>
        <w:jc w:val="both"/>
        <w:rPr>
          <w:rFonts w:ascii="Times New Roman" w:hAnsi="Times New Roman"/>
          <w:sz w:val="24"/>
          <w:szCs w:val="24"/>
        </w:rPr>
      </w:pPr>
      <w:r w:rsidRPr="00211CA1">
        <w:rPr>
          <w:rFonts w:ascii="Times New Roman" w:hAnsi="Times New Roman"/>
          <w:sz w:val="24"/>
          <w:szCs w:val="24"/>
        </w:rPr>
        <w:t xml:space="preserve">Moreover, most of the times, companies do act as the parent companies for others. In such a situation, the </w:t>
      </w:r>
      <w:r w:rsidR="00391377">
        <w:rPr>
          <w:rFonts w:ascii="Times New Roman" w:hAnsi="Times New Roman"/>
          <w:sz w:val="24"/>
          <w:szCs w:val="24"/>
        </w:rPr>
        <w:t>subsidiary or daughter</w:t>
      </w:r>
      <w:r w:rsidRPr="00211CA1">
        <w:rPr>
          <w:rFonts w:ascii="Times New Roman" w:hAnsi="Times New Roman"/>
          <w:sz w:val="24"/>
          <w:szCs w:val="24"/>
        </w:rPr>
        <w:t xml:space="preserve"> company </w:t>
      </w:r>
      <w:r w:rsidR="00391377">
        <w:rPr>
          <w:rFonts w:ascii="Times New Roman" w:hAnsi="Times New Roman"/>
          <w:sz w:val="24"/>
          <w:szCs w:val="24"/>
        </w:rPr>
        <w:t>becomes</w:t>
      </w:r>
      <w:r w:rsidRPr="00211CA1">
        <w:rPr>
          <w:rFonts w:ascii="Times New Roman" w:hAnsi="Times New Roman"/>
          <w:sz w:val="24"/>
          <w:szCs w:val="24"/>
        </w:rPr>
        <w:t xml:space="preserve"> an agent for the principal, i.e., the parent company. Under these </w:t>
      </w:r>
      <w:r w:rsidR="00AF6541">
        <w:rPr>
          <w:rFonts w:ascii="Times New Roman" w:hAnsi="Times New Roman"/>
          <w:sz w:val="24"/>
          <w:szCs w:val="24"/>
        </w:rPr>
        <w:t>conditions</w:t>
      </w:r>
      <w:r w:rsidR="00391377">
        <w:rPr>
          <w:rFonts w:ascii="Times New Roman" w:hAnsi="Times New Roman"/>
          <w:sz w:val="24"/>
          <w:szCs w:val="24"/>
        </w:rPr>
        <w:t xml:space="preserve">, the parent company is </w:t>
      </w:r>
      <w:r w:rsidR="009172C2">
        <w:rPr>
          <w:rFonts w:ascii="Times New Roman" w:hAnsi="Times New Roman"/>
          <w:sz w:val="24"/>
          <w:szCs w:val="24"/>
        </w:rPr>
        <w:t>taken as</w:t>
      </w:r>
      <w:r w:rsidR="00391377">
        <w:rPr>
          <w:rFonts w:ascii="Times New Roman" w:hAnsi="Times New Roman"/>
          <w:sz w:val="24"/>
          <w:szCs w:val="24"/>
        </w:rPr>
        <w:t xml:space="preserve"> responsible </w:t>
      </w:r>
      <w:r w:rsidRPr="00211CA1">
        <w:rPr>
          <w:rFonts w:ascii="Times New Roman" w:hAnsi="Times New Roman"/>
          <w:sz w:val="24"/>
          <w:szCs w:val="24"/>
        </w:rPr>
        <w:t xml:space="preserve">for the contracts being made by the </w:t>
      </w:r>
      <w:r w:rsidR="00391377">
        <w:rPr>
          <w:rFonts w:ascii="Times New Roman" w:hAnsi="Times New Roman"/>
          <w:sz w:val="24"/>
          <w:szCs w:val="24"/>
        </w:rPr>
        <w:t>daughter c</w:t>
      </w:r>
      <w:r w:rsidRPr="00211CA1">
        <w:rPr>
          <w:rFonts w:ascii="Times New Roman" w:hAnsi="Times New Roman"/>
          <w:sz w:val="24"/>
          <w:szCs w:val="24"/>
        </w:rPr>
        <w:t xml:space="preserve">ompany on its behalf. Therefore, the Courts many lift the corporate veil to </w:t>
      </w:r>
      <w:r w:rsidR="009172C2">
        <w:rPr>
          <w:rFonts w:ascii="Times New Roman" w:hAnsi="Times New Roman"/>
          <w:sz w:val="24"/>
          <w:szCs w:val="24"/>
        </w:rPr>
        <w:t>taken as</w:t>
      </w:r>
      <w:r w:rsidRPr="00211CA1">
        <w:rPr>
          <w:rFonts w:ascii="Times New Roman" w:hAnsi="Times New Roman"/>
          <w:sz w:val="24"/>
          <w:szCs w:val="24"/>
        </w:rPr>
        <w:t xml:space="preserve"> the parent company </w:t>
      </w:r>
      <w:r w:rsidR="004329C8">
        <w:rPr>
          <w:rFonts w:ascii="Times New Roman" w:hAnsi="Times New Roman"/>
          <w:sz w:val="24"/>
          <w:szCs w:val="24"/>
        </w:rPr>
        <w:t>responsible</w:t>
      </w:r>
      <w:r w:rsidRPr="00211CA1">
        <w:rPr>
          <w:rFonts w:ascii="Times New Roman" w:hAnsi="Times New Roman"/>
          <w:sz w:val="24"/>
          <w:szCs w:val="24"/>
        </w:rPr>
        <w:t>. However, the second category arises when the registered company utilizes its corporate veil for the purpose of avoiding fulfilling its legal obligations. A simple example is that if a company ABC owed money to its creditor but transferred its assets to another legal entity for the purpose of avoiding payment of the</w:t>
      </w:r>
      <w:r w:rsidR="00391377">
        <w:rPr>
          <w:rFonts w:ascii="Times New Roman" w:hAnsi="Times New Roman"/>
          <w:sz w:val="24"/>
          <w:szCs w:val="24"/>
        </w:rPr>
        <w:t xml:space="preserve"> debt. In such a scenario, the c</w:t>
      </w:r>
      <w:r w:rsidRPr="00211CA1">
        <w:rPr>
          <w:rFonts w:ascii="Times New Roman" w:hAnsi="Times New Roman"/>
          <w:sz w:val="24"/>
          <w:szCs w:val="24"/>
        </w:rPr>
        <w:t xml:space="preserve">ourts will immediately </w:t>
      </w:r>
      <w:r w:rsidR="00391377">
        <w:rPr>
          <w:rFonts w:ascii="Times New Roman" w:hAnsi="Times New Roman"/>
          <w:sz w:val="24"/>
          <w:szCs w:val="24"/>
        </w:rPr>
        <w:t>lift</w:t>
      </w:r>
      <w:r w:rsidRPr="00211CA1">
        <w:rPr>
          <w:rFonts w:ascii="Times New Roman" w:hAnsi="Times New Roman"/>
          <w:sz w:val="24"/>
          <w:szCs w:val="24"/>
        </w:rPr>
        <w:t xml:space="preserve"> the veil. </w:t>
      </w:r>
    </w:p>
    <w:p w14:paraId="57F9134F" w14:textId="77777777" w:rsidR="00531BB3" w:rsidRPr="00211CA1" w:rsidRDefault="00531BB3" w:rsidP="00BA1D55">
      <w:pPr>
        <w:pStyle w:val="NormalWeb"/>
        <w:shd w:val="clear" w:color="auto" w:fill="FFFFFF"/>
        <w:spacing w:before="0" w:beforeAutospacing="0" w:after="0" w:afterAutospacing="0" w:line="480" w:lineRule="auto"/>
        <w:jc w:val="both"/>
        <w:rPr>
          <w:rFonts w:ascii="Times New Roman" w:hAnsi="Times New Roman"/>
          <w:sz w:val="24"/>
          <w:szCs w:val="24"/>
        </w:rPr>
      </w:pPr>
    </w:p>
    <w:p w14:paraId="077C8715" w14:textId="67CD39AD" w:rsidR="00964048" w:rsidRPr="00211CA1" w:rsidRDefault="00531BB3" w:rsidP="00BA1D55">
      <w:pPr>
        <w:spacing w:line="480" w:lineRule="auto"/>
        <w:jc w:val="both"/>
        <w:rPr>
          <w:rFonts w:ascii="Times New Roman" w:eastAsia="Times New Roman" w:hAnsi="Times New Roman" w:cs="Times New Roman"/>
          <w:shd w:val="clear" w:color="auto" w:fill="FFFFFF"/>
        </w:rPr>
      </w:pPr>
      <w:r w:rsidRPr="00211CA1">
        <w:rPr>
          <w:rFonts w:ascii="Times New Roman" w:hAnsi="Times New Roman" w:cs="Times New Roman"/>
        </w:rPr>
        <w:lastRenderedPageBreak/>
        <w:t>The Corporations Act 2001 (Cth) provides the legal support to this argument.</w:t>
      </w:r>
      <w:r w:rsidR="00A82760" w:rsidRPr="00211CA1">
        <w:rPr>
          <w:rStyle w:val="FootnoteReference"/>
          <w:rFonts w:ascii="Times New Roman" w:hAnsi="Times New Roman" w:cs="Times New Roman"/>
        </w:rPr>
        <w:footnoteReference w:id="6"/>
      </w:r>
      <w:r w:rsidRPr="00211CA1">
        <w:rPr>
          <w:rFonts w:ascii="Times New Roman" w:hAnsi="Times New Roman" w:cs="Times New Roman"/>
        </w:rPr>
        <w:t xml:space="preserve"> </w:t>
      </w:r>
      <w:r w:rsidRPr="00211CA1">
        <w:rPr>
          <w:rFonts w:ascii="Times New Roman" w:eastAsia="Times New Roman" w:hAnsi="Times New Roman" w:cs="Times New Roman"/>
          <w:shd w:val="clear" w:color="auto" w:fill="FFFFFF"/>
        </w:rPr>
        <w:t xml:space="preserve">It provides several provisions relating to the </w:t>
      </w:r>
      <w:r w:rsidR="00AF6541">
        <w:rPr>
          <w:rFonts w:ascii="Times New Roman" w:eastAsia="Times New Roman" w:hAnsi="Times New Roman" w:cs="Times New Roman"/>
          <w:shd w:val="clear" w:color="auto" w:fill="FFFFFF"/>
        </w:rPr>
        <w:t>conditions</w:t>
      </w:r>
      <w:r w:rsidRPr="00211CA1">
        <w:rPr>
          <w:rFonts w:ascii="Times New Roman" w:eastAsia="Times New Roman" w:hAnsi="Times New Roman" w:cs="Times New Roman"/>
          <w:shd w:val="clear" w:color="auto" w:fill="FFFFFF"/>
        </w:rPr>
        <w:t xml:space="preserve"> under which the </w:t>
      </w:r>
      <w:r w:rsidR="00AE54B8">
        <w:rPr>
          <w:rFonts w:ascii="Times New Roman" w:eastAsia="Times New Roman" w:hAnsi="Times New Roman" w:cs="Times New Roman"/>
          <w:shd w:val="clear" w:color="auto" w:fill="FFFFFF"/>
        </w:rPr>
        <w:t>independent</w:t>
      </w:r>
      <w:r w:rsidRPr="00211CA1">
        <w:rPr>
          <w:rFonts w:ascii="Times New Roman" w:eastAsia="Times New Roman" w:hAnsi="Times New Roman" w:cs="Times New Roman"/>
          <w:shd w:val="clear" w:color="auto" w:fill="FFFFFF"/>
        </w:rPr>
        <w:t xml:space="preserve"> legal entity of a company can be disregarded. Thus, in these situations, the courts remain ready to lift the veil. For instance, Section 588G of the Act covers the directors' personal liability for debts incurred by the company whilst stepping into insolvency.</w:t>
      </w:r>
      <w:r w:rsidR="00A82760" w:rsidRPr="00211CA1">
        <w:rPr>
          <w:rStyle w:val="FootnoteReference"/>
          <w:rFonts w:ascii="Times New Roman" w:eastAsia="Times New Roman" w:hAnsi="Times New Roman" w:cs="Times New Roman"/>
          <w:shd w:val="clear" w:color="auto" w:fill="FFFFFF"/>
        </w:rPr>
        <w:footnoteReference w:id="7"/>
      </w:r>
      <w:r w:rsidRPr="00211CA1">
        <w:rPr>
          <w:rFonts w:ascii="Times New Roman" w:eastAsia="Times New Roman" w:hAnsi="Times New Roman" w:cs="Times New Roman"/>
          <w:shd w:val="clear" w:color="auto" w:fill="FFFFFF"/>
        </w:rPr>
        <w:t xml:space="preserve"> The prime reason of providing this Section in the Act is to provide protection to the unsecured creditors of a company. Thus, when a company faces the issue of insolvency, the impact it will make on the creditors must also be taken into consideration. In a recent case of 2000, the court stated in its judgment that creditors are given a direct interest in the company, when it is near insolvency.</w:t>
      </w:r>
      <w:r w:rsidRPr="00211CA1">
        <w:rPr>
          <w:rStyle w:val="FootnoteReference"/>
          <w:rFonts w:ascii="Times New Roman" w:eastAsia="Times New Roman" w:hAnsi="Times New Roman" w:cs="Times New Roman"/>
          <w:shd w:val="clear" w:color="auto" w:fill="FFFFFF"/>
        </w:rPr>
        <w:footnoteReference w:id="8"/>
      </w:r>
      <w:r w:rsidRPr="00211CA1">
        <w:rPr>
          <w:rFonts w:ascii="Times New Roman" w:eastAsia="Times New Roman" w:hAnsi="Times New Roman" w:cs="Times New Roman"/>
          <w:shd w:val="clear" w:color="auto" w:fill="FFFFFF"/>
        </w:rPr>
        <w:t xml:space="preserve"> This right is given as a duty of imperfect obligation owed to creditors coming in to effect. Therefore, under such a situation, the directors are personally found </w:t>
      </w:r>
      <w:r w:rsidR="004329C8">
        <w:rPr>
          <w:rFonts w:ascii="Times New Roman" w:eastAsia="Times New Roman" w:hAnsi="Times New Roman" w:cs="Times New Roman"/>
          <w:shd w:val="clear" w:color="auto" w:fill="FFFFFF"/>
        </w:rPr>
        <w:t>responsible</w:t>
      </w:r>
      <w:r w:rsidRPr="00211CA1">
        <w:rPr>
          <w:rFonts w:ascii="Times New Roman" w:eastAsia="Times New Roman" w:hAnsi="Times New Roman" w:cs="Times New Roman"/>
          <w:shd w:val="clear" w:color="auto" w:fill="FFFFFF"/>
        </w:rPr>
        <w:t xml:space="preserve"> to trade whilst insolvent. </w:t>
      </w:r>
    </w:p>
    <w:p w14:paraId="6AF20AED" w14:textId="77777777" w:rsidR="00531BB3" w:rsidRPr="00211CA1" w:rsidRDefault="00531BB3" w:rsidP="00BA1D55">
      <w:pPr>
        <w:spacing w:line="480" w:lineRule="auto"/>
        <w:jc w:val="both"/>
        <w:rPr>
          <w:rFonts w:ascii="Times New Roman" w:eastAsia="Times New Roman" w:hAnsi="Times New Roman" w:cs="Times New Roman"/>
          <w:shd w:val="clear" w:color="auto" w:fill="FFFFFF"/>
        </w:rPr>
      </w:pPr>
    </w:p>
    <w:p w14:paraId="629A12BE" w14:textId="49136458" w:rsidR="00531BB3" w:rsidRPr="00211CA1" w:rsidRDefault="007B7FD1" w:rsidP="00BA1D55">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shd w:val="clear" w:color="auto" w:fill="FFFFFF"/>
        </w:rPr>
        <w:t xml:space="preserve">Moreover, section 267 of the Act also provides the </w:t>
      </w:r>
      <w:r w:rsidR="00AF6541">
        <w:rPr>
          <w:rFonts w:ascii="Times New Roman" w:eastAsia="Times New Roman" w:hAnsi="Times New Roman" w:cs="Times New Roman"/>
          <w:shd w:val="clear" w:color="auto" w:fill="FFFFFF"/>
        </w:rPr>
        <w:t>conditions</w:t>
      </w:r>
      <w:r w:rsidRPr="00211CA1">
        <w:rPr>
          <w:rFonts w:ascii="Times New Roman" w:eastAsia="Times New Roman" w:hAnsi="Times New Roman" w:cs="Times New Roman"/>
          <w:shd w:val="clear" w:color="auto" w:fill="FFFFFF"/>
        </w:rPr>
        <w:t xml:space="preserve"> under which the corporate veil can be pierced.</w:t>
      </w:r>
      <w:r w:rsidR="00A82760" w:rsidRPr="00211CA1">
        <w:rPr>
          <w:rStyle w:val="FootnoteReference"/>
          <w:rFonts w:ascii="Times New Roman" w:eastAsia="Times New Roman" w:hAnsi="Times New Roman" w:cs="Times New Roman"/>
          <w:shd w:val="clear" w:color="auto" w:fill="FFFFFF"/>
        </w:rPr>
        <w:footnoteReference w:id="9"/>
      </w:r>
      <w:r w:rsidRPr="00211CA1">
        <w:rPr>
          <w:rFonts w:ascii="Times New Roman" w:eastAsia="Times New Roman" w:hAnsi="Times New Roman" w:cs="Times New Roman"/>
          <w:shd w:val="clear" w:color="auto" w:fill="FFFFFF"/>
        </w:rPr>
        <w:t xml:space="preserve"> It includes the invalidating charges granted to officers of a company in the exist</w:t>
      </w:r>
      <w:r w:rsidR="00A82760" w:rsidRPr="00211CA1">
        <w:rPr>
          <w:rFonts w:ascii="Times New Roman" w:eastAsia="Times New Roman" w:hAnsi="Times New Roman" w:cs="Times New Roman"/>
          <w:shd w:val="clear" w:color="auto" w:fill="FFFFFF"/>
        </w:rPr>
        <w:t xml:space="preserve">ence of certain </w:t>
      </w:r>
      <w:r w:rsidR="00AF6541">
        <w:rPr>
          <w:rFonts w:ascii="Times New Roman" w:eastAsia="Times New Roman" w:hAnsi="Times New Roman" w:cs="Times New Roman"/>
          <w:shd w:val="clear" w:color="auto" w:fill="FFFFFF"/>
        </w:rPr>
        <w:t>conditions</w:t>
      </w:r>
      <w:r w:rsidR="00A82760" w:rsidRPr="00211CA1">
        <w:rPr>
          <w:rFonts w:ascii="Times New Roman" w:eastAsia="Times New Roman" w:hAnsi="Times New Roman" w:cs="Times New Roman"/>
          <w:shd w:val="clear" w:color="auto" w:fill="FFFFFF"/>
        </w:rPr>
        <w:t>. I</w:t>
      </w:r>
      <w:r w:rsidRPr="00211CA1">
        <w:rPr>
          <w:rFonts w:ascii="Times New Roman" w:eastAsia="Times New Roman" w:hAnsi="Times New Roman" w:cs="Times New Roman"/>
          <w:shd w:val="clear" w:color="auto" w:fill="FFFFFF"/>
        </w:rPr>
        <w:t>n a similar fashion, section 588FE explains that the invalidating non-commercial transaction being entered into by the company and its officers under particular situations also provide a smooth ground for the courts to lift the corporate veil. Additionally, section 292 elaborates that the legal entity doctrine can be disregarded in relation to the requirement of consolidated financial statements in the case of large group of organizations.</w:t>
      </w:r>
      <w:r w:rsidR="00A82760" w:rsidRPr="00211CA1">
        <w:rPr>
          <w:rStyle w:val="FootnoteReference"/>
          <w:rFonts w:ascii="Times New Roman" w:eastAsia="Times New Roman" w:hAnsi="Times New Roman" w:cs="Times New Roman"/>
          <w:shd w:val="clear" w:color="auto" w:fill="FFFFFF"/>
        </w:rPr>
        <w:footnoteReference w:id="10"/>
      </w:r>
      <w:r w:rsidRPr="00211CA1">
        <w:rPr>
          <w:rFonts w:ascii="Times New Roman" w:eastAsia="Times New Roman" w:hAnsi="Times New Roman" w:cs="Times New Roman"/>
          <w:shd w:val="clear" w:color="auto" w:fill="FFFFFF"/>
        </w:rPr>
        <w:t xml:space="preserve"> In </w:t>
      </w:r>
      <w:r w:rsidRPr="00211CA1">
        <w:rPr>
          <w:rFonts w:ascii="Times New Roman" w:eastAsia="Times New Roman" w:hAnsi="Times New Roman" w:cs="Times New Roman"/>
          <w:shd w:val="clear" w:color="auto" w:fill="FFFFFF"/>
        </w:rPr>
        <w:lastRenderedPageBreak/>
        <w:t xml:space="preserve">the same vein, section 295 explains that a holding company remains </w:t>
      </w:r>
      <w:r w:rsidR="004329C8">
        <w:rPr>
          <w:rFonts w:ascii="Times New Roman" w:eastAsia="Times New Roman" w:hAnsi="Times New Roman" w:cs="Times New Roman"/>
          <w:shd w:val="clear" w:color="auto" w:fill="FFFFFF"/>
        </w:rPr>
        <w:t>responsible</w:t>
      </w:r>
      <w:r w:rsidRPr="00211CA1">
        <w:rPr>
          <w:rFonts w:ascii="Times New Roman" w:eastAsia="Times New Roman" w:hAnsi="Times New Roman" w:cs="Times New Roman"/>
          <w:shd w:val="clear" w:color="auto" w:fill="FFFFFF"/>
        </w:rPr>
        <w:t xml:space="preserve"> for the debts incurred by its subsidiary company because it gives rise to the situation of an agency.</w:t>
      </w:r>
      <w:r w:rsidR="00A82760" w:rsidRPr="00211CA1">
        <w:rPr>
          <w:rStyle w:val="FootnoteReference"/>
          <w:rFonts w:ascii="Times New Roman" w:eastAsia="Times New Roman" w:hAnsi="Times New Roman" w:cs="Times New Roman"/>
          <w:shd w:val="clear" w:color="auto" w:fill="FFFFFF"/>
        </w:rPr>
        <w:footnoteReference w:id="11"/>
      </w:r>
      <w:r w:rsidRPr="00211CA1">
        <w:rPr>
          <w:rFonts w:ascii="Times New Roman" w:eastAsia="Times New Roman" w:hAnsi="Times New Roman" w:cs="Times New Roman"/>
          <w:shd w:val="clear" w:color="auto" w:fill="FFFFFF"/>
        </w:rPr>
        <w:t xml:space="preserve"> </w:t>
      </w:r>
    </w:p>
    <w:p w14:paraId="305B8949" w14:textId="77777777" w:rsidR="00531BB3" w:rsidRPr="00211CA1" w:rsidRDefault="00531BB3" w:rsidP="00BA1D55">
      <w:pPr>
        <w:spacing w:line="480" w:lineRule="auto"/>
        <w:jc w:val="both"/>
        <w:rPr>
          <w:rFonts w:ascii="Times New Roman" w:eastAsia="Times New Roman" w:hAnsi="Times New Roman" w:cs="Times New Roman"/>
        </w:rPr>
      </w:pPr>
    </w:p>
    <w:p w14:paraId="13F92A7F" w14:textId="261F8AD7" w:rsidR="004B57FB" w:rsidRPr="00211CA1" w:rsidRDefault="00E94C47" w:rsidP="00BA1D55">
      <w:pPr>
        <w:pStyle w:val="NormalWeb"/>
        <w:shd w:val="clear" w:color="auto" w:fill="FFFFFF"/>
        <w:spacing w:before="0" w:beforeAutospacing="0" w:after="0" w:afterAutospacing="0" w:line="480" w:lineRule="auto"/>
        <w:jc w:val="both"/>
        <w:rPr>
          <w:rFonts w:ascii="Times New Roman" w:hAnsi="Times New Roman"/>
          <w:sz w:val="24"/>
          <w:szCs w:val="24"/>
        </w:rPr>
      </w:pPr>
      <w:r w:rsidRPr="00211CA1">
        <w:rPr>
          <w:rFonts w:ascii="Times New Roman" w:hAnsi="Times New Roman"/>
          <w:sz w:val="24"/>
          <w:szCs w:val="24"/>
        </w:rPr>
        <w:t xml:space="preserve">However, it must be noted that other than these </w:t>
      </w:r>
      <w:r w:rsidR="00531BB3" w:rsidRPr="00211CA1">
        <w:rPr>
          <w:rFonts w:ascii="Times New Roman" w:hAnsi="Times New Roman"/>
          <w:sz w:val="24"/>
          <w:szCs w:val="24"/>
        </w:rPr>
        <w:t>provisions</w:t>
      </w:r>
      <w:r w:rsidRPr="00211CA1">
        <w:rPr>
          <w:rFonts w:ascii="Times New Roman" w:hAnsi="Times New Roman"/>
          <w:sz w:val="24"/>
          <w:szCs w:val="24"/>
        </w:rPr>
        <w:t xml:space="preserve">, directors and </w:t>
      </w:r>
      <w:r w:rsidR="004329C8">
        <w:rPr>
          <w:rFonts w:ascii="Times New Roman" w:hAnsi="Times New Roman"/>
          <w:sz w:val="24"/>
          <w:szCs w:val="24"/>
        </w:rPr>
        <w:t>shareholders</w:t>
      </w:r>
      <w:r w:rsidRPr="00211CA1">
        <w:rPr>
          <w:rFonts w:ascii="Times New Roman" w:hAnsi="Times New Roman"/>
          <w:sz w:val="24"/>
          <w:szCs w:val="24"/>
        </w:rPr>
        <w:t xml:space="preserve"> of the registered company may still be </w:t>
      </w:r>
      <w:r w:rsidR="009172C2">
        <w:rPr>
          <w:rFonts w:ascii="Times New Roman" w:hAnsi="Times New Roman"/>
          <w:sz w:val="24"/>
          <w:szCs w:val="24"/>
        </w:rPr>
        <w:t>taken as</w:t>
      </w:r>
      <w:r w:rsidRPr="00211CA1">
        <w:rPr>
          <w:rFonts w:ascii="Times New Roman" w:hAnsi="Times New Roman"/>
          <w:sz w:val="24"/>
          <w:szCs w:val="24"/>
        </w:rPr>
        <w:t xml:space="preserve"> </w:t>
      </w:r>
      <w:r w:rsidR="004329C8">
        <w:rPr>
          <w:rFonts w:ascii="Times New Roman" w:hAnsi="Times New Roman"/>
          <w:sz w:val="24"/>
          <w:szCs w:val="24"/>
        </w:rPr>
        <w:t>responsible</w:t>
      </w:r>
      <w:r w:rsidRPr="00211CA1">
        <w:rPr>
          <w:rFonts w:ascii="Times New Roman" w:hAnsi="Times New Roman"/>
          <w:sz w:val="24"/>
          <w:szCs w:val="24"/>
        </w:rPr>
        <w:t xml:space="preserve"> for anything going amiss such as the situations of corporate crimes, insolvent trading, and breach of the directors' duties. </w:t>
      </w:r>
      <w:r w:rsidR="00622BDE" w:rsidRPr="00211CA1">
        <w:rPr>
          <w:rFonts w:ascii="Times New Roman" w:eastAsia="Times New Roman" w:hAnsi="Times New Roman"/>
          <w:sz w:val="24"/>
          <w:szCs w:val="24"/>
          <w:shd w:val="clear" w:color="auto" w:fill="FFFFFF"/>
        </w:rPr>
        <w:t>As a matter of fact, and as precedent over the time, the Courts in Australia remain reluctant in enforcing these provisions.</w:t>
      </w:r>
      <w:r w:rsidR="00C826AF" w:rsidRPr="00211CA1">
        <w:rPr>
          <w:rFonts w:ascii="Times New Roman" w:eastAsia="Times New Roman" w:hAnsi="Times New Roman"/>
          <w:sz w:val="24"/>
          <w:szCs w:val="24"/>
          <w:shd w:val="clear" w:color="auto" w:fill="FFFFFF"/>
        </w:rPr>
        <w:t xml:space="preserve"> As a matter of fact, over time, </w:t>
      </w:r>
      <w:r w:rsidR="00964048" w:rsidRPr="00211CA1">
        <w:rPr>
          <w:rFonts w:ascii="Times New Roman" w:eastAsia="Times New Roman" w:hAnsi="Times New Roman"/>
          <w:sz w:val="24"/>
          <w:szCs w:val="24"/>
          <w:shd w:val="clear" w:color="auto" w:fill="FFFFFF"/>
        </w:rPr>
        <w:t xml:space="preserve">the courts in Australia, for instance, the House of Lords in 1897, have been affirming the fact that firms are </w:t>
      </w:r>
      <w:r w:rsidR="00EE2C11">
        <w:rPr>
          <w:rFonts w:ascii="Times New Roman" w:eastAsia="Times New Roman" w:hAnsi="Times New Roman"/>
          <w:sz w:val="24"/>
          <w:szCs w:val="24"/>
          <w:shd w:val="clear" w:color="auto" w:fill="FFFFFF"/>
        </w:rPr>
        <w:t>independent</w:t>
      </w:r>
      <w:r w:rsidR="00964048" w:rsidRPr="00211CA1">
        <w:rPr>
          <w:rFonts w:ascii="Times New Roman" w:eastAsia="Times New Roman" w:hAnsi="Times New Roman"/>
          <w:sz w:val="24"/>
          <w:szCs w:val="24"/>
          <w:shd w:val="clear" w:color="auto" w:fill="FFFFFF"/>
        </w:rPr>
        <w:t xml:space="preserve"> legal entity. Thus, the shareholders are often not </w:t>
      </w:r>
      <w:r w:rsidR="009172C2">
        <w:rPr>
          <w:rFonts w:ascii="Times New Roman" w:eastAsia="Times New Roman" w:hAnsi="Times New Roman"/>
          <w:sz w:val="24"/>
          <w:szCs w:val="24"/>
          <w:shd w:val="clear" w:color="auto" w:fill="FFFFFF"/>
        </w:rPr>
        <w:t>taken as</w:t>
      </w:r>
      <w:r w:rsidR="00964048" w:rsidRPr="00211CA1">
        <w:rPr>
          <w:rFonts w:ascii="Times New Roman" w:eastAsia="Times New Roman" w:hAnsi="Times New Roman"/>
          <w:sz w:val="24"/>
          <w:szCs w:val="24"/>
          <w:shd w:val="clear" w:color="auto" w:fill="FFFFFF"/>
        </w:rPr>
        <w:t xml:space="preserve"> responsible for the debts of the company beyond their initial capital investment. </w:t>
      </w:r>
      <w:r w:rsidR="004B57FB" w:rsidRPr="00211CA1">
        <w:rPr>
          <w:rFonts w:ascii="Times New Roman" w:eastAsia="Times New Roman" w:hAnsi="Times New Roman"/>
          <w:sz w:val="24"/>
          <w:szCs w:val="24"/>
          <w:shd w:val="clear" w:color="auto" w:fill="FFFFFF"/>
        </w:rPr>
        <w:t xml:space="preserve">Simultaneously, they maintain no proprietary interest in the assets of the company.  </w:t>
      </w:r>
    </w:p>
    <w:p w14:paraId="58E00EC5" w14:textId="77777777" w:rsidR="004B57FB" w:rsidRPr="00211CA1" w:rsidRDefault="004B57FB" w:rsidP="00BA1D55">
      <w:pPr>
        <w:spacing w:line="480" w:lineRule="auto"/>
        <w:jc w:val="both"/>
        <w:rPr>
          <w:rFonts w:ascii="Times New Roman" w:eastAsia="Times New Roman" w:hAnsi="Times New Roman" w:cs="Times New Roman"/>
        </w:rPr>
      </w:pPr>
    </w:p>
    <w:p w14:paraId="3C31D254" w14:textId="34C64F52" w:rsidR="00893F3A" w:rsidRPr="00211CA1" w:rsidRDefault="006E2D0B" w:rsidP="00BA1D55">
      <w:pPr>
        <w:spacing w:line="480" w:lineRule="auto"/>
        <w:jc w:val="both"/>
        <w:rPr>
          <w:rFonts w:ascii="Times New Roman" w:eastAsia="Times New Roman" w:hAnsi="Times New Roman" w:cs="Times New Roman"/>
          <w:shd w:val="clear" w:color="auto" w:fill="FFFFFF"/>
        </w:rPr>
      </w:pPr>
      <w:r w:rsidRPr="00211CA1">
        <w:rPr>
          <w:rFonts w:ascii="Times New Roman" w:hAnsi="Times New Roman" w:cs="Times New Roman"/>
        </w:rPr>
        <w:t>Another angle to proceed in to this discussion is to establish the fact that if the</w:t>
      </w:r>
      <w:r w:rsidR="00000A05">
        <w:rPr>
          <w:rFonts w:ascii="Times New Roman" w:hAnsi="Times New Roman" w:cs="Times New Roman"/>
        </w:rPr>
        <w:t xml:space="preserve"> court must always recognize the</w:t>
      </w:r>
      <w:r w:rsidRPr="00211CA1">
        <w:rPr>
          <w:rFonts w:ascii="Times New Roman" w:hAnsi="Times New Roman" w:cs="Times New Roman"/>
        </w:rPr>
        <w:t xml:space="preserve"> </w:t>
      </w:r>
      <w:r w:rsidR="00EE2C11">
        <w:rPr>
          <w:rFonts w:ascii="Times New Roman" w:hAnsi="Times New Roman" w:cs="Times New Roman"/>
        </w:rPr>
        <w:t>independent</w:t>
      </w:r>
      <w:r w:rsidRPr="00211CA1">
        <w:rPr>
          <w:rFonts w:ascii="Times New Roman" w:hAnsi="Times New Roman" w:cs="Times New Roman"/>
        </w:rPr>
        <w:t xml:space="preserve"> legal personality of a corporation. </w:t>
      </w:r>
      <w:r w:rsidR="00893F3A" w:rsidRPr="00211CA1">
        <w:rPr>
          <w:rFonts w:ascii="Times New Roman" w:eastAsia="Times New Roman" w:hAnsi="Times New Roman" w:cs="Times New Roman"/>
          <w:shd w:val="clear" w:color="auto" w:fill="FFFFFF"/>
        </w:rPr>
        <w:t xml:space="preserve">The two preeminent economics and law theorists, Easterbrook and Fischel explain that the </w:t>
      </w:r>
      <w:r w:rsidR="00694A43">
        <w:rPr>
          <w:rFonts w:ascii="Times New Roman" w:eastAsia="Times New Roman" w:hAnsi="Times New Roman" w:cs="Times New Roman"/>
          <w:shd w:val="clear" w:color="auto" w:fill="FFFFFF"/>
        </w:rPr>
        <w:t xml:space="preserve">individuality </w:t>
      </w:r>
      <w:r w:rsidR="00893F3A" w:rsidRPr="00211CA1">
        <w:rPr>
          <w:rFonts w:ascii="Times New Roman" w:eastAsia="Times New Roman" w:hAnsi="Times New Roman" w:cs="Times New Roman"/>
          <w:shd w:val="clear" w:color="auto" w:fill="FFFFFF"/>
        </w:rPr>
        <w:t xml:space="preserve">of a corporation is not a matter of reality but convenience. </w:t>
      </w:r>
      <w:r w:rsidR="00835EBE" w:rsidRPr="00211CA1">
        <w:rPr>
          <w:rFonts w:ascii="Times New Roman" w:eastAsia="Times New Roman" w:hAnsi="Times New Roman" w:cs="Times New Roman"/>
          <w:shd w:val="clear" w:color="auto" w:fill="FFFFFF"/>
        </w:rPr>
        <w:t xml:space="preserve">The economic theories concerning corporations support the argument otherwise. There are two principal strands of the economic theories, i.e., agency theory, and transaction-cost economies. As has already been touched in the earlier part of the discussion, companies do act as the parent companies for others, and in such a situation, the daughter or subsidiary company </w:t>
      </w:r>
      <w:r w:rsidR="00C92936">
        <w:rPr>
          <w:rFonts w:ascii="Times New Roman" w:eastAsia="Times New Roman" w:hAnsi="Times New Roman" w:cs="Times New Roman"/>
          <w:shd w:val="clear" w:color="auto" w:fill="FFFFFF"/>
        </w:rPr>
        <w:t>becomes</w:t>
      </w:r>
      <w:r w:rsidR="00835EBE" w:rsidRPr="00211CA1">
        <w:rPr>
          <w:rFonts w:ascii="Times New Roman" w:eastAsia="Times New Roman" w:hAnsi="Times New Roman" w:cs="Times New Roman"/>
          <w:shd w:val="clear" w:color="auto" w:fill="FFFFFF"/>
        </w:rPr>
        <w:t xml:space="preserve"> an agent for the parent company, i.e., the principal. However, the agency theory as a part of the economic theories addresses the problems that arise due to the separation of the ownership and control within a corporation. </w:t>
      </w:r>
    </w:p>
    <w:p w14:paraId="731D26DB" w14:textId="77777777" w:rsidR="00893F3A" w:rsidRPr="00211CA1" w:rsidRDefault="00893F3A" w:rsidP="00BA1D55">
      <w:pPr>
        <w:spacing w:line="480" w:lineRule="auto"/>
        <w:jc w:val="both"/>
        <w:rPr>
          <w:rFonts w:ascii="Times New Roman" w:eastAsia="Times New Roman" w:hAnsi="Times New Roman" w:cs="Times New Roman"/>
          <w:shd w:val="clear" w:color="auto" w:fill="FFFFFF"/>
        </w:rPr>
      </w:pPr>
    </w:p>
    <w:p w14:paraId="19C45449" w14:textId="23C07F42" w:rsidR="00680952" w:rsidRPr="00211CA1" w:rsidRDefault="00526BC5" w:rsidP="00BA1D55">
      <w:pPr>
        <w:spacing w:line="480" w:lineRule="auto"/>
        <w:jc w:val="both"/>
        <w:rPr>
          <w:rFonts w:ascii="Times New Roman" w:eastAsia="Times New Roman" w:hAnsi="Times New Roman" w:cs="Times New Roman"/>
          <w:shd w:val="clear" w:color="auto" w:fill="FFFFFF"/>
        </w:rPr>
      </w:pPr>
      <w:r w:rsidRPr="00211CA1">
        <w:rPr>
          <w:rFonts w:ascii="Times New Roman" w:eastAsia="Times New Roman" w:hAnsi="Times New Roman" w:cs="Times New Roman"/>
          <w:shd w:val="clear" w:color="auto" w:fill="FFFFFF"/>
        </w:rPr>
        <w:t>Primarily, the economic perspective perceives a corporation as a type of firm, i.e., an economic concept, which consists of a series of contracts, or transactions, between the shareholders. The agency theory elaborates it as a 'nexus of contracts'. Thus, the contract, in this situation, does not represent the legal idea of the terminology.</w:t>
      </w:r>
      <w:r w:rsidR="00893F3A" w:rsidRPr="00211CA1">
        <w:rPr>
          <w:rStyle w:val="FootnoteReference"/>
          <w:rFonts w:ascii="Times New Roman" w:eastAsia="Times New Roman" w:hAnsi="Times New Roman" w:cs="Times New Roman"/>
          <w:shd w:val="clear" w:color="auto" w:fill="FFFFFF"/>
        </w:rPr>
        <w:footnoteReference w:id="12"/>
      </w:r>
      <w:r w:rsidRPr="00211CA1">
        <w:rPr>
          <w:rFonts w:ascii="Times New Roman" w:eastAsia="Times New Roman" w:hAnsi="Times New Roman" w:cs="Times New Roman"/>
          <w:shd w:val="clear" w:color="auto" w:fill="FFFFFF"/>
        </w:rPr>
        <w:t xml:space="preserve"> Instead, it exhibits the adaptive and voluntary nature of the arrangements made between the shareholders of the company. Thus, it denies the existence of a firm as a</w:t>
      </w:r>
      <w:r w:rsidR="00320AB3">
        <w:rPr>
          <w:rFonts w:ascii="Times New Roman" w:eastAsia="Times New Roman" w:hAnsi="Times New Roman" w:cs="Times New Roman"/>
          <w:shd w:val="clear" w:color="auto" w:fill="FFFFFF"/>
        </w:rPr>
        <w:t>n</w:t>
      </w:r>
      <w:r w:rsidRPr="00211CA1">
        <w:rPr>
          <w:rFonts w:ascii="Times New Roman" w:eastAsia="Times New Roman" w:hAnsi="Times New Roman" w:cs="Times New Roman"/>
          <w:shd w:val="clear" w:color="auto" w:fill="FFFFFF"/>
        </w:rPr>
        <w:t xml:space="preserve"> </w:t>
      </w:r>
      <w:r w:rsidR="00EE2C11">
        <w:rPr>
          <w:rFonts w:ascii="Times New Roman" w:eastAsia="Times New Roman" w:hAnsi="Times New Roman" w:cs="Times New Roman"/>
          <w:shd w:val="clear" w:color="auto" w:fill="FFFFFF"/>
        </w:rPr>
        <w:t>independent</w:t>
      </w:r>
      <w:r w:rsidRPr="00211CA1">
        <w:rPr>
          <w:rFonts w:ascii="Times New Roman" w:eastAsia="Times New Roman" w:hAnsi="Times New Roman" w:cs="Times New Roman"/>
          <w:shd w:val="clear" w:color="auto" w:fill="FFFFFF"/>
        </w:rPr>
        <w:t xml:space="preserve"> legal entity. </w:t>
      </w:r>
    </w:p>
    <w:p w14:paraId="50FF5276" w14:textId="77777777" w:rsidR="00680952" w:rsidRPr="00211CA1" w:rsidRDefault="00680952" w:rsidP="00BA1D55">
      <w:pPr>
        <w:spacing w:line="480" w:lineRule="auto"/>
        <w:jc w:val="both"/>
        <w:rPr>
          <w:rFonts w:ascii="Times New Roman" w:eastAsia="Times New Roman" w:hAnsi="Times New Roman" w:cs="Times New Roman"/>
          <w:shd w:val="clear" w:color="auto" w:fill="FFFFFF"/>
        </w:rPr>
      </w:pPr>
    </w:p>
    <w:p w14:paraId="12BB6B18" w14:textId="77777777" w:rsidR="00375743" w:rsidRPr="00211CA1" w:rsidRDefault="00680952" w:rsidP="00BA1D55">
      <w:pPr>
        <w:spacing w:line="480" w:lineRule="auto"/>
        <w:jc w:val="both"/>
        <w:rPr>
          <w:rFonts w:ascii="Times New Roman" w:eastAsia="Times New Roman" w:hAnsi="Times New Roman" w:cs="Times New Roman"/>
          <w:shd w:val="clear" w:color="auto" w:fill="FFFFFF"/>
        </w:rPr>
      </w:pPr>
      <w:r w:rsidRPr="00211CA1">
        <w:rPr>
          <w:rFonts w:ascii="Times New Roman" w:eastAsia="Times New Roman" w:hAnsi="Times New Roman" w:cs="Times New Roman"/>
          <w:shd w:val="clear" w:color="auto" w:fill="FFFFFF"/>
        </w:rPr>
        <w:t>Moreover, the agency theory of the economic perspective of a corporation insists that the sole purpose of existence of a firm is to maximize the profits on the investment. Therefore, they must be treated in the same regard as a sole trader. Also, it explains that within the large corporations, a separation exists between the investors and the management. The managers act as the agents of the investors. They are guided by self-interest. Thus, the business remains exposed to the risk that the managers will work on maximizing the profits in their interest rather than that of the company. Eventually, investors have to put in the monitoring cost to ensure that the managers operate the firm to maximize the profits rather than to support managerial self-interest. On the other hand, managers want to retain their position in the company, and therefore, incur bonding cost. Both of these costs are referred to as agency costs.</w:t>
      </w:r>
      <w:r w:rsidRPr="00211CA1">
        <w:rPr>
          <w:rStyle w:val="FootnoteReference"/>
          <w:rFonts w:ascii="Times New Roman" w:eastAsia="Times New Roman" w:hAnsi="Times New Roman" w:cs="Times New Roman"/>
          <w:shd w:val="clear" w:color="auto" w:fill="FFFFFF"/>
        </w:rPr>
        <w:footnoteReference w:id="13"/>
      </w:r>
      <w:r w:rsidRPr="00211CA1">
        <w:rPr>
          <w:rFonts w:ascii="Times New Roman" w:eastAsia="Times New Roman" w:hAnsi="Times New Roman" w:cs="Times New Roman"/>
          <w:shd w:val="clear" w:color="auto" w:fill="FFFFFF"/>
        </w:rPr>
        <w:t xml:space="preserve"> </w:t>
      </w:r>
      <w:r w:rsidR="007F2EB8" w:rsidRPr="00211CA1">
        <w:rPr>
          <w:rFonts w:ascii="Times New Roman" w:eastAsia="Times New Roman" w:hAnsi="Times New Roman" w:cs="Times New Roman"/>
          <w:shd w:val="clear" w:color="auto" w:fill="FFFFFF"/>
        </w:rPr>
        <w:t xml:space="preserve">Unsurprisingly, both sides try to lower their costs, which often leads to fraudulent and unfair conduct. </w:t>
      </w:r>
    </w:p>
    <w:p w14:paraId="426E1A59" w14:textId="77777777" w:rsidR="00375743" w:rsidRPr="00211CA1" w:rsidRDefault="00375743" w:rsidP="00BA1D55">
      <w:pPr>
        <w:spacing w:line="480" w:lineRule="auto"/>
        <w:jc w:val="both"/>
        <w:rPr>
          <w:rFonts w:ascii="Times New Roman" w:eastAsia="Times New Roman" w:hAnsi="Times New Roman" w:cs="Times New Roman"/>
          <w:shd w:val="clear" w:color="auto" w:fill="FFFFFF"/>
        </w:rPr>
      </w:pPr>
    </w:p>
    <w:p w14:paraId="73E6529C" w14:textId="42645B25" w:rsidR="00375743" w:rsidRPr="00211CA1" w:rsidRDefault="007F2EB8" w:rsidP="00BA1D55">
      <w:pPr>
        <w:spacing w:line="480" w:lineRule="auto"/>
        <w:jc w:val="both"/>
        <w:rPr>
          <w:rFonts w:ascii="Times New Roman" w:eastAsia="Times New Roman" w:hAnsi="Times New Roman" w:cs="Times New Roman"/>
          <w:shd w:val="clear" w:color="auto" w:fill="FFFFFF"/>
        </w:rPr>
      </w:pPr>
      <w:r w:rsidRPr="00211CA1">
        <w:rPr>
          <w:rFonts w:ascii="Times New Roman" w:eastAsia="Times New Roman" w:hAnsi="Times New Roman" w:cs="Times New Roman"/>
          <w:shd w:val="clear" w:color="auto" w:fill="FFFFFF"/>
        </w:rPr>
        <w:lastRenderedPageBreak/>
        <w:t xml:space="preserve">Eventually, courts acknowledge the fact that under certain circumstance, it becomes necessary to lift the corporate veil in order to deny the shareholders the protection they enjoy under the limited liability principle, and thus, to stop the unjust. </w:t>
      </w:r>
      <w:r w:rsidR="00673C5D" w:rsidRPr="00211CA1">
        <w:rPr>
          <w:rFonts w:ascii="Times New Roman" w:eastAsia="Times New Roman" w:hAnsi="Times New Roman" w:cs="Times New Roman"/>
          <w:shd w:val="clear" w:color="auto" w:fill="FFFFFF"/>
        </w:rPr>
        <w:t xml:space="preserve">However, </w:t>
      </w:r>
      <w:r w:rsidR="00375743" w:rsidRPr="00211CA1">
        <w:rPr>
          <w:rFonts w:ascii="Georgia" w:eastAsia="Times New Roman" w:hAnsi="Georgia" w:cs="Times New Roman"/>
          <w:sz w:val="23"/>
          <w:szCs w:val="23"/>
          <w:shd w:val="clear" w:color="auto" w:fill="FFFFFF"/>
        </w:rPr>
        <w:t>In Walker v Wimborne (1976), the court expressed its concern to the fact that the directors must be responsible for safeguarding the interest of the creditors.</w:t>
      </w:r>
      <w:r w:rsidR="00B46612" w:rsidRPr="00211CA1">
        <w:rPr>
          <w:rStyle w:val="FootnoteReference"/>
          <w:rFonts w:ascii="Georgia" w:eastAsia="Times New Roman" w:hAnsi="Georgia" w:cs="Times New Roman"/>
          <w:sz w:val="23"/>
          <w:szCs w:val="23"/>
          <w:shd w:val="clear" w:color="auto" w:fill="FFFFFF"/>
        </w:rPr>
        <w:footnoteReference w:id="14"/>
      </w:r>
      <w:r w:rsidR="00375743" w:rsidRPr="00211CA1">
        <w:rPr>
          <w:rFonts w:ascii="Georgia" w:eastAsia="Times New Roman" w:hAnsi="Georgia" w:cs="Times New Roman"/>
          <w:sz w:val="23"/>
          <w:szCs w:val="23"/>
          <w:shd w:val="clear" w:color="auto" w:fill="FFFFFF"/>
        </w:rPr>
        <w:t xml:space="preserve"> But, this concern could never be transformed in the shape of a duty due on the ground that it was contrary to the </w:t>
      </w:r>
      <w:r w:rsidR="00EE2C11">
        <w:rPr>
          <w:rFonts w:ascii="Georgia" w:eastAsia="Times New Roman" w:hAnsi="Georgia" w:cs="Times New Roman"/>
          <w:sz w:val="23"/>
          <w:szCs w:val="23"/>
          <w:shd w:val="clear" w:color="auto" w:fill="FFFFFF"/>
        </w:rPr>
        <w:t>independent</w:t>
      </w:r>
      <w:r w:rsidR="00375743" w:rsidRPr="00211CA1">
        <w:rPr>
          <w:rFonts w:ascii="Georgia" w:eastAsia="Times New Roman" w:hAnsi="Georgia" w:cs="Times New Roman"/>
          <w:sz w:val="23"/>
          <w:szCs w:val="23"/>
          <w:shd w:val="clear" w:color="auto" w:fill="FFFFFF"/>
        </w:rPr>
        <w:t xml:space="preserve"> personhood doctrine of a company under the limited liability principle. For this reason, the application of piercing the corporate veil remains an exception instead of a rule. Moreover, since there is no duty on the shoulders of the directors of a company to safeguard the interest of the creditors, there is no remedy available to the creditors against the company. Thus, the court must be willing to find the directors </w:t>
      </w:r>
      <w:r w:rsidR="004329C8">
        <w:rPr>
          <w:rFonts w:ascii="Georgia" w:eastAsia="Times New Roman" w:hAnsi="Georgia" w:cs="Times New Roman"/>
          <w:sz w:val="23"/>
          <w:szCs w:val="23"/>
          <w:shd w:val="clear" w:color="auto" w:fill="FFFFFF"/>
        </w:rPr>
        <w:t>responsible</w:t>
      </w:r>
      <w:r w:rsidR="00375743" w:rsidRPr="00211CA1">
        <w:rPr>
          <w:rFonts w:ascii="Georgia" w:eastAsia="Times New Roman" w:hAnsi="Georgia" w:cs="Times New Roman"/>
          <w:sz w:val="23"/>
          <w:szCs w:val="23"/>
          <w:shd w:val="clear" w:color="auto" w:fill="FFFFFF"/>
        </w:rPr>
        <w:t xml:space="preserve"> so as to launch</w:t>
      </w:r>
      <w:r w:rsidR="00320AB3">
        <w:rPr>
          <w:rFonts w:ascii="Georgia" w:eastAsia="Times New Roman" w:hAnsi="Georgia" w:cs="Times New Roman"/>
          <w:sz w:val="23"/>
          <w:szCs w:val="23"/>
          <w:shd w:val="clear" w:color="auto" w:fill="FFFFFF"/>
        </w:rPr>
        <w:t>ing</w:t>
      </w:r>
      <w:r w:rsidR="00375743" w:rsidRPr="00211CA1">
        <w:rPr>
          <w:rFonts w:ascii="Georgia" w:eastAsia="Times New Roman" w:hAnsi="Georgia" w:cs="Times New Roman"/>
          <w:sz w:val="23"/>
          <w:szCs w:val="23"/>
          <w:shd w:val="clear" w:color="auto" w:fill="FFFFFF"/>
        </w:rPr>
        <w:t xml:space="preserve"> an action for recovering </w:t>
      </w:r>
      <w:r w:rsidR="00320AB3">
        <w:rPr>
          <w:rFonts w:ascii="Georgia" w:eastAsia="Times New Roman" w:hAnsi="Georgia" w:cs="Times New Roman"/>
          <w:sz w:val="23"/>
          <w:szCs w:val="23"/>
          <w:shd w:val="clear" w:color="auto" w:fill="FFFFFF"/>
        </w:rPr>
        <w:t>the debt</w:t>
      </w:r>
      <w:r w:rsidR="00375743" w:rsidRPr="00211CA1">
        <w:rPr>
          <w:rFonts w:ascii="Georgia" w:eastAsia="Times New Roman" w:hAnsi="Georgia" w:cs="Times New Roman"/>
          <w:sz w:val="23"/>
          <w:szCs w:val="23"/>
          <w:shd w:val="clear" w:color="auto" w:fill="FFFFFF"/>
        </w:rPr>
        <w:t xml:space="preserve">. It is evident from the case law as well. For instance, in Ring v Sutton (1979), the court </w:t>
      </w:r>
      <w:r w:rsidR="00DA0E31">
        <w:rPr>
          <w:rFonts w:ascii="Georgia" w:eastAsia="Times New Roman" w:hAnsi="Georgia" w:cs="Times New Roman"/>
          <w:sz w:val="23"/>
          <w:szCs w:val="23"/>
          <w:shd w:val="clear" w:color="auto" w:fill="FFFFFF"/>
        </w:rPr>
        <w:t>decided that</w:t>
      </w:r>
      <w:r w:rsidR="00375743" w:rsidRPr="00211CA1">
        <w:rPr>
          <w:rFonts w:ascii="Georgia" w:eastAsia="Times New Roman" w:hAnsi="Georgia" w:cs="Times New Roman"/>
          <w:sz w:val="23"/>
          <w:szCs w:val="23"/>
          <w:shd w:val="clear" w:color="auto" w:fill="FFFFFF"/>
        </w:rPr>
        <w:t xml:space="preserve"> the directors</w:t>
      </w:r>
      <w:r w:rsidR="007C4C0B">
        <w:rPr>
          <w:rFonts w:ascii="Georgia" w:eastAsia="Times New Roman" w:hAnsi="Georgia" w:cs="Times New Roman"/>
          <w:sz w:val="23"/>
          <w:szCs w:val="23"/>
          <w:shd w:val="clear" w:color="auto" w:fill="FFFFFF"/>
        </w:rPr>
        <w:t xml:space="preserve"> were</w:t>
      </w:r>
      <w:r w:rsidR="00375743" w:rsidRPr="00211CA1">
        <w:rPr>
          <w:rFonts w:ascii="Georgia" w:eastAsia="Times New Roman" w:hAnsi="Georgia" w:cs="Times New Roman"/>
          <w:sz w:val="23"/>
          <w:szCs w:val="23"/>
          <w:shd w:val="clear" w:color="auto" w:fill="FFFFFF"/>
        </w:rPr>
        <w:t xml:space="preserve"> responsible for not fulfilling their duties and disregarding the </w:t>
      </w:r>
      <w:r w:rsidR="007C4C0B">
        <w:rPr>
          <w:rFonts w:ascii="Georgia" w:eastAsia="Times New Roman" w:hAnsi="Georgia" w:cs="Times New Roman"/>
          <w:sz w:val="23"/>
          <w:szCs w:val="23"/>
          <w:shd w:val="clear" w:color="auto" w:fill="FFFFFF"/>
        </w:rPr>
        <w:t xml:space="preserve">creditors’ </w:t>
      </w:r>
      <w:r w:rsidR="00375743" w:rsidRPr="00211CA1">
        <w:rPr>
          <w:rFonts w:ascii="Georgia" w:eastAsia="Times New Roman" w:hAnsi="Georgia" w:cs="Times New Roman"/>
          <w:sz w:val="23"/>
          <w:szCs w:val="23"/>
          <w:shd w:val="clear" w:color="auto" w:fill="FFFFFF"/>
        </w:rPr>
        <w:t>interests because they caused the company to lend</w:t>
      </w:r>
      <w:r w:rsidR="007C4C0B">
        <w:rPr>
          <w:rFonts w:ascii="Georgia" w:eastAsia="Times New Roman" w:hAnsi="Georgia" w:cs="Times New Roman"/>
          <w:sz w:val="23"/>
          <w:szCs w:val="23"/>
          <w:shd w:val="clear" w:color="auto" w:fill="FFFFFF"/>
        </w:rPr>
        <w:t>ing</w:t>
      </w:r>
      <w:r w:rsidR="00375743" w:rsidRPr="00211CA1">
        <w:rPr>
          <w:rFonts w:ascii="Georgia" w:eastAsia="Times New Roman" w:hAnsi="Georgia" w:cs="Times New Roman"/>
          <w:sz w:val="23"/>
          <w:szCs w:val="23"/>
          <w:shd w:val="clear" w:color="auto" w:fill="FFFFFF"/>
        </w:rPr>
        <w:t xml:space="preserve"> money at rates much lower than the market value.</w:t>
      </w:r>
      <w:r w:rsidR="00B46612" w:rsidRPr="00211CA1">
        <w:rPr>
          <w:rStyle w:val="FootnoteReference"/>
          <w:rFonts w:ascii="Georgia" w:eastAsia="Times New Roman" w:hAnsi="Georgia" w:cs="Times New Roman"/>
          <w:sz w:val="23"/>
          <w:szCs w:val="23"/>
          <w:shd w:val="clear" w:color="auto" w:fill="FFFFFF"/>
        </w:rPr>
        <w:footnoteReference w:id="15"/>
      </w:r>
    </w:p>
    <w:p w14:paraId="3819DD7B" w14:textId="543DDA05" w:rsidR="00680952" w:rsidRPr="00211CA1" w:rsidRDefault="00680952" w:rsidP="00BA1D55">
      <w:pPr>
        <w:spacing w:line="480" w:lineRule="auto"/>
        <w:jc w:val="both"/>
        <w:rPr>
          <w:rFonts w:ascii="Times New Roman" w:eastAsia="Times New Roman" w:hAnsi="Times New Roman" w:cs="Times New Roman"/>
          <w:shd w:val="clear" w:color="auto" w:fill="FFFFFF"/>
        </w:rPr>
      </w:pPr>
    </w:p>
    <w:p w14:paraId="485D0C58" w14:textId="77777777" w:rsidR="00680952" w:rsidRPr="00211CA1" w:rsidRDefault="00680952" w:rsidP="00BA1D55">
      <w:pPr>
        <w:spacing w:line="480" w:lineRule="auto"/>
        <w:jc w:val="both"/>
        <w:rPr>
          <w:rFonts w:ascii="Times New Roman" w:eastAsia="Times New Roman" w:hAnsi="Times New Roman" w:cs="Times New Roman"/>
        </w:rPr>
      </w:pPr>
    </w:p>
    <w:p w14:paraId="50AEDE9D" w14:textId="2BCBBB2D" w:rsidR="00E54832" w:rsidRPr="00211CA1" w:rsidRDefault="00B10FEA" w:rsidP="00BA1D55">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rPr>
        <w:t xml:space="preserve">It takes us back to the </w:t>
      </w:r>
      <w:r w:rsidRPr="00211CA1">
        <w:rPr>
          <w:rFonts w:ascii="Times New Roman" w:hAnsi="Times New Roman" w:cs="Times New Roman"/>
        </w:rPr>
        <w:t xml:space="preserve">discussion that </w:t>
      </w:r>
      <w:r w:rsidR="00552159">
        <w:rPr>
          <w:rFonts w:ascii="Times New Roman" w:hAnsi="Times New Roman" w:cs="Times New Roman"/>
        </w:rPr>
        <w:t xml:space="preserve">if </w:t>
      </w:r>
      <w:r w:rsidR="00552159" w:rsidRPr="00211CA1">
        <w:rPr>
          <w:rFonts w:ascii="Times New Roman" w:hAnsi="Times New Roman" w:cs="Times New Roman"/>
        </w:rPr>
        <w:t>there</w:t>
      </w:r>
      <w:r w:rsidR="00552159">
        <w:rPr>
          <w:rFonts w:ascii="Times New Roman" w:hAnsi="Times New Roman" w:cs="Times New Roman"/>
        </w:rPr>
        <w:t xml:space="preserve"> is</w:t>
      </w:r>
      <w:r w:rsidR="00552159" w:rsidRPr="00211CA1">
        <w:rPr>
          <w:rFonts w:ascii="Times New Roman" w:hAnsi="Times New Roman" w:cs="Times New Roman"/>
        </w:rPr>
        <w:t xml:space="preserve"> an</w:t>
      </w:r>
      <w:r w:rsidR="00552159">
        <w:rPr>
          <w:rFonts w:ascii="Times New Roman" w:hAnsi="Times New Roman" w:cs="Times New Roman"/>
        </w:rPr>
        <w:t>y real benefit to such language whilst the courts remain reluctant to lift or pierce the corporate veil.</w:t>
      </w:r>
      <w:r w:rsidR="00552159">
        <w:rPr>
          <w:rFonts w:ascii="Times New Roman" w:eastAsia="Times New Roman" w:hAnsi="Times New Roman" w:cs="Times New Roman"/>
        </w:rPr>
        <w:t xml:space="preserve"> </w:t>
      </w:r>
      <w:r w:rsidR="00E54832" w:rsidRPr="00211CA1">
        <w:rPr>
          <w:rFonts w:ascii="Times New Roman" w:eastAsia="Times New Roman" w:hAnsi="Times New Roman" w:cs="Times New Roman"/>
          <w:shd w:val="clear" w:color="auto" w:fill="FFFFFF"/>
        </w:rPr>
        <w:t>The term 'piercing the veil' was first coined in a 1973 case.</w:t>
      </w:r>
      <w:r w:rsidR="00AB6033" w:rsidRPr="00211CA1">
        <w:rPr>
          <w:rStyle w:val="FootnoteReference"/>
          <w:rFonts w:ascii="Times New Roman" w:eastAsia="Times New Roman" w:hAnsi="Times New Roman" w:cs="Times New Roman"/>
          <w:shd w:val="clear" w:color="auto" w:fill="FFFFFF"/>
        </w:rPr>
        <w:footnoteReference w:id="16"/>
      </w:r>
      <w:r w:rsidR="00E54832" w:rsidRPr="00211CA1">
        <w:rPr>
          <w:rFonts w:ascii="Times New Roman" w:eastAsia="Times New Roman" w:hAnsi="Times New Roman" w:cs="Times New Roman"/>
          <w:shd w:val="clear" w:color="auto" w:fill="FFFFFF"/>
        </w:rPr>
        <w:t xml:space="preserve"> However, the phrase 'lifting the veil' was soon </w:t>
      </w:r>
      <w:r w:rsidR="00B466CF">
        <w:rPr>
          <w:rFonts w:ascii="Times New Roman" w:eastAsia="Times New Roman" w:hAnsi="Times New Roman" w:cs="Times New Roman"/>
          <w:shd w:val="clear" w:color="auto" w:fill="FFFFFF"/>
        </w:rPr>
        <w:t>referred to as being out-dated</w:t>
      </w:r>
      <w:r w:rsidR="00E54832" w:rsidRPr="00211CA1">
        <w:rPr>
          <w:rFonts w:ascii="Times New Roman" w:eastAsia="Times New Roman" w:hAnsi="Times New Roman" w:cs="Times New Roman"/>
          <w:shd w:val="clear" w:color="auto" w:fill="FFFFFF"/>
        </w:rPr>
        <w:t xml:space="preserve"> in a 1987 case.</w:t>
      </w:r>
      <w:r w:rsidR="00AB6033" w:rsidRPr="00211CA1">
        <w:rPr>
          <w:rStyle w:val="FootnoteReference"/>
          <w:rFonts w:ascii="Times New Roman" w:eastAsia="Times New Roman" w:hAnsi="Times New Roman" w:cs="Times New Roman"/>
          <w:shd w:val="clear" w:color="auto" w:fill="FFFFFF"/>
        </w:rPr>
        <w:footnoteReference w:id="17"/>
      </w:r>
      <w:r w:rsidR="00E54832" w:rsidRPr="00211CA1">
        <w:rPr>
          <w:rFonts w:ascii="Times New Roman" w:eastAsia="Times New Roman" w:hAnsi="Times New Roman" w:cs="Times New Roman"/>
          <w:shd w:val="clear" w:color="auto" w:fill="FFFFFF"/>
        </w:rPr>
        <w:t xml:space="preserve"> The difference between the two phrases was later made clear in the </w:t>
      </w:r>
      <w:r w:rsidR="00E54832" w:rsidRPr="00211CA1">
        <w:rPr>
          <w:rFonts w:ascii="Times New Roman" w:eastAsia="Times New Roman" w:hAnsi="Times New Roman" w:cs="Times New Roman"/>
          <w:shd w:val="clear" w:color="auto" w:fill="FFFFFF"/>
        </w:rPr>
        <w:lastRenderedPageBreak/>
        <w:t>judgment of a 1991 case,</w:t>
      </w:r>
      <w:r w:rsidR="00AB6033" w:rsidRPr="00211CA1">
        <w:rPr>
          <w:rStyle w:val="FootnoteReference"/>
          <w:rFonts w:ascii="Times New Roman" w:eastAsia="Times New Roman" w:hAnsi="Times New Roman" w:cs="Times New Roman"/>
          <w:shd w:val="clear" w:color="auto" w:fill="FFFFFF"/>
        </w:rPr>
        <w:footnoteReference w:id="18"/>
      </w:r>
      <w:r w:rsidR="00E54832" w:rsidRPr="00211CA1">
        <w:rPr>
          <w:rFonts w:ascii="Times New Roman" w:eastAsia="Times New Roman" w:hAnsi="Times New Roman" w:cs="Times New Roman"/>
          <w:shd w:val="clear" w:color="auto" w:fill="FFFFFF"/>
        </w:rPr>
        <w:t xml:space="preserve"> where the court stated that piercing the veil is an expression reserved to treat the </w:t>
      </w:r>
      <w:r w:rsidR="0095025F">
        <w:rPr>
          <w:rFonts w:ascii="Times New Roman" w:eastAsia="Times New Roman" w:hAnsi="Times New Roman" w:cs="Times New Roman"/>
          <w:shd w:val="clear" w:color="auto" w:fill="FFFFFF"/>
        </w:rPr>
        <w:t xml:space="preserve">prerogatives </w:t>
      </w:r>
      <w:r w:rsidR="00E54832" w:rsidRPr="00211CA1">
        <w:rPr>
          <w:rFonts w:ascii="Times New Roman" w:eastAsia="Times New Roman" w:hAnsi="Times New Roman" w:cs="Times New Roman"/>
          <w:shd w:val="clear" w:color="auto" w:fill="FFFFFF"/>
        </w:rPr>
        <w:t xml:space="preserve">and </w:t>
      </w:r>
      <w:r w:rsidR="0095025F">
        <w:rPr>
          <w:rFonts w:ascii="Times New Roman" w:eastAsia="Times New Roman" w:hAnsi="Times New Roman" w:cs="Times New Roman"/>
          <w:shd w:val="clear" w:color="auto" w:fill="FFFFFF"/>
        </w:rPr>
        <w:t>answerabilities</w:t>
      </w:r>
      <w:r w:rsidR="00E54832" w:rsidRPr="00211CA1">
        <w:rPr>
          <w:rFonts w:ascii="Times New Roman" w:eastAsia="Times New Roman" w:hAnsi="Times New Roman" w:cs="Times New Roman"/>
          <w:shd w:val="clear" w:color="auto" w:fill="FFFFFF"/>
        </w:rPr>
        <w:t xml:space="preserve"> of a company as that of its shareholders while lifting the veil exhibits the expression of looking beyond it, i.e., with having regard to the shareholding in a company from a legal perspective. </w:t>
      </w:r>
      <w:r w:rsidR="0095025F">
        <w:rPr>
          <w:rFonts w:ascii="Times New Roman" w:eastAsia="Times New Roman" w:hAnsi="Times New Roman" w:cs="Times New Roman"/>
          <w:shd w:val="clear" w:color="auto" w:fill="FFFFFF"/>
        </w:rPr>
        <w:t>In</w:t>
      </w:r>
      <w:r w:rsidR="00E54832" w:rsidRPr="00211CA1">
        <w:rPr>
          <w:rFonts w:ascii="Times New Roman" w:eastAsia="Times New Roman" w:hAnsi="Times New Roman" w:cs="Times New Roman"/>
          <w:shd w:val="clear" w:color="auto" w:fill="FFFFFF"/>
        </w:rPr>
        <w:t xml:space="preserve"> Australia,</w:t>
      </w:r>
      <w:r w:rsidR="0095025F">
        <w:rPr>
          <w:rFonts w:ascii="Times New Roman" w:eastAsia="Times New Roman" w:hAnsi="Times New Roman" w:cs="Times New Roman"/>
          <w:shd w:val="clear" w:color="auto" w:fill="FFFFFF"/>
        </w:rPr>
        <w:t xml:space="preserve"> however, the difference</w:t>
      </w:r>
      <w:r w:rsidR="00E54832" w:rsidRPr="00211CA1">
        <w:rPr>
          <w:rFonts w:ascii="Times New Roman" w:eastAsia="Times New Roman" w:hAnsi="Times New Roman" w:cs="Times New Roman"/>
          <w:shd w:val="clear" w:color="auto" w:fill="FFFFFF"/>
        </w:rPr>
        <w:t xml:space="preserve"> between the two phrases is still not much clear. Thus, the courts continue to use the terms interchangeably. </w:t>
      </w:r>
    </w:p>
    <w:p w14:paraId="405B707F" w14:textId="0EF7926E" w:rsidR="00B10FEA" w:rsidRPr="00211CA1" w:rsidRDefault="00B10FEA" w:rsidP="00BA1D55">
      <w:pPr>
        <w:pStyle w:val="NormalWeb"/>
        <w:shd w:val="clear" w:color="auto" w:fill="FFFFFF"/>
        <w:spacing w:before="0" w:beforeAutospacing="0" w:after="0" w:afterAutospacing="0" w:line="480" w:lineRule="auto"/>
        <w:jc w:val="both"/>
        <w:rPr>
          <w:rFonts w:ascii="Times New Roman" w:hAnsi="Times New Roman"/>
          <w:sz w:val="24"/>
          <w:szCs w:val="24"/>
        </w:rPr>
      </w:pPr>
    </w:p>
    <w:p w14:paraId="422E4423" w14:textId="16908191" w:rsidR="0027191A" w:rsidRPr="00211CA1" w:rsidRDefault="0027191A" w:rsidP="00BA1D55">
      <w:pPr>
        <w:shd w:val="clear" w:color="auto" w:fill="FFFFFF"/>
        <w:spacing w:line="480" w:lineRule="auto"/>
        <w:jc w:val="both"/>
        <w:rPr>
          <w:rFonts w:ascii="Times New Roman" w:hAnsi="Times New Roman" w:cs="Times New Roman"/>
        </w:rPr>
      </w:pPr>
      <w:r w:rsidRPr="00211CA1">
        <w:rPr>
          <w:rFonts w:ascii="Times New Roman" w:hAnsi="Times New Roman" w:cs="Times New Roman"/>
        </w:rPr>
        <w:t xml:space="preserve">It is worth mentioning here that the courts refer to lift or to look </w:t>
      </w:r>
      <w:r w:rsidR="0095025F">
        <w:rPr>
          <w:rFonts w:ascii="Times New Roman" w:hAnsi="Times New Roman" w:cs="Times New Roman"/>
        </w:rPr>
        <w:t>past</w:t>
      </w:r>
      <w:r w:rsidRPr="00211CA1">
        <w:rPr>
          <w:rFonts w:ascii="Times New Roman" w:hAnsi="Times New Roman" w:cs="Times New Roman"/>
        </w:rPr>
        <w:t xml:space="preserve"> the veil </w:t>
      </w:r>
      <w:r w:rsidR="0095025F">
        <w:rPr>
          <w:rFonts w:ascii="Times New Roman" w:hAnsi="Times New Roman" w:cs="Times New Roman"/>
        </w:rPr>
        <w:t>when</w:t>
      </w:r>
      <w:r w:rsidRPr="00211CA1">
        <w:rPr>
          <w:rFonts w:ascii="Times New Roman" w:hAnsi="Times New Roman" w:cs="Times New Roman"/>
        </w:rPr>
        <w:t xml:space="preserve"> they proceed to look into the operating mechanism of a company. Moreover, the ultimate effect of piercing the veil is sim</w:t>
      </w:r>
      <w:r w:rsidR="00B46612" w:rsidRPr="00211CA1">
        <w:rPr>
          <w:rFonts w:ascii="Times New Roman" w:hAnsi="Times New Roman" w:cs="Times New Roman"/>
        </w:rPr>
        <w:t>ilar to looking beyond the veil therefore</w:t>
      </w:r>
      <w:r w:rsidRPr="00211CA1">
        <w:rPr>
          <w:rFonts w:ascii="Times New Roman" w:hAnsi="Times New Roman" w:cs="Times New Roman"/>
        </w:rPr>
        <w:t xml:space="preserve"> the phrase is used interchangeably with the other phrase, i.e., lifting the veil. The prime purpose of this distinction is to reinforce their </w:t>
      </w:r>
      <w:r w:rsidR="00EE2C11">
        <w:rPr>
          <w:rFonts w:ascii="Times New Roman" w:hAnsi="Times New Roman" w:cs="Times New Roman"/>
        </w:rPr>
        <w:t>independent</w:t>
      </w:r>
      <w:r w:rsidRPr="00211CA1">
        <w:rPr>
          <w:rFonts w:ascii="Times New Roman" w:hAnsi="Times New Roman" w:cs="Times New Roman"/>
        </w:rPr>
        <w:t xml:space="preserve"> meaning. </w:t>
      </w:r>
    </w:p>
    <w:p w14:paraId="03F8BE3F" w14:textId="77777777" w:rsidR="0027191A" w:rsidRPr="00211CA1" w:rsidRDefault="0027191A" w:rsidP="00BA1D55">
      <w:pPr>
        <w:shd w:val="clear" w:color="auto" w:fill="FFFFFF"/>
        <w:spacing w:line="480" w:lineRule="auto"/>
        <w:jc w:val="both"/>
        <w:rPr>
          <w:rFonts w:ascii="Times New Roman" w:hAnsi="Times New Roman" w:cs="Times New Roman"/>
        </w:rPr>
      </w:pPr>
    </w:p>
    <w:p w14:paraId="78A72DF5" w14:textId="75408263" w:rsidR="0027191A" w:rsidRPr="00211CA1" w:rsidRDefault="0027191A" w:rsidP="00BA1D55">
      <w:pPr>
        <w:shd w:val="clear" w:color="auto" w:fill="FFFFFF"/>
        <w:spacing w:line="480" w:lineRule="auto"/>
        <w:jc w:val="both"/>
        <w:rPr>
          <w:rFonts w:ascii="Times New Roman" w:hAnsi="Times New Roman" w:cs="Times New Roman"/>
        </w:rPr>
      </w:pPr>
      <w:r w:rsidRPr="00211CA1">
        <w:rPr>
          <w:rFonts w:ascii="Times New Roman" w:hAnsi="Times New Roman" w:cs="Times New Roman"/>
        </w:rPr>
        <w:t>Interestingly, the case law does not make the application of the doctrine of corporate veil piercing any clearer. For this reason, it is often claimed that in Australia, there lacks the broad principle of company law indicating the situations under which the courts must or should lift the veil.</w:t>
      </w:r>
      <w:r w:rsidR="00705567" w:rsidRPr="00211CA1">
        <w:rPr>
          <w:rStyle w:val="FootnoteReference"/>
          <w:rFonts w:ascii="Times New Roman" w:hAnsi="Times New Roman" w:cs="Times New Roman"/>
        </w:rPr>
        <w:footnoteReference w:id="19"/>
      </w:r>
      <w:r w:rsidRPr="00211CA1">
        <w:rPr>
          <w:rFonts w:ascii="Times New Roman" w:hAnsi="Times New Roman" w:cs="Times New Roman"/>
        </w:rPr>
        <w:t xml:space="preserve"> It has also been noted in other commentaries that listing the cases in which the veil </w:t>
      </w:r>
      <w:r w:rsidR="00D374F9" w:rsidRPr="00211CA1">
        <w:rPr>
          <w:rFonts w:ascii="Times New Roman" w:hAnsi="Times New Roman" w:cs="Times New Roman"/>
        </w:rPr>
        <w:t>must</w:t>
      </w:r>
      <w:r w:rsidRPr="00211CA1">
        <w:rPr>
          <w:rFonts w:ascii="Times New Roman" w:hAnsi="Times New Roman" w:cs="Times New Roman"/>
        </w:rPr>
        <w:t xml:space="preserve"> be lifted remains impossibility. In a similar fashion, the phrase has also been described as an e</w:t>
      </w:r>
      <w:r w:rsidR="002E03FA" w:rsidRPr="00211CA1">
        <w:rPr>
          <w:rFonts w:ascii="Times New Roman" w:hAnsi="Times New Roman" w:cs="Times New Roman"/>
        </w:rPr>
        <w:t>soteric label in a 1966 case. Th</w:t>
      </w:r>
      <w:r w:rsidRPr="00211CA1">
        <w:rPr>
          <w:rFonts w:ascii="Times New Roman" w:hAnsi="Times New Roman" w:cs="Times New Roman"/>
        </w:rPr>
        <w:t>e judgment elaborated that fact any principle in this regard could not adduced due to the fact that the authorities in which the veil had been lifted have not been of such consistency to support such principles. In the same vein, Professor Farrer described piercing the veil as unprincipled and incoherent.</w:t>
      </w:r>
      <w:r w:rsidR="00705567" w:rsidRPr="00211CA1">
        <w:rPr>
          <w:rStyle w:val="FootnoteReference"/>
          <w:rFonts w:ascii="Times New Roman" w:hAnsi="Times New Roman" w:cs="Times New Roman"/>
        </w:rPr>
        <w:footnoteReference w:id="20"/>
      </w:r>
      <w:r w:rsidRPr="00211CA1">
        <w:rPr>
          <w:rFonts w:ascii="Times New Roman" w:hAnsi="Times New Roman" w:cs="Times New Roman"/>
        </w:rPr>
        <w:t xml:space="preserve"> </w:t>
      </w:r>
    </w:p>
    <w:p w14:paraId="102179FC" w14:textId="77777777" w:rsidR="002E03FA" w:rsidRPr="00211CA1" w:rsidRDefault="002E03FA" w:rsidP="00BA1D55">
      <w:pPr>
        <w:shd w:val="clear" w:color="auto" w:fill="FFFFFF"/>
        <w:spacing w:line="480" w:lineRule="auto"/>
        <w:jc w:val="both"/>
        <w:rPr>
          <w:rFonts w:ascii="Times New Roman" w:hAnsi="Times New Roman" w:cs="Times New Roman"/>
        </w:rPr>
      </w:pPr>
    </w:p>
    <w:p w14:paraId="17AD122F" w14:textId="684204C3" w:rsidR="00DD35AB" w:rsidRPr="00211CA1" w:rsidRDefault="00DD35AB" w:rsidP="00BA1D55">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shd w:val="clear" w:color="auto" w:fill="FFFFFF"/>
        </w:rPr>
        <w:lastRenderedPageBreak/>
        <w:t xml:space="preserve">Indeed, the courts in Australia have been taking a fact-based approach to the doctrine of piercing the veil, and so far, no particular trend has readily been adopted in this regard, as is clear from a brief overview of the cases. However, the commentators and researchers have been analyzing the situation from various angles. For instance, one commentator noted that the </w:t>
      </w:r>
      <w:r w:rsidR="0095025F">
        <w:rPr>
          <w:rFonts w:ascii="Times New Roman" w:eastAsia="Times New Roman" w:hAnsi="Times New Roman" w:cs="Times New Roman"/>
          <w:shd w:val="clear" w:color="auto" w:fill="FFFFFF"/>
        </w:rPr>
        <w:t>vigorously</w:t>
      </w:r>
      <w:r w:rsidRPr="00211CA1">
        <w:rPr>
          <w:rFonts w:ascii="Times New Roman" w:eastAsia="Times New Roman" w:hAnsi="Times New Roman" w:cs="Times New Roman"/>
          <w:shd w:val="clear" w:color="auto" w:fill="FFFFFF"/>
        </w:rPr>
        <w:t xml:space="preserve"> factu</w:t>
      </w:r>
      <w:r w:rsidR="0095025F">
        <w:rPr>
          <w:rFonts w:ascii="Times New Roman" w:eastAsia="Times New Roman" w:hAnsi="Times New Roman" w:cs="Times New Roman"/>
          <w:shd w:val="clear" w:color="auto" w:fill="FFFFFF"/>
        </w:rPr>
        <w:t>al nature of the types of problems</w:t>
      </w:r>
      <w:r w:rsidRPr="00211CA1">
        <w:rPr>
          <w:rFonts w:ascii="Times New Roman" w:eastAsia="Times New Roman" w:hAnsi="Times New Roman" w:cs="Times New Roman"/>
          <w:shd w:val="clear" w:color="auto" w:fill="FFFFFF"/>
        </w:rPr>
        <w:t xml:space="preserve"> involved in the piercing cases do stand in the way of formulating a generally applicable test.</w:t>
      </w:r>
      <w:r w:rsidRPr="00211CA1">
        <w:rPr>
          <w:rStyle w:val="FootnoteReference"/>
          <w:rFonts w:ascii="Times New Roman" w:eastAsia="Times New Roman" w:hAnsi="Times New Roman" w:cs="Times New Roman"/>
          <w:shd w:val="clear" w:color="auto" w:fill="FFFFFF"/>
        </w:rPr>
        <w:footnoteReference w:id="21"/>
      </w:r>
      <w:r w:rsidRPr="00211CA1">
        <w:rPr>
          <w:rFonts w:ascii="Times New Roman" w:eastAsia="Times New Roman" w:hAnsi="Times New Roman" w:cs="Times New Roman"/>
          <w:shd w:val="clear" w:color="auto" w:fill="FFFFFF"/>
        </w:rPr>
        <w:t xml:space="preserve"> Another commentator has also noted that the disinclination of the courts in describing a set of </w:t>
      </w:r>
      <w:r w:rsidR="0095025F">
        <w:rPr>
          <w:rFonts w:ascii="Times New Roman" w:eastAsia="Times New Roman" w:hAnsi="Times New Roman" w:cs="Times New Roman"/>
          <w:shd w:val="clear" w:color="auto" w:fill="FFFFFF"/>
        </w:rPr>
        <w:t>rules</w:t>
      </w:r>
      <w:r w:rsidRPr="00211CA1">
        <w:rPr>
          <w:rFonts w:ascii="Times New Roman" w:eastAsia="Times New Roman" w:hAnsi="Times New Roman" w:cs="Times New Roman"/>
          <w:shd w:val="clear" w:color="auto" w:fill="FFFFFF"/>
        </w:rPr>
        <w:t xml:space="preserve"> </w:t>
      </w:r>
      <w:r w:rsidR="0095025F">
        <w:rPr>
          <w:rFonts w:ascii="Times New Roman" w:eastAsia="Times New Roman" w:hAnsi="Times New Roman" w:cs="Times New Roman"/>
          <w:shd w:val="clear" w:color="auto" w:fill="FFFFFF"/>
        </w:rPr>
        <w:t>to</w:t>
      </w:r>
      <w:bookmarkStart w:id="0" w:name="_GoBack"/>
      <w:bookmarkEnd w:id="0"/>
      <w:r w:rsidRPr="00211CA1">
        <w:rPr>
          <w:rFonts w:ascii="Times New Roman" w:eastAsia="Times New Roman" w:hAnsi="Times New Roman" w:cs="Times New Roman"/>
          <w:shd w:val="clear" w:color="auto" w:fill="FFFFFF"/>
        </w:rPr>
        <w:t xml:space="preserve"> take decisions in the piercing cases remains a hurdle. It has also been elaborated that the courts prefer to retain the discretion of judging each case on its merits to themselves.</w:t>
      </w:r>
      <w:r w:rsidRPr="00211CA1">
        <w:rPr>
          <w:rStyle w:val="FootnoteReference"/>
          <w:rFonts w:ascii="Times New Roman" w:eastAsia="Times New Roman" w:hAnsi="Times New Roman" w:cs="Times New Roman"/>
          <w:shd w:val="clear" w:color="auto" w:fill="FFFFFF"/>
        </w:rPr>
        <w:footnoteReference w:id="22"/>
      </w:r>
      <w:r w:rsidRPr="00211CA1">
        <w:rPr>
          <w:rFonts w:ascii="Times New Roman" w:eastAsia="Times New Roman" w:hAnsi="Times New Roman" w:cs="Times New Roman"/>
          <w:shd w:val="clear" w:color="auto" w:fill="FFFFFF"/>
        </w:rPr>
        <w:t xml:space="preserve"> </w:t>
      </w:r>
    </w:p>
    <w:p w14:paraId="0FD82B37" w14:textId="77777777" w:rsidR="005E6E19" w:rsidRPr="00211CA1" w:rsidRDefault="005E6E19" w:rsidP="00BA1D55">
      <w:pPr>
        <w:spacing w:line="480" w:lineRule="auto"/>
        <w:jc w:val="both"/>
        <w:rPr>
          <w:rFonts w:ascii="Times New Roman" w:eastAsia="Times New Roman" w:hAnsi="Times New Roman" w:cs="Times New Roman"/>
        </w:rPr>
      </w:pPr>
    </w:p>
    <w:p w14:paraId="5D34C282" w14:textId="2EDF079F" w:rsidR="004E4C32" w:rsidRPr="00211CA1" w:rsidRDefault="005E6E19" w:rsidP="00BA1D55">
      <w:pPr>
        <w:spacing w:line="480" w:lineRule="auto"/>
        <w:jc w:val="both"/>
        <w:rPr>
          <w:rFonts w:ascii="Times New Roman" w:eastAsia="Times New Roman" w:hAnsi="Times New Roman" w:cs="Times New Roman"/>
          <w:shd w:val="clear" w:color="auto" w:fill="FFFFFF"/>
        </w:rPr>
      </w:pPr>
      <w:r w:rsidRPr="00211CA1">
        <w:rPr>
          <w:rFonts w:ascii="Times New Roman" w:eastAsia="Times New Roman" w:hAnsi="Times New Roman" w:cs="Times New Roman"/>
          <w:shd w:val="clear" w:color="auto" w:fill="FFFFFF"/>
        </w:rPr>
        <w:t xml:space="preserve">Overall, it can be argued that the phrase 'piercing or lifting the veil' is nothing more than a figure of speech that does not alter the legal aspects of the facts. For this reason, it was decided in a 1949 case that the employees of a company owned by a government are not the employees of the government itself primarily due to the fact that the company is a distinct person from its shareholders, who are not </w:t>
      </w:r>
      <w:r w:rsidR="004329C8">
        <w:rPr>
          <w:rFonts w:ascii="Times New Roman" w:eastAsia="Times New Roman" w:hAnsi="Times New Roman" w:cs="Times New Roman"/>
          <w:shd w:val="clear" w:color="auto" w:fill="FFFFFF"/>
        </w:rPr>
        <w:t>responsible</w:t>
      </w:r>
      <w:r w:rsidRPr="00211CA1">
        <w:rPr>
          <w:rFonts w:ascii="Times New Roman" w:eastAsia="Times New Roman" w:hAnsi="Times New Roman" w:cs="Times New Roman"/>
          <w:shd w:val="clear" w:color="auto" w:fill="FFFFFF"/>
        </w:rPr>
        <w:t xml:space="preserve"> to creditors for the company's debts. Also, they do not own the company's properties.</w:t>
      </w:r>
      <w:r w:rsidRPr="00211CA1">
        <w:rPr>
          <w:rStyle w:val="FootnoteReference"/>
          <w:rFonts w:ascii="Times New Roman" w:eastAsia="Times New Roman" w:hAnsi="Times New Roman" w:cs="Times New Roman"/>
          <w:shd w:val="clear" w:color="auto" w:fill="FFFFFF"/>
        </w:rPr>
        <w:footnoteReference w:id="23"/>
      </w:r>
      <w:r w:rsidRPr="00211CA1">
        <w:rPr>
          <w:rFonts w:ascii="Times New Roman" w:eastAsia="Times New Roman" w:hAnsi="Times New Roman" w:cs="Times New Roman"/>
          <w:shd w:val="clear" w:color="auto" w:fill="FFFFFF"/>
        </w:rPr>
        <w:t xml:space="preserve"> </w:t>
      </w:r>
      <w:r w:rsidR="00531BB3" w:rsidRPr="00211CA1">
        <w:rPr>
          <w:rFonts w:ascii="Times New Roman" w:eastAsia="Times New Roman" w:hAnsi="Times New Roman" w:cs="Times New Roman"/>
          <w:shd w:val="clear" w:color="auto" w:fill="FFFFFF"/>
        </w:rPr>
        <w:t xml:space="preserve">However, it is worth mentioning here that in piercing the veil, the courts do not violate the doctrine of </w:t>
      </w:r>
      <w:r w:rsidR="00EE2C11">
        <w:rPr>
          <w:rFonts w:ascii="Times New Roman" w:eastAsia="Times New Roman" w:hAnsi="Times New Roman" w:cs="Times New Roman"/>
          <w:shd w:val="clear" w:color="auto" w:fill="FFFFFF"/>
        </w:rPr>
        <w:t>independent</w:t>
      </w:r>
      <w:r w:rsidR="00531BB3" w:rsidRPr="00211CA1">
        <w:rPr>
          <w:rFonts w:ascii="Times New Roman" w:eastAsia="Times New Roman" w:hAnsi="Times New Roman" w:cs="Times New Roman"/>
          <w:shd w:val="clear" w:color="auto" w:fill="FFFFFF"/>
        </w:rPr>
        <w:t xml:space="preserve"> legal personality of the companies. They only prevent injustice from happening. </w:t>
      </w:r>
    </w:p>
    <w:p w14:paraId="260C2311" w14:textId="77777777" w:rsidR="004E4C32" w:rsidRPr="00211CA1" w:rsidRDefault="004E4C32" w:rsidP="00BA1D55">
      <w:pPr>
        <w:spacing w:line="480" w:lineRule="auto"/>
        <w:jc w:val="both"/>
        <w:rPr>
          <w:rFonts w:ascii="Times New Roman" w:eastAsia="Times New Roman" w:hAnsi="Times New Roman" w:cs="Times New Roman"/>
          <w:shd w:val="clear" w:color="auto" w:fill="FFFFFF"/>
        </w:rPr>
      </w:pPr>
    </w:p>
    <w:p w14:paraId="169A8FED" w14:textId="353C8729" w:rsidR="00EC6F44" w:rsidRPr="00211CA1" w:rsidRDefault="008E18DA" w:rsidP="00EC6F44">
      <w:pPr>
        <w:spacing w:line="480" w:lineRule="auto"/>
        <w:jc w:val="both"/>
        <w:rPr>
          <w:rFonts w:ascii="Times New Roman" w:eastAsia="Times New Roman" w:hAnsi="Times New Roman" w:cs="Times New Roman"/>
          <w:shd w:val="clear" w:color="auto" w:fill="FFFFFF"/>
        </w:rPr>
      </w:pPr>
      <w:r w:rsidRPr="00211CA1">
        <w:rPr>
          <w:rFonts w:ascii="Times New Roman" w:eastAsia="Times New Roman" w:hAnsi="Times New Roman" w:cs="Times New Roman"/>
          <w:shd w:val="clear" w:color="auto" w:fill="FFFFFF"/>
        </w:rPr>
        <w:t xml:space="preserve">Three instances of veil piercing occur. Firstly, when the courts pierce the veil in order to reach the directors so that the court can correctly </w:t>
      </w:r>
      <w:r w:rsidR="000D1815" w:rsidRPr="00211CA1">
        <w:rPr>
          <w:rFonts w:ascii="Times New Roman" w:eastAsia="Times New Roman" w:hAnsi="Times New Roman" w:cs="Times New Roman"/>
          <w:shd w:val="clear" w:color="auto" w:fill="FFFFFF"/>
        </w:rPr>
        <w:t xml:space="preserve">attribute liability to the party responsible for </w:t>
      </w:r>
      <w:r w:rsidR="000D1815" w:rsidRPr="00211CA1">
        <w:rPr>
          <w:rFonts w:ascii="Times New Roman" w:eastAsia="Times New Roman" w:hAnsi="Times New Roman" w:cs="Times New Roman"/>
          <w:shd w:val="clear" w:color="auto" w:fill="FFFFFF"/>
        </w:rPr>
        <w:lastRenderedPageBreak/>
        <w:t xml:space="preserve">wrongdoing. Secondly, where the company is closely </w:t>
      </w:r>
      <w:r w:rsidR="009172C2">
        <w:rPr>
          <w:rFonts w:ascii="Times New Roman" w:eastAsia="Times New Roman" w:hAnsi="Times New Roman" w:cs="Times New Roman"/>
          <w:shd w:val="clear" w:color="auto" w:fill="FFFFFF"/>
        </w:rPr>
        <w:t>taken as</w:t>
      </w:r>
      <w:r w:rsidR="000D1815" w:rsidRPr="00211CA1">
        <w:rPr>
          <w:rFonts w:ascii="Times New Roman" w:eastAsia="Times New Roman" w:hAnsi="Times New Roman" w:cs="Times New Roman"/>
          <w:shd w:val="clear" w:color="auto" w:fill="FFFFFF"/>
        </w:rPr>
        <w:t>, where the shareholders need limited liability as an encouragement to invest in the company, and the reasons including the inability to freely transfer shares, the disinclination to diversify, and the need to monitor and its cost, are absent. Lastly, when the company commits a tort, the court</w:t>
      </w:r>
      <w:r w:rsidR="00F20D1F" w:rsidRPr="00211CA1">
        <w:rPr>
          <w:rFonts w:ascii="Times New Roman" w:eastAsia="Times New Roman" w:hAnsi="Times New Roman" w:cs="Times New Roman"/>
          <w:shd w:val="clear" w:color="auto" w:fill="FFFFFF"/>
        </w:rPr>
        <w:t>s</w:t>
      </w:r>
      <w:r w:rsidR="000D1815" w:rsidRPr="00211CA1">
        <w:rPr>
          <w:rFonts w:ascii="Times New Roman" w:eastAsia="Times New Roman" w:hAnsi="Times New Roman" w:cs="Times New Roman"/>
          <w:shd w:val="clear" w:color="auto" w:fill="FFFFFF"/>
        </w:rPr>
        <w:t xml:space="preserve"> lift the veil. </w:t>
      </w:r>
      <w:r w:rsidR="00F20D1F" w:rsidRPr="00211CA1">
        <w:rPr>
          <w:rFonts w:ascii="Times New Roman" w:eastAsia="Times New Roman" w:hAnsi="Times New Roman" w:cs="Times New Roman"/>
          <w:shd w:val="clear" w:color="auto" w:fill="FFFFFF"/>
        </w:rPr>
        <w:t xml:space="preserve">In all of these situations, a removal of the limited liability protection will encourage the introduction of other protection strategies such as insurance or adequate capitalization and more acceptable levels of risk-taking by the investors. </w:t>
      </w:r>
    </w:p>
    <w:p w14:paraId="2F39E106" w14:textId="77777777" w:rsidR="00EC6F44" w:rsidRPr="00211CA1" w:rsidRDefault="00EC6F44" w:rsidP="00EC6F44">
      <w:pPr>
        <w:spacing w:line="480" w:lineRule="auto"/>
        <w:jc w:val="both"/>
        <w:rPr>
          <w:rFonts w:ascii="Times New Roman" w:eastAsia="Times New Roman" w:hAnsi="Times New Roman" w:cs="Times New Roman"/>
          <w:shd w:val="clear" w:color="auto" w:fill="FFFFFF"/>
        </w:rPr>
      </w:pPr>
    </w:p>
    <w:p w14:paraId="2B23BF8D" w14:textId="714E7EC4" w:rsidR="00EC6F44" w:rsidRPr="00211CA1" w:rsidRDefault="004E4C32" w:rsidP="00EC6F44">
      <w:pPr>
        <w:spacing w:line="480" w:lineRule="auto"/>
        <w:jc w:val="both"/>
        <w:rPr>
          <w:rFonts w:ascii="Times New Roman" w:eastAsia="Times New Roman" w:hAnsi="Times New Roman" w:cs="Times New Roman"/>
          <w:shd w:val="clear" w:color="auto" w:fill="FFFFFF"/>
        </w:rPr>
      </w:pPr>
      <w:r w:rsidRPr="00211CA1">
        <w:rPr>
          <w:rFonts w:ascii="Times New Roman" w:eastAsia="Times New Roman" w:hAnsi="Times New Roman" w:cs="Times New Roman"/>
        </w:rPr>
        <w:t xml:space="preserve">Under these </w:t>
      </w:r>
      <w:r w:rsidR="00AF6541">
        <w:rPr>
          <w:rFonts w:ascii="Times New Roman" w:eastAsia="Times New Roman" w:hAnsi="Times New Roman" w:cs="Times New Roman"/>
        </w:rPr>
        <w:t>conditions</w:t>
      </w:r>
      <w:r w:rsidRPr="00211CA1">
        <w:rPr>
          <w:rFonts w:ascii="Times New Roman" w:eastAsia="Times New Roman" w:hAnsi="Times New Roman" w:cs="Times New Roman"/>
        </w:rPr>
        <w:t>, it is suggestible that legislation recognizing the substantive grounds on which the veil must be lifted must be passed. The model of parent company’s liability facing piercing of corporate veil</w:t>
      </w:r>
      <w:r w:rsidR="00EC6F44" w:rsidRPr="00211CA1">
        <w:rPr>
          <w:rFonts w:ascii="Times New Roman" w:eastAsia="Times New Roman" w:hAnsi="Times New Roman" w:cs="Times New Roman"/>
        </w:rPr>
        <w:t xml:space="preserve"> </w:t>
      </w:r>
      <w:r w:rsidR="00EC6F44" w:rsidRPr="00211CA1">
        <w:rPr>
          <w:rFonts w:ascii="Georgia" w:eastAsia="Times New Roman" w:hAnsi="Georgia" w:cs="Times New Roman"/>
          <w:sz w:val="23"/>
          <w:szCs w:val="23"/>
          <w:shd w:val="clear" w:color="auto" w:fill="FFFFFF"/>
        </w:rPr>
        <w:t>must include the duties of directors to act in good faith and with care and diligence. This approach must be codified and made a part of the present legislation in t</w:t>
      </w:r>
      <w:r w:rsidR="00211CA1" w:rsidRPr="00211CA1">
        <w:rPr>
          <w:rFonts w:ascii="Georgia" w:eastAsia="Times New Roman" w:hAnsi="Georgia" w:cs="Times New Roman"/>
          <w:sz w:val="23"/>
          <w:szCs w:val="23"/>
          <w:shd w:val="clear" w:color="auto" w:fill="FFFFFF"/>
        </w:rPr>
        <w:t xml:space="preserve">he form of an effective laundry </w:t>
      </w:r>
      <w:r w:rsidR="00EC6F44" w:rsidRPr="00211CA1">
        <w:rPr>
          <w:rFonts w:ascii="Georgia" w:eastAsia="Times New Roman" w:hAnsi="Georgia" w:cs="Times New Roman"/>
          <w:sz w:val="23"/>
          <w:szCs w:val="23"/>
          <w:shd w:val="clear" w:color="auto" w:fill="FFFFFF"/>
        </w:rPr>
        <w:t>list. However, the code must only identify the number of areas of likely breach, and what would amount to a breach must be left to the courts.</w:t>
      </w:r>
    </w:p>
    <w:p w14:paraId="0B882B72" w14:textId="591FDAD0" w:rsidR="00B10FEA" w:rsidRPr="00211CA1" w:rsidRDefault="00B10FEA" w:rsidP="00BA1D55">
      <w:pPr>
        <w:spacing w:line="480" w:lineRule="auto"/>
        <w:jc w:val="both"/>
        <w:rPr>
          <w:rFonts w:ascii="Times New Roman" w:eastAsia="Times New Roman" w:hAnsi="Times New Roman" w:cs="Times New Roman"/>
        </w:rPr>
      </w:pPr>
    </w:p>
    <w:p w14:paraId="319EA8C4" w14:textId="35147134" w:rsidR="00211CA1" w:rsidRPr="00211CA1" w:rsidRDefault="00211CA1">
      <w:pPr>
        <w:rPr>
          <w:rFonts w:ascii="Times New Roman" w:eastAsia="Times New Roman" w:hAnsi="Times New Roman" w:cs="Times New Roman"/>
        </w:rPr>
      </w:pPr>
      <w:r w:rsidRPr="00211CA1">
        <w:rPr>
          <w:rFonts w:ascii="Times New Roman" w:eastAsia="Times New Roman" w:hAnsi="Times New Roman" w:cs="Times New Roman"/>
        </w:rPr>
        <w:br w:type="page"/>
      </w:r>
    </w:p>
    <w:p w14:paraId="0FF12F50" w14:textId="2E46613D" w:rsidR="00211CA1" w:rsidRPr="00211CA1" w:rsidRDefault="00211CA1" w:rsidP="00AF6541">
      <w:pPr>
        <w:spacing w:line="480" w:lineRule="auto"/>
        <w:jc w:val="center"/>
        <w:outlineLvl w:val="0"/>
        <w:rPr>
          <w:rFonts w:ascii="Times New Roman" w:eastAsia="Times New Roman" w:hAnsi="Times New Roman" w:cs="Times New Roman"/>
          <w:b/>
        </w:rPr>
      </w:pPr>
      <w:r w:rsidRPr="00211CA1">
        <w:rPr>
          <w:rFonts w:ascii="Times New Roman" w:eastAsia="Times New Roman" w:hAnsi="Times New Roman" w:cs="Times New Roman"/>
          <w:b/>
        </w:rPr>
        <w:lastRenderedPageBreak/>
        <w:t>Bibliography</w:t>
      </w:r>
    </w:p>
    <w:p w14:paraId="32B0C2DD"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Atlas Maritime Co SA v Avalon Maritime Ltd (No 1) [1991] 4 All ER 769.</w:t>
      </w:r>
    </w:p>
    <w:p w14:paraId="423077F8"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rPr>
        <w:t>Brewarrana v Commissioner of Highways (1973) 4 SASR 476, 480 (Bray CJ).</w:t>
      </w:r>
    </w:p>
    <w:p w14:paraId="58773D35"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shd w:val="clear" w:color="auto" w:fill="FFFFFF"/>
        </w:rPr>
        <w:t>Brudney, Victor, 1985. Corporate governance, agency costs, and the rhetoric of contract. </w:t>
      </w:r>
      <w:r w:rsidRPr="00211CA1">
        <w:rPr>
          <w:rFonts w:ascii="Times New Roman" w:eastAsia="Times New Roman" w:hAnsi="Times New Roman" w:cs="Times New Roman"/>
          <w:i/>
          <w:iCs/>
          <w:shd w:val="clear" w:color="auto" w:fill="FFFFFF"/>
        </w:rPr>
        <w:t>Columbia Law Review</w:t>
      </w:r>
      <w:r w:rsidRPr="00211CA1">
        <w:rPr>
          <w:rFonts w:ascii="Times New Roman" w:eastAsia="Times New Roman" w:hAnsi="Times New Roman" w:cs="Times New Roman"/>
          <w:shd w:val="clear" w:color="auto" w:fill="FFFFFF"/>
        </w:rPr>
        <w:t>, pp.1403-1444.</w:t>
      </w:r>
    </w:p>
    <w:p w14:paraId="71740B78" w14:textId="77777777" w:rsidR="00211CA1" w:rsidRPr="00211CA1" w:rsidRDefault="00211CA1" w:rsidP="00211CA1">
      <w:pPr>
        <w:pStyle w:val="NormalWeb"/>
        <w:spacing w:before="0" w:beforeAutospacing="0" w:after="0" w:afterAutospacing="0" w:line="480" w:lineRule="auto"/>
        <w:jc w:val="both"/>
        <w:rPr>
          <w:rFonts w:ascii="Times New Roman" w:hAnsi="Times New Roman"/>
          <w:sz w:val="24"/>
          <w:szCs w:val="24"/>
        </w:rPr>
      </w:pPr>
      <w:r w:rsidRPr="00211CA1">
        <w:rPr>
          <w:rFonts w:ascii="Times New Roman" w:hAnsi="Times New Roman"/>
          <w:sz w:val="24"/>
          <w:szCs w:val="24"/>
        </w:rPr>
        <w:t>Frank H Easterbrook and Daniel R Fischel, ‘Limited Liability and the Corporation’ (1985) 52 </w:t>
      </w:r>
      <w:r w:rsidRPr="00211CA1">
        <w:rPr>
          <w:rFonts w:ascii="Times New Roman" w:hAnsi="Times New Roman"/>
          <w:i/>
          <w:iCs/>
          <w:sz w:val="24"/>
          <w:szCs w:val="24"/>
        </w:rPr>
        <w:t>University</w:t>
      </w:r>
      <w:r w:rsidRPr="00211CA1">
        <w:rPr>
          <w:rFonts w:ascii="Times New Roman" w:hAnsi="Times New Roman"/>
          <w:sz w:val="24"/>
          <w:szCs w:val="24"/>
        </w:rPr>
        <w:t> </w:t>
      </w:r>
      <w:r w:rsidRPr="00211CA1">
        <w:rPr>
          <w:rFonts w:ascii="Times New Roman" w:hAnsi="Times New Roman"/>
          <w:i/>
          <w:iCs/>
          <w:sz w:val="24"/>
          <w:szCs w:val="24"/>
        </w:rPr>
        <w:t>of</w:t>
      </w:r>
      <w:r w:rsidRPr="00211CA1">
        <w:rPr>
          <w:rFonts w:ascii="Times New Roman" w:hAnsi="Times New Roman"/>
          <w:sz w:val="24"/>
          <w:szCs w:val="24"/>
        </w:rPr>
        <w:t> </w:t>
      </w:r>
      <w:r w:rsidRPr="00211CA1">
        <w:rPr>
          <w:rFonts w:ascii="Times New Roman" w:hAnsi="Times New Roman"/>
          <w:i/>
          <w:iCs/>
          <w:sz w:val="24"/>
          <w:szCs w:val="24"/>
        </w:rPr>
        <w:t>Chicago</w:t>
      </w:r>
      <w:r w:rsidRPr="00211CA1">
        <w:rPr>
          <w:rFonts w:ascii="Times New Roman" w:hAnsi="Times New Roman"/>
          <w:sz w:val="24"/>
          <w:szCs w:val="24"/>
        </w:rPr>
        <w:t> </w:t>
      </w:r>
      <w:r w:rsidRPr="00211CA1">
        <w:rPr>
          <w:rFonts w:ascii="Times New Roman" w:hAnsi="Times New Roman"/>
          <w:i/>
          <w:iCs/>
          <w:sz w:val="24"/>
          <w:szCs w:val="24"/>
        </w:rPr>
        <w:t>Law</w:t>
      </w:r>
      <w:r w:rsidRPr="00211CA1">
        <w:rPr>
          <w:rFonts w:ascii="Times New Roman" w:hAnsi="Times New Roman"/>
          <w:sz w:val="24"/>
          <w:szCs w:val="24"/>
        </w:rPr>
        <w:t> </w:t>
      </w:r>
      <w:r w:rsidRPr="00211CA1">
        <w:rPr>
          <w:rFonts w:ascii="Times New Roman" w:hAnsi="Times New Roman"/>
          <w:i/>
          <w:iCs/>
          <w:sz w:val="24"/>
          <w:szCs w:val="24"/>
        </w:rPr>
        <w:t>Review</w:t>
      </w:r>
      <w:r w:rsidRPr="00211CA1">
        <w:rPr>
          <w:rFonts w:ascii="Times New Roman" w:hAnsi="Times New Roman"/>
          <w:sz w:val="24"/>
          <w:szCs w:val="24"/>
        </w:rPr>
        <w:t> 89, 89.</w:t>
      </w:r>
    </w:p>
    <w:p w14:paraId="0BE8E60B"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rPr>
        <w:t>Gorton v Federal Commissioner of Taxation (1965) 113 CLR 604 (Barwick CJ, Taylor and Windeyer JJ).</w:t>
      </w:r>
    </w:p>
    <w:p w14:paraId="00CDF9C2"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rPr>
        <w:t>H A J Ford, R P Austin and I M Ramsay, Ford’s Principles of Corporations Law, 9th ed, 1999, [4.400].</w:t>
      </w:r>
    </w:p>
    <w:p w14:paraId="78F33F12"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spacing w:val="-2"/>
          <w:shd w:val="clear" w:color="auto" w:fill="FFFFFF"/>
        </w:rPr>
        <w:t>Hobart Bridge Company Ltd v Federal Commissioner of Taxation (1951) 82 CLR 372, 385. </w:t>
      </w:r>
    </w:p>
    <w:p w14:paraId="26C78D34"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J Farrar, ‘Fraud, Fairness and Piercing the Corporate Veil’ (1990) 16 Canadian Business Law Journal 474, 478.H Gelb, ‘Piercing the Corporate Veil – The Undercapitalization Factor’ (1982) 59 Chicago Kent Law, Review 1, 2.</w:t>
      </w:r>
    </w:p>
    <w:p w14:paraId="5080C60D"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shd w:val="clear" w:color="auto" w:fill="FFFFFF"/>
        </w:rPr>
        <w:t>Jensen, Micheal C. and Meckling, William H., 1976. Theory of the firm: Managerial behavior, agency costs and ownership structure. </w:t>
      </w:r>
      <w:r w:rsidRPr="00211CA1">
        <w:rPr>
          <w:rFonts w:ascii="Times New Roman" w:eastAsia="Times New Roman" w:hAnsi="Times New Roman" w:cs="Times New Roman"/>
          <w:i/>
          <w:iCs/>
          <w:shd w:val="clear" w:color="auto" w:fill="FFFFFF"/>
        </w:rPr>
        <w:t>Journal of financial economics</w:t>
      </w:r>
      <w:r w:rsidRPr="00211CA1">
        <w:rPr>
          <w:rFonts w:ascii="Times New Roman" w:eastAsia="Times New Roman" w:hAnsi="Times New Roman" w:cs="Times New Roman"/>
          <w:shd w:val="clear" w:color="auto" w:fill="FFFFFF"/>
        </w:rPr>
        <w:t>, </w:t>
      </w:r>
      <w:r w:rsidRPr="00211CA1">
        <w:rPr>
          <w:rFonts w:ascii="Times New Roman" w:eastAsia="Times New Roman" w:hAnsi="Times New Roman" w:cs="Times New Roman"/>
          <w:i/>
          <w:iCs/>
          <w:shd w:val="clear" w:color="auto" w:fill="FFFFFF"/>
        </w:rPr>
        <w:t>3</w:t>
      </w:r>
      <w:r w:rsidRPr="00211CA1">
        <w:rPr>
          <w:rFonts w:ascii="Times New Roman" w:eastAsia="Times New Roman" w:hAnsi="Times New Roman" w:cs="Times New Roman"/>
          <w:shd w:val="clear" w:color="auto" w:fill="FFFFFF"/>
        </w:rPr>
        <w:t>(4), pp.305-360.</w:t>
      </w:r>
    </w:p>
    <w:p w14:paraId="773AC978"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shd w:val="clear" w:color="auto" w:fill="FFFFFF"/>
        </w:rPr>
        <w:t>Michael C Jensen and William H Meckling, ‘Theory of the Firm: Managerial Behavior, Agency Costs and Ownership Structure’ (1976) 3 </w:t>
      </w:r>
      <w:r w:rsidRPr="00211CA1">
        <w:rPr>
          <w:rFonts w:ascii="Times New Roman" w:eastAsia="Times New Roman" w:hAnsi="Times New Roman" w:cs="Times New Roman"/>
          <w:i/>
          <w:iCs/>
          <w:shd w:val="clear" w:color="auto" w:fill="FFFFFF"/>
        </w:rPr>
        <w:t>Journal</w:t>
      </w:r>
      <w:r w:rsidRPr="00211CA1">
        <w:rPr>
          <w:rFonts w:ascii="Times New Roman" w:eastAsia="Times New Roman" w:hAnsi="Times New Roman" w:cs="Times New Roman"/>
          <w:shd w:val="clear" w:color="auto" w:fill="FFFFFF"/>
        </w:rPr>
        <w:t> </w:t>
      </w:r>
      <w:r w:rsidRPr="00211CA1">
        <w:rPr>
          <w:rFonts w:ascii="Times New Roman" w:eastAsia="Times New Roman" w:hAnsi="Times New Roman" w:cs="Times New Roman"/>
          <w:i/>
          <w:iCs/>
          <w:shd w:val="clear" w:color="auto" w:fill="FFFFFF"/>
        </w:rPr>
        <w:t>of</w:t>
      </w:r>
      <w:r w:rsidRPr="00211CA1">
        <w:rPr>
          <w:rFonts w:ascii="Times New Roman" w:eastAsia="Times New Roman" w:hAnsi="Times New Roman" w:cs="Times New Roman"/>
          <w:shd w:val="clear" w:color="auto" w:fill="FFFFFF"/>
        </w:rPr>
        <w:t> </w:t>
      </w:r>
      <w:r w:rsidRPr="00211CA1">
        <w:rPr>
          <w:rFonts w:ascii="Times New Roman" w:eastAsia="Times New Roman" w:hAnsi="Times New Roman" w:cs="Times New Roman"/>
          <w:i/>
          <w:iCs/>
          <w:shd w:val="clear" w:color="auto" w:fill="FFFFFF"/>
        </w:rPr>
        <w:t>Financial</w:t>
      </w:r>
      <w:r w:rsidRPr="00211CA1">
        <w:rPr>
          <w:rFonts w:ascii="Times New Roman" w:eastAsia="Times New Roman" w:hAnsi="Times New Roman" w:cs="Times New Roman"/>
          <w:shd w:val="clear" w:color="auto" w:fill="FFFFFF"/>
        </w:rPr>
        <w:t> </w:t>
      </w:r>
      <w:r w:rsidRPr="00211CA1">
        <w:rPr>
          <w:rFonts w:ascii="Times New Roman" w:eastAsia="Times New Roman" w:hAnsi="Times New Roman" w:cs="Times New Roman"/>
          <w:i/>
          <w:iCs/>
          <w:shd w:val="clear" w:color="auto" w:fill="FFFFFF"/>
        </w:rPr>
        <w:t>Economics</w:t>
      </w:r>
      <w:r w:rsidRPr="00211CA1">
        <w:rPr>
          <w:rFonts w:ascii="Times New Roman" w:eastAsia="Times New Roman" w:hAnsi="Times New Roman" w:cs="Times New Roman"/>
          <w:shd w:val="clear" w:color="auto" w:fill="FFFFFF"/>
        </w:rPr>
        <w:t> 305.</w:t>
      </w:r>
    </w:p>
    <w:p w14:paraId="254FFE40"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bCs/>
          <w:shd w:val="clear" w:color="auto" w:fill="FFFFFF"/>
        </w:rPr>
        <w:t>Nicholson v Permakraft</w:t>
      </w:r>
      <w:r w:rsidRPr="00211CA1">
        <w:rPr>
          <w:rFonts w:ascii="Times New Roman" w:eastAsia="Times New Roman" w:hAnsi="Times New Roman" w:cs="Times New Roman"/>
          <w:shd w:val="clear" w:color="auto" w:fill="FFFFFF"/>
        </w:rPr>
        <w:t> (</w:t>
      </w:r>
      <w:r w:rsidRPr="00211CA1">
        <w:rPr>
          <w:rFonts w:ascii="Times New Roman" w:eastAsia="Times New Roman" w:hAnsi="Times New Roman" w:cs="Times New Roman"/>
          <w:bCs/>
          <w:shd w:val="clear" w:color="auto" w:fill="FFFFFF"/>
        </w:rPr>
        <w:t>NZ</w:t>
      </w:r>
      <w:r w:rsidRPr="00211CA1">
        <w:rPr>
          <w:rFonts w:ascii="Times New Roman" w:eastAsia="Times New Roman" w:hAnsi="Times New Roman" w:cs="Times New Roman"/>
          <w:shd w:val="clear" w:color="auto" w:fill="FFFFFF"/>
        </w:rPr>
        <w:t>) </w:t>
      </w:r>
      <w:r w:rsidRPr="00211CA1">
        <w:rPr>
          <w:rFonts w:ascii="Times New Roman" w:eastAsia="Times New Roman" w:hAnsi="Times New Roman" w:cs="Times New Roman"/>
          <w:bCs/>
          <w:shd w:val="clear" w:color="auto" w:fill="FFFFFF"/>
        </w:rPr>
        <w:t>Ltd</w:t>
      </w:r>
      <w:r w:rsidRPr="00211CA1">
        <w:rPr>
          <w:rFonts w:ascii="Times New Roman" w:eastAsia="Times New Roman" w:hAnsi="Times New Roman" w:cs="Times New Roman"/>
          <w:shd w:val="clear" w:color="auto" w:fill="FFFFFF"/>
        </w:rPr>
        <w:t> [</w:t>
      </w:r>
      <w:r w:rsidRPr="00211CA1">
        <w:rPr>
          <w:rFonts w:ascii="Times New Roman" w:eastAsia="Times New Roman" w:hAnsi="Times New Roman" w:cs="Times New Roman"/>
          <w:bCs/>
          <w:shd w:val="clear" w:color="auto" w:fill="FFFFFF"/>
        </w:rPr>
        <w:t>1985</w:t>
      </w:r>
      <w:r w:rsidRPr="00211CA1">
        <w:rPr>
          <w:rFonts w:ascii="Times New Roman" w:eastAsia="Times New Roman" w:hAnsi="Times New Roman" w:cs="Times New Roman"/>
          <w:shd w:val="clear" w:color="auto" w:fill="FFFFFF"/>
        </w:rPr>
        <w:t>] 1 NZLR 242, 250.</w:t>
      </w:r>
    </w:p>
    <w:p w14:paraId="08D9A842"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rPr>
        <w:t>R Thompson, ‘Piercing the Corporate Veil: An Empirical Study’ (1991) 76 Cornell Law Review 1036.</w:t>
      </w:r>
    </w:p>
    <w:p w14:paraId="211898A3" w14:textId="77777777" w:rsidR="00211CA1" w:rsidRPr="00211CA1" w:rsidRDefault="00211CA1" w:rsidP="00AF6541">
      <w:pPr>
        <w:spacing w:line="480" w:lineRule="auto"/>
        <w:outlineLvl w:val="0"/>
        <w:rPr>
          <w:rFonts w:ascii="Times New Roman" w:eastAsia="Times New Roman" w:hAnsi="Times New Roman" w:cs="Times New Roman"/>
        </w:rPr>
      </w:pPr>
      <w:r w:rsidRPr="00211CA1">
        <w:rPr>
          <w:rFonts w:ascii="Times New Roman" w:eastAsia="Times New Roman" w:hAnsi="Times New Roman" w:cs="Times New Roman"/>
          <w:shd w:val="clear" w:color="auto" w:fill="FFFFFF"/>
        </w:rPr>
        <w:t>Ring v Sutton (1979) 5 ACLR 546</w:t>
      </w:r>
    </w:p>
    <w:p w14:paraId="47A46295"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shd w:val="clear" w:color="auto" w:fill="FFFFFF"/>
        </w:rPr>
        <w:lastRenderedPageBreak/>
        <w:t>Ripken, Susanna K. "Corporations are people too: a multi-dimensional approach to the corporate personhood puzzle." </w:t>
      </w:r>
      <w:r w:rsidRPr="00211CA1">
        <w:rPr>
          <w:rFonts w:ascii="Times New Roman" w:eastAsia="Times New Roman" w:hAnsi="Times New Roman" w:cs="Times New Roman"/>
          <w:i/>
          <w:iCs/>
          <w:shd w:val="clear" w:color="auto" w:fill="FFFFFF"/>
        </w:rPr>
        <w:t>Fordham J. Corp. &amp; Fin. L.</w:t>
      </w:r>
      <w:r w:rsidRPr="00211CA1">
        <w:rPr>
          <w:rFonts w:ascii="Times New Roman" w:eastAsia="Times New Roman" w:hAnsi="Times New Roman" w:cs="Times New Roman"/>
          <w:shd w:val="clear" w:color="auto" w:fill="FFFFFF"/>
        </w:rPr>
        <w:t> 15 (2009): 97.</w:t>
      </w:r>
    </w:p>
    <w:p w14:paraId="0866BEE8" w14:textId="77777777" w:rsidR="00211CA1" w:rsidRPr="00211CA1" w:rsidRDefault="00211CA1" w:rsidP="00211CA1">
      <w:pPr>
        <w:spacing w:line="480" w:lineRule="auto"/>
        <w:jc w:val="both"/>
        <w:rPr>
          <w:rFonts w:ascii="Times New Roman" w:eastAsia="Times New Roman" w:hAnsi="Times New Roman" w:cs="Times New Roman"/>
        </w:rPr>
      </w:pPr>
      <w:r w:rsidRPr="00211CA1">
        <w:rPr>
          <w:rFonts w:ascii="Times New Roman" w:eastAsia="Times New Roman" w:hAnsi="Times New Roman" w:cs="Times New Roman"/>
          <w:i/>
          <w:iCs/>
          <w:shd w:val="clear" w:color="auto" w:fill="FFFFFF"/>
        </w:rPr>
        <w:t>Spies v R</w:t>
      </w:r>
      <w:r w:rsidRPr="00211CA1">
        <w:rPr>
          <w:rFonts w:ascii="Times New Roman" w:eastAsia="Times New Roman" w:hAnsi="Times New Roman" w:cs="Times New Roman"/>
          <w:shd w:val="clear" w:color="auto" w:fill="FFFFFF"/>
        </w:rPr>
        <w:t> (2000) 201 CLR 603, 636.</w:t>
      </w:r>
    </w:p>
    <w:p w14:paraId="68B67669"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The Corporations Act 2001 (Cth)</w:t>
      </w:r>
    </w:p>
    <w:p w14:paraId="3AE999D3"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The Corporations Act 2001 (Cth) Section 267</w:t>
      </w:r>
    </w:p>
    <w:p w14:paraId="2EBEFAE9"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The Corporations Act 2001 (Cth) Section 292</w:t>
      </w:r>
    </w:p>
    <w:p w14:paraId="6FAC8C84"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The Corporations Act 2001 (Cth) Section 295</w:t>
      </w:r>
    </w:p>
    <w:p w14:paraId="499795EB"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The Corporations Act 2001 (Cth) Section 588G</w:t>
      </w:r>
    </w:p>
    <w:p w14:paraId="575F3CD9" w14:textId="77777777" w:rsidR="00211CA1" w:rsidRPr="00211CA1" w:rsidRDefault="00211CA1" w:rsidP="00211CA1">
      <w:pPr>
        <w:pStyle w:val="FootnoteText"/>
        <w:spacing w:line="480" w:lineRule="auto"/>
        <w:jc w:val="both"/>
        <w:rPr>
          <w:rFonts w:ascii="Times New Roman" w:hAnsi="Times New Roman" w:cs="Times New Roman"/>
        </w:rPr>
      </w:pPr>
      <w:r w:rsidRPr="00211CA1">
        <w:rPr>
          <w:rFonts w:ascii="Times New Roman" w:hAnsi="Times New Roman" w:cs="Times New Roman"/>
        </w:rPr>
        <w:t>Walker v Hungerfords (1987) 44 SASR 532, 559 (Bollen J).</w:t>
      </w:r>
    </w:p>
    <w:p w14:paraId="7BAE40EC" w14:textId="77777777" w:rsidR="00211CA1" w:rsidRPr="00211CA1" w:rsidRDefault="00211CA1" w:rsidP="00211CA1">
      <w:pPr>
        <w:spacing w:line="480" w:lineRule="auto"/>
        <w:rPr>
          <w:rFonts w:ascii="Times New Roman" w:eastAsia="Times New Roman" w:hAnsi="Times New Roman" w:cs="Times New Roman"/>
        </w:rPr>
      </w:pPr>
      <w:r w:rsidRPr="00211CA1">
        <w:rPr>
          <w:rFonts w:ascii="Times New Roman" w:eastAsia="Times New Roman" w:hAnsi="Times New Roman" w:cs="Times New Roman"/>
          <w:shd w:val="clear" w:color="auto" w:fill="FFFFFF"/>
        </w:rPr>
        <w:t>Walker v Wimborne (1976) 137 CLR 1</w:t>
      </w:r>
    </w:p>
    <w:sectPr w:rsidR="00211CA1" w:rsidRPr="00211CA1" w:rsidSect="00375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D1CA" w14:textId="77777777" w:rsidR="00D65706" w:rsidRDefault="00D65706" w:rsidP="00C04C8A">
      <w:r>
        <w:separator/>
      </w:r>
    </w:p>
  </w:endnote>
  <w:endnote w:type="continuationSeparator" w:id="0">
    <w:p w14:paraId="3A1A3C9F" w14:textId="77777777" w:rsidR="00D65706" w:rsidRDefault="00D65706" w:rsidP="00C0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B98A9" w14:textId="77777777" w:rsidR="00D65706" w:rsidRDefault="00D65706" w:rsidP="00C04C8A">
      <w:r>
        <w:separator/>
      </w:r>
    </w:p>
  </w:footnote>
  <w:footnote w:type="continuationSeparator" w:id="0">
    <w:p w14:paraId="04CBEA04" w14:textId="77777777" w:rsidR="00D65706" w:rsidRDefault="00D65706" w:rsidP="00C04C8A">
      <w:r>
        <w:continuationSeparator/>
      </w:r>
    </w:p>
  </w:footnote>
  <w:footnote w:id="1">
    <w:p w14:paraId="2BC7C21A" w14:textId="6499FFE8" w:rsidR="00D65706" w:rsidRPr="00211CA1" w:rsidRDefault="00D65706" w:rsidP="009459F2">
      <w:pPr>
        <w:pStyle w:val="NormalWeb"/>
        <w:spacing w:before="0" w:beforeAutospacing="0" w:after="0" w:afterAutospacing="0"/>
        <w:jc w:val="both"/>
        <w:rPr>
          <w:rFonts w:ascii="Times New Roman" w:hAnsi="Times New Roman"/>
        </w:rPr>
      </w:pPr>
      <w:r w:rsidRPr="00211CA1">
        <w:rPr>
          <w:rStyle w:val="FootnoteReference"/>
          <w:rFonts w:ascii="Times New Roman" w:hAnsi="Times New Roman"/>
        </w:rPr>
        <w:footnoteRef/>
      </w:r>
      <w:r w:rsidRPr="00211CA1">
        <w:rPr>
          <w:rFonts w:ascii="Times New Roman" w:hAnsi="Times New Roman"/>
        </w:rPr>
        <w:t xml:space="preserve"> Frank H Easterbrook and Daniel R Fischel, ‘Limited Liability and the Corporation’ (1985) 52 </w:t>
      </w:r>
      <w:r w:rsidRPr="00211CA1">
        <w:rPr>
          <w:rFonts w:ascii="Times New Roman" w:hAnsi="Times New Roman"/>
          <w:i/>
          <w:iCs/>
        </w:rPr>
        <w:t>University</w:t>
      </w:r>
      <w:r w:rsidRPr="00211CA1">
        <w:rPr>
          <w:rFonts w:ascii="Times New Roman" w:hAnsi="Times New Roman"/>
        </w:rPr>
        <w:t> </w:t>
      </w:r>
      <w:r w:rsidRPr="00211CA1">
        <w:rPr>
          <w:rFonts w:ascii="Times New Roman" w:hAnsi="Times New Roman"/>
          <w:i/>
          <w:iCs/>
        </w:rPr>
        <w:t>of</w:t>
      </w:r>
      <w:r w:rsidRPr="00211CA1">
        <w:rPr>
          <w:rFonts w:ascii="Times New Roman" w:hAnsi="Times New Roman"/>
        </w:rPr>
        <w:t> </w:t>
      </w:r>
      <w:r w:rsidRPr="00211CA1">
        <w:rPr>
          <w:rFonts w:ascii="Times New Roman" w:hAnsi="Times New Roman"/>
          <w:i/>
          <w:iCs/>
        </w:rPr>
        <w:t>Chicago</w:t>
      </w:r>
      <w:r w:rsidRPr="00211CA1">
        <w:rPr>
          <w:rFonts w:ascii="Times New Roman" w:hAnsi="Times New Roman"/>
        </w:rPr>
        <w:t> </w:t>
      </w:r>
      <w:r w:rsidRPr="00211CA1">
        <w:rPr>
          <w:rFonts w:ascii="Times New Roman" w:hAnsi="Times New Roman"/>
          <w:i/>
          <w:iCs/>
        </w:rPr>
        <w:t>Law</w:t>
      </w:r>
      <w:r w:rsidRPr="00211CA1">
        <w:rPr>
          <w:rFonts w:ascii="Times New Roman" w:hAnsi="Times New Roman"/>
        </w:rPr>
        <w:t> </w:t>
      </w:r>
      <w:r w:rsidRPr="00211CA1">
        <w:rPr>
          <w:rFonts w:ascii="Times New Roman" w:hAnsi="Times New Roman"/>
          <w:i/>
          <w:iCs/>
        </w:rPr>
        <w:t>Review</w:t>
      </w:r>
      <w:r w:rsidRPr="00211CA1">
        <w:rPr>
          <w:rFonts w:ascii="Times New Roman" w:hAnsi="Times New Roman"/>
        </w:rPr>
        <w:t> 89, 89.</w:t>
      </w:r>
    </w:p>
  </w:footnote>
  <w:footnote w:id="2">
    <w:p w14:paraId="00E35B8D" w14:textId="4B39A005"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shd w:val="clear" w:color="auto" w:fill="FFFFFF"/>
        </w:rPr>
        <w:t>Michael C Jensen and William H Meckling, ‘Theory of the Firm: Managerial Behavior, Agency Costs and Ownership Structure’ (1976) 3 </w:t>
      </w:r>
      <w:r w:rsidRPr="00211CA1">
        <w:rPr>
          <w:rFonts w:ascii="Times New Roman" w:eastAsia="Times New Roman" w:hAnsi="Times New Roman" w:cs="Times New Roman"/>
          <w:i/>
          <w:iCs/>
          <w:sz w:val="20"/>
          <w:szCs w:val="20"/>
          <w:shd w:val="clear" w:color="auto" w:fill="FFFFFF"/>
        </w:rPr>
        <w:t>Journal</w:t>
      </w:r>
      <w:r w:rsidRPr="00211CA1">
        <w:rPr>
          <w:rFonts w:ascii="Times New Roman" w:eastAsia="Times New Roman" w:hAnsi="Times New Roman" w:cs="Times New Roman"/>
          <w:sz w:val="20"/>
          <w:szCs w:val="20"/>
          <w:shd w:val="clear" w:color="auto" w:fill="FFFFFF"/>
        </w:rPr>
        <w:t> </w:t>
      </w:r>
      <w:r w:rsidRPr="00211CA1">
        <w:rPr>
          <w:rFonts w:ascii="Times New Roman" w:eastAsia="Times New Roman" w:hAnsi="Times New Roman" w:cs="Times New Roman"/>
          <w:i/>
          <w:iCs/>
          <w:sz w:val="20"/>
          <w:szCs w:val="20"/>
          <w:shd w:val="clear" w:color="auto" w:fill="FFFFFF"/>
        </w:rPr>
        <w:t>of</w:t>
      </w:r>
      <w:r w:rsidRPr="00211CA1">
        <w:rPr>
          <w:rFonts w:ascii="Times New Roman" w:eastAsia="Times New Roman" w:hAnsi="Times New Roman" w:cs="Times New Roman"/>
          <w:sz w:val="20"/>
          <w:szCs w:val="20"/>
          <w:shd w:val="clear" w:color="auto" w:fill="FFFFFF"/>
        </w:rPr>
        <w:t> </w:t>
      </w:r>
      <w:r w:rsidRPr="00211CA1">
        <w:rPr>
          <w:rFonts w:ascii="Times New Roman" w:eastAsia="Times New Roman" w:hAnsi="Times New Roman" w:cs="Times New Roman"/>
          <w:i/>
          <w:iCs/>
          <w:sz w:val="20"/>
          <w:szCs w:val="20"/>
          <w:shd w:val="clear" w:color="auto" w:fill="FFFFFF"/>
        </w:rPr>
        <w:t>Financial</w:t>
      </w:r>
      <w:r w:rsidRPr="00211CA1">
        <w:rPr>
          <w:rFonts w:ascii="Times New Roman" w:eastAsia="Times New Roman" w:hAnsi="Times New Roman" w:cs="Times New Roman"/>
          <w:sz w:val="20"/>
          <w:szCs w:val="20"/>
          <w:shd w:val="clear" w:color="auto" w:fill="FFFFFF"/>
        </w:rPr>
        <w:t> </w:t>
      </w:r>
      <w:r w:rsidRPr="00211CA1">
        <w:rPr>
          <w:rFonts w:ascii="Times New Roman" w:eastAsia="Times New Roman" w:hAnsi="Times New Roman" w:cs="Times New Roman"/>
          <w:i/>
          <w:iCs/>
          <w:sz w:val="20"/>
          <w:szCs w:val="20"/>
          <w:shd w:val="clear" w:color="auto" w:fill="FFFFFF"/>
        </w:rPr>
        <w:t>Economics</w:t>
      </w:r>
      <w:r w:rsidRPr="00211CA1">
        <w:rPr>
          <w:rFonts w:ascii="Times New Roman" w:eastAsia="Times New Roman" w:hAnsi="Times New Roman" w:cs="Times New Roman"/>
          <w:sz w:val="20"/>
          <w:szCs w:val="20"/>
          <w:shd w:val="clear" w:color="auto" w:fill="FFFFFF"/>
        </w:rPr>
        <w:t> 305.</w:t>
      </w:r>
    </w:p>
  </w:footnote>
  <w:footnote w:id="3">
    <w:p w14:paraId="31FD4684" w14:textId="5D421557"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bCs/>
          <w:sz w:val="20"/>
          <w:szCs w:val="20"/>
          <w:shd w:val="clear" w:color="auto" w:fill="FFFFFF"/>
        </w:rPr>
        <w:t>Nicholson v Permakraft</w:t>
      </w:r>
      <w:r w:rsidRPr="00211CA1">
        <w:rPr>
          <w:rFonts w:ascii="Times New Roman" w:eastAsia="Times New Roman" w:hAnsi="Times New Roman" w:cs="Times New Roman"/>
          <w:sz w:val="20"/>
          <w:szCs w:val="20"/>
          <w:shd w:val="clear" w:color="auto" w:fill="FFFFFF"/>
        </w:rPr>
        <w:t> (</w:t>
      </w:r>
      <w:r w:rsidRPr="00211CA1">
        <w:rPr>
          <w:rFonts w:ascii="Times New Roman" w:eastAsia="Times New Roman" w:hAnsi="Times New Roman" w:cs="Times New Roman"/>
          <w:bCs/>
          <w:sz w:val="20"/>
          <w:szCs w:val="20"/>
          <w:shd w:val="clear" w:color="auto" w:fill="FFFFFF"/>
        </w:rPr>
        <w:t>NZ</w:t>
      </w:r>
      <w:r w:rsidRPr="00211CA1">
        <w:rPr>
          <w:rFonts w:ascii="Times New Roman" w:eastAsia="Times New Roman" w:hAnsi="Times New Roman" w:cs="Times New Roman"/>
          <w:sz w:val="20"/>
          <w:szCs w:val="20"/>
          <w:shd w:val="clear" w:color="auto" w:fill="FFFFFF"/>
        </w:rPr>
        <w:t>) </w:t>
      </w:r>
      <w:r w:rsidRPr="00211CA1">
        <w:rPr>
          <w:rFonts w:ascii="Times New Roman" w:eastAsia="Times New Roman" w:hAnsi="Times New Roman" w:cs="Times New Roman"/>
          <w:bCs/>
          <w:sz w:val="20"/>
          <w:szCs w:val="20"/>
          <w:shd w:val="clear" w:color="auto" w:fill="FFFFFF"/>
        </w:rPr>
        <w:t>Ltd</w:t>
      </w:r>
      <w:r w:rsidRPr="00211CA1">
        <w:rPr>
          <w:rFonts w:ascii="Times New Roman" w:eastAsia="Times New Roman" w:hAnsi="Times New Roman" w:cs="Times New Roman"/>
          <w:sz w:val="20"/>
          <w:szCs w:val="20"/>
          <w:shd w:val="clear" w:color="auto" w:fill="FFFFFF"/>
        </w:rPr>
        <w:t> [</w:t>
      </w:r>
      <w:r w:rsidRPr="00211CA1">
        <w:rPr>
          <w:rFonts w:ascii="Times New Roman" w:eastAsia="Times New Roman" w:hAnsi="Times New Roman" w:cs="Times New Roman"/>
          <w:bCs/>
          <w:sz w:val="20"/>
          <w:szCs w:val="20"/>
          <w:shd w:val="clear" w:color="auto" w:fill="FFFFFF"/>
        </w:rPr>
        <w:t>1985</w:t>
      </w:r>
      <w:r w:rsidRPr="00211CA1">
        <w:rPr>
          <w:rFonts w:ascii="Times New Roman" w:eastAsia="Times New Roman" w:hAnsi="Times New Roman" w:cs="Times New Roman"/>
          <w:sz w:val="20"/>
          <w:szCs w:val="20"/>
          <w:shd w:val="clear" w:color="auto" w:fill="FFFFFF"/>
        </w:rPr>
        <w:t>] 1 NZLR 242, 250.</w:t>
      </w:r>
    </w:p>
  </w:footnote>
  <w:footnote w:id="4">
    <w:p w14:paraId="6EC6D2CB" w14:textId="6E0CC370"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shd w:val="clear" w:color="auto" w:fill="FFFFFF"/>
        </w:rPr>
        <w:t>Ripken, Susanna K. "Corporations are people too: a multi-dimensional approach to the corporate personhood puzzle." </w:t>
      </w:r>
      <w:r w:rsidRPr="00211CA1">
        <w:rPr>
          <w:rFonts w:ascii="Times New Roman" w:eastAsia="Times New Roman" w:hAnsi="Times New Roman" w:cs="Times New Roman"/>
          <w:i/>
          <w:iCs/>
          <w:sz w:val="20"/>
          <w:szCs w:val="20"/>
          <w:shd w:val="clear" w:color="auto" w:fill="FFFFFF"/>
        </w:rPr>
        <w:t>Fordham J. Corp. &amp; Fin. L.</w:t>
      </w:r>
      <w:r w:rsidRPr="00211CA1">
        <w:rPr>
          <w:rFonts w:ascii="Times New Roman" w:eastAsia="Times New Roman" w:hAnsi="Times New Roman" w:cs="Times New Roman"/>
          <w:sz w:val="20"/>
          <w:szCs w:val="20"/>
          <w:shd w:val="clear" w:color="auto" w:fill="FFFFFF"/>
        </w:rPr>
        <w:t> 15 (2009): 97.</w:t>
      </w:r>
    </w:p>
  </w:footnote>
  <w:footnote w:id="5">
    <w:p w14:paraId="02627FAE" w14:textId="7F1B8D39"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rPr>
        <w:t>Gorton v Federal Commissioner of Taxation (1965) 113 CLR 604 (Barwick CJ, Taylor and Windeyer JJ).</w:t>
      </w:r>
    </w:p>
  </w:footnote>
  <w:footnote w:id="6">
    <w:p w14:paraId="7ABAED3A" w14:textId="4BAF4438"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The Corporations Act 2001 (Cth)</w:t>
      </w:r>
    </w:p>
  </w:footnote>
  <w:footnote w:id="7">
    <w:p w14:paraId="2545F877" w14:textId="1D46E07C"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The Corporations Act 2001 (Cth) Section 588G</w:t>
      </w:r>
    </w:p>
  </w:footnote>
  <w:footnote w:id="8">
    <w:p w14:paraId="14664E7C" w14:textId="0B08C81F"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i/>
          <w:iCs/>
          <w:sz w:val="20"/>
          <w:szCs w:val="20"/>
          <w:shd w:val="clear" w:color="auto" w:fill="FFFFFF"/>
        </w:rPr>
        <w:t>Spies v R</w:t>
      </w:r>
      <w:r w:rsidRPr="00211CA1">
        <w:rPr>
          <w:rFonts w:ascii="Times New Roman" w:eastAsia="Times New Roman" w:hAnsi="Times New Roman" w:cs="Times New Roman"/>
          <w:sz w:val="20"/>
          <w:szCs w:val="20"/>
          <w:shd w:val="clear" w:color="auto" w:fill="FFFFFF"/>
        </w:rPr>
        <w:t> (2000) 201 CLR 603, 636.</w:t>
      </w:r>
    </w:p>
  </w:footnote>
  <w:footnote w:id="9">
    <w:p w14:paraId="0F21E115" w14:textId="7808683A"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The Corporations Act 2001 (Cth) Section 267</w:t>
      </w:r>
    </w:p>
  </w:footnote>
  <w:footnote w:id="10">
    <w:p w14:paraId="337E1CC0" w14:textId="058E2229"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The Corporations Act 2001 (Cth) Section 292</w:t>
      </w:r>
    </w:p>
  </w:footnote>
  <w:footnote w:id="11">
    <w:p w14:paraId="684E65D1" w14:textId="4D8077AB"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The Corporations Act 2001 (Cth) Section 295</w:t>
      </w:r>
    </w:p>
  </w:footnote>
  <w:footnote w:id="12">
    <w:p w14:paraId="0D4BEC38" w14:textId="7AA01844"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shd w:val="clear" w:color="auto" w:fill="FFFFFF"/>
        </w:rPr>
        <w:t>Brudney, Victor, 1985. Corporate governance, agency costs, and the rhetoric of contract. </w:t>
      </w:r>
      <w:r w:rsidRPr="00211CA1">
        <w:rPr>
          <w:rFonts w:ascii="Times New Roman" w:eastAsia="Times New Roman" w:hAnsi="Times New Roman" w:cs="Times New Roman"/>
          <w:i/>
          <w:iCs/>
          <w:sz w:val="20"/>
          <w:szCs w:val="20"/>
          <w:shd w:val="clear" w:color="auto" w:fill="FFFFFF"/>
        </w:rPr>
        <w:t>Columbia Law Review</w:t>
      </w:r>
      <w:r w:rsidRPr="00211CA1">
        <w:rPr>
          <w:rFonts w:ascii="Times New Roman" w:eastAsia="Times New Roman" w:hAnsi="Times New Roman" w:cs="Times New Roman"/>
          <w:sz w:val="20"/>
          <w:szCs w:val="20"/>
          <w:shd w:val="clear" w:color="auto" w:fill="FFFFFF"/>
        </w:rPr>
        <w:t>, pp.1403-1444.</w:t>
      </w:r>
    </w:p>
  </w:footnote>
  <w:footnote w:id="13">
    <w:p w14:paraId="41BBCF15" w14:textId="774FD2E2"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shd w:val="clear" w:color="auto" w:fill="FFFFFF"/>
        </w:rPr>
        <w:t>Jensen, Micheal C. and Meckling, William H., 1976. Theory of the firm: Managerial behavior, agency costs and ownership structure. </w:t>
      </w:r>
      <w:r w:rsidRPr="00211CA1">
        <w:rPr>
          <w:rFonts w:ascii="Times New Roman" w:eastAsia="Times New Roman" w:hAnsi="Times New Roman" w:cs="Times New Roman"/>
          <w:i/>
          <w:iCs/>
          <w:sz w:val="20"/>
          <w:szCs w:val="20"/>
          <w:shd w:val="clear" w:color="auto" w:fill="FFFFFF"/>
        </w:rPr>
        <w:t>Journal of financial economics</w:t>
      </w:r>
      <w:r w:rsidRPr="00211CA1">
        <w:rPr>
          <w:rFonts w:ascii="Times New Roman" w:eastAsia="Times New Roman" w:hAnsi="Times New Roman" w:cs="Times New Roman"/>
          <w:sz w:val="20"/>
          <w:szCs w:val="20"/>
          <w:shd w:val="clear" w:color="auto" w:fill="FFFFFF"/>
        </w:rPr>
        <w:t>, </w:t>
      </w:r>
      <w:r w:rsidRPr="00211CA1">
        <w:rPr>
          <w:rFonts w:ascii="Times New Roman" w:eastAsia="Times New Roman" w:hAnsi="Times New Roman" w:cs="Times New Roman"/>
          <w:i/>
          <w:iCs/>
          <w:sz w:val="20"/>
          <w:szCs w:val="20"/>
          <w:shd w:val="clear" w:color="auto" w:fill="FFFFFF"/>
        </w:rPr>
        <w:t>3</w:t>
      </w:r>
      <w:r w:rsidRPr="00211CA1">
        <w:rPr>
          <w:rFonts w:ascii="Times New Roman" w:eastAsia="Times New Roman" w:hAnsi="Times New Roman" w:cs="Times New Roman"/>
          <w:sz w:val="20"/>
          <w:szCs w:val="20"/>
          <w:shd w:val="clear" w:color="auto" w:fill="FFFFFF"/>
        </w:rPr>
        <w:t>(4), pp.305-360.</w:t>
      </w:r>
    </w:p>
  </w:footnote>
  <w:footnote w:id="14">
    <w:p w14:paraId="397FE839" w14:textId="79A18DCD" w:rsidR="00D65706" w:rsidRPr="00211CA1" w:rsidRDefault="00D65706" w:rsidP="00B46612">
      <w:pPr>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shd w:val="clear" w:color="auto" w:fill="FFFFFF"/>
        </w:rPr>
        <w:t>Walker v Wimborne (1976) 137 CLR 1</w:t>
      </w:r>
    </w:p>
  </w:footnote>
  <w:footnote w:id="15">
    <w:p w14:paraId="710C9736" w14:textId="6579FB7E" w:rsidR="00D65706" w:rsidRPr="00211CA1" w:rsidRDefault="00D65706" w:rsidP="00B46612">
      <w:pPr>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shd w:val="clear" w:color="auto" w:fill="FFFFFF"/>
        </w:rPr>
        <w:t>Ring v Sutton (1979) 5 ACLR 546</w:t>
      </w:r>
    </w:p>
  </w:footnote>
  <w:footnote w:id="16">
    <w:p w14:paraId="594C5B61" w14:textId="615A869B"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rPr>
        <w:t>Brewarrana v Commissioner of Highways (1973) 4 SASR 476, 480 (Bray CJ).</w:t>
      </w:r>
    </w:p>
  </w:footnote>
  <w:footnote w:id="17">
    <w:p w14:paraId="145A389F" w14:textId="208F579C"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Walker v Hungerfords (1987) 44 SASR 532, 559 (Bollen J).</w:t>
      </w:r>
    </w:p>
  </w:footnote>
  <w:footnote w:id="18">
    <w:p w14:paraId="21DA54BA" w14:textId="6153044C"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Atlas Maritime Co SA v Avalon Maritime Ltd (No 1) [1991] 4 All ER 769.</w:t>
      </w:r>
    </w:p>
  </w:footnote>
  <w:footnote w:id="19">
    <w:p w14:paraId="46D70E38" w14:textId="0D233051"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rPr>
        <w:t>H A J Ford, R P Austin and I M Ramsay, Ford’s Principles of Corporations Law, 9th ed, 1999, [4.400].</w:t>
      </w:r>
    </w:p>
  </w:footnote>
  <w:footnote w:id="20">
    <w:p w14:paraId="3BAB4B1C" w14:textId="35EF03F9"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J Farrar, ‘Fraud, Fairness and Piercing the Corporate Veil’ (1990) 16 Canadian Business Law Journal 474, 478.</w:t>
      </w:r>
    </w:p>
  </w:footnote>
  <w:footnote w:id="21">
    <w:p w14:paraId="05F0B2E5" w14:textId="2848690E" w:rsidR="00D65706" w:rsidRPr="00211CA1" w:rsidRDefault="00D65706" w:rsidP="009459F2">
      <w:pPr>
        <w:pStyle w:val="FootnoteText"/>
        <w:jc w:val="both"/>
        <w:rPr>
          <w:rFonts w:ascii="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H Gelb, ‘Piercing the Corporate Veil – The Undercapitalization Factor’ (1982) 59 Chicago Kent Law, Review 1, 2.</w:t>
      </w:r>
    </w:p>
  </w:footnote>
  <w:footnote w:id="22">
    <w:p w14:paraId="114EFA49" w14:textId="6DA33CFC"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z w:val="20"/>
          <w:szCs w:val="20"/>
        </w:rPr>
        <w:t>R Thompson, ‘Piercing the Corporate Veil: An Empirical Study’ (1991) 76 Cornell Law Review 1036.</w:t>
      </w:r>
    </w:p>
  </w:footnote>
  <w:footnote w:id="23">
    <w:p w14:paraId="2B2F47B8" w14:textId="13D01ABE" w:rsidR="00D65706" w:rsidRPr="00211CA1" w:rsidRDefault="00D65706" w:rsidP="009459F2">
      <w:pPr>
        <w:jc w:val="both"/>
        <w:rPr>
          <w:rFonts w:ascii="Times New Roman" w:eastAsia="Times New Roman" w:hAnsi="Times New Roman" w:cs="Times New Roman"/>
          <w:sz w:val="20"/>
          <w:szCs w:val="20"/>
        </w:rPr>
      </w:pPr>
      <w:r w:rsidRPr="00211CA1">
        <w:rPr>
          <w:rStyle w:val="FootnoteReference"/>
          <w:rFonts w:ascii="Times New Roman" w:hAnsi="Times New Roman" w:cs="Times New Roman"/>
          <w:sz w:val="20"/>
          <w:szCs w:val="20"/>
        </w:rPr>
        <w:footnoteRef/>
      </w:r>
      <w:r w:rsidRPr="00211CA1">
        <w:rPr>
          <w:rFonts w:ascii="Times New Roman" w:hAnsi="Times New Roman" w:cs="Times New Roman"/>
          <w:sz w:val="20"/>
          <w:szCs w:val="20"/>
        </w:rPr>
        <w:t xml:space="preserve"> </w:t>
      </w:r>
      <w:r w:rsidRPr="00211CA1">
        <w:rPr>
          <w:rFonts w:ascii="Times New Roman" w:eastAsia="Times New Roman" w:hAnsi="Times New Roman" w:cs="Times New Roman"/>
          <w:spacing w:val="-2"/>
          <w:sz w:val="20"/>
          <w:szCs w:val="20"/>
          <w:shd w:val="clear" w:color="auto" w:fill="FFFFFF"/>
        </w:rPr>
        <w:t>Hobart Bridge Company Ltd v Federal Commissioner of Taxation (1951) 82 CLR 372, 385.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F9"/>
    <w:rsid w:val="00000A05"/>
    <w:rsid w:val="000D1815"/>
    <w:rsid w:val="0015106A"/>
    <w:rsid w:val="00211CA1"/>
    <w:rsid w:val="00265B19"/>
    <w:rsid w:val="0027191A"/>
    <w:rsid w:val="00290881"/>
    <w:rsid w:val="002B54DA"/>
    <w:rsid w:val="002E03FA"/>
    <w:rsid w:val="00312AC1"/>
    <w:rsid w:val="00320AB3"/>
    <w:rsid w:val="00353985"/>
    <w:rsid w:val="00375743"/>
    <w:rsid w:val="00391377"/>
    <w:rsid w:val="00391710"/>
    <w:rsid w:val="0040107E"/>
    <w:rsid w:val="004329C8"/>
    <w:rsid w:val="004B57FB"/>
    <w:rsid w:val="004E4C32"/>
    <w:rsid w:val="00526BC5"/>
    <w:rsid w:val="00531BB3"/>
    <w:rsid w:val="005350B8"/>
    <w:rsid w:val="0054729C"/>
    <w:rsid w:val="00552159"/>
    <w:rsid w:val="0058479F"/>
    <w:rsid w:val="005E6E19"/>
    <w:rsid w:val="00622BDE"/>
    <w:rsid w:val="006318AC"/>
    <w:rsid w:val="00673C5D"/>
    <w:rsid w:val="00675858"/>
    <w:rsid w:val="00680952"/>
    <w:rsid w:val="00681E86"/>
    <w:rsid w:val="00694A43"/>
    <w:rsid w:val="006B55B8"/>
    <w:rsid w:val="006C7262"/>
    <w:rsid w:val="006E2D0B"/>
    <w:rsid w:val="007010AC"/>
    <w:rsid w:val="007034CC"/>
    <w:rsid w:val="00705567"/>
    <w:rsid w:val="007847FE"/>
    <w:rsid w:val="007B7FD1"/>
    <w:rsid w:val="007C4C0B"/>
    <w:rsid w:val="007E1DF5"/>
    <w:rsid w:val="007F2EB8"/>
    <w:rsid w:val="00835EBE"/>
    <w:rsid w:val="00893F3A"/>
    <w:rsid w:val="008E18DA"/>
    <w:rsid w:val="009172C2"/>
    <w:rsid w:val="009459F2"/>
    <w:rsid w:val="0095025F"/>
    <w:rsid w:val="00954DF9"/>
    <w:rsid w:val="00964048"/>
    <w:rsid w:val="0099169C"/>
    <w:rsid w:val="009C48CB"/>
    <w:rsid w:val="009D1362"/>
    <w:rsid w:val="00A82760"/>
    <w:rsid w:val="00AB6033"/>
    <w:rsid w:val="00AE54B8"/>
    <w:rsid w:val="00AF19EC"/>
    <w:rsid w:val="00AF6541"/>
    <w:rsid w:val="00B10FEA"/>
    <w:rsid w:val="00B46612"/>
    <w:rsid w:val="00B466CF"/>
    <w:rsid w:val="00B53E6C"/>
    <w:rsid w:val="00BA1D55"/>
    <w:rsid w:val="00BA4280"/>
    <w:rsid w:val="00C04C8A"/>
    <w:rsid w:val="00C826AF"/>
    <w:rsid w:val="00C92936"/>
    <w:rsid w:val="00CA59C8"/>
    <w:rsid w:val="00D374F9"/>
    <w:rsid w:val="00D65706"/>
    <w:rsid w:val="00DA0E31"/>
    <w:rsid w:val="00DD35AB"/>
    <w:rsid w:val="00E34519"/>
    <w:rsid w:val="00E54832"/>
    <w:rsid w:val="00E94C47"/>
    <w:rsid w:val="00EC6F44"/>
    <w:rsid w:val="00EE2C11"/>
    <w:rsid w:val="00F20D1F"/>
    <w:rsid w:val="00F31026"/>
    <w:rsid w:val="00F6188B"/>
    <w:rsid w:val="00FE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EA4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4C8A"/>
  </w:style>
  <w:style w:type="character" w:customStyle="1" w:styleId="FootnoteTextChar">
    <w:name w:val="Footnote Text Char"/>
    <w:basedOn w:val="DefaultParagraphFont"/>
    <w:link w:val="FootnoteText"/>
    <w:uiPriority w:val="99"/>
    <w:rsid w:val="00C04C8A"/>
  </w:style>
  <w:style w:type="character" w:styleId="FootnoteReference">
    <w:name w:val="footnote reference"/>
    <w:basedOn w:val="DefaultParagraphFont"/>
    <w:uiPriority w:val="99"/>
    <w:unhideWhenUsed/>
    <w:rsid w:val="00C04C8A"/>
    <w:rPr>
      <w:vertAlign w:val="superscript"/>
    </w:rPr>
  </w:style>
  <w:style w:type="paragraph" w:styleId="NormalWeb">
    <w:name w:val="Normal (Web)"/>
    <w:basedOn w:val="Normal"/>
    <w:uiPriority w:val="99"/>
    <w:unhideWhenUsed/>
    <w:rsid w:val="00C04C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4C8A"/>
    <w:rPr>
      <w:color w:val="0000FF"/>
      <w:u w:val="single"/>
    </w:rPr>
  </w:style>
  <w:style w:type="character" w:styleId="Emphasis">
    <w:name w:val="Emphasis"/>
    <w:basedOn w:val="DefaultParagraphFont"/>
    <w:uiPriority w:val="20"/>
    <w:qFormat/>
    <w:rsid w:val="001510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4C8A"/>
  </w:style>
  <w:style w:type="character" w:customStyle="1" w:styleId="FootnoteTextChar">
    <w:name w:val="Footnote Text Char"/>
    <w:basedOn w:val="DefaultParagraphFont"/>
    <w:link w:val="FootnoteText"/>
    <w:uiPriority w:val="99"/>
    <w:rsid w:val="00C04C8A"/>
  </w:style>
  <w:style w:type="character" w:styleId="FootnoteReference">
    <w:name w:val="footnote reference"/>
    <w:basedOn w:val="DefaultParagraphFont"/>
    <w:uiPriority w:val="99"/>
    <w:unhideWhenUsed/>
    <w:rsid w:val="00C04C8A"/>
    <w:rPr>
      <w:vertAlign w:val="superscript"/>
    </w:rPr>
  </w:style>
  <w:style w:type="paragraph" w:styleId="NormalWeb">
    <w:name w:val="Normal (Web)"/>
    <w:basedOn w:val="Normal"/>
    <w:uiPriority w:val="99"/>
    <w:unhideWhenUsed/>
    <w:rsid w:val="00C04C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04C8A"/>
    <w:rPr>
      <w:color w:val="0000FF"/>
      <w:u w:val="single"/>
    </w:rPr>
  </w:style>
  <w:style w:type="character" w:styleId="Emphasis">
    <w:name w:val="Emphasis"/>
    <w:basedOn w:val="DefaultParagraphFont"/>
    <w:uiPriority w:val="20"/>
    <w:qFormat/>
    <w:rsid w:val="00151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434">
      <w:bodyDiv w:val="1"/>
      <w:marLeft w:val="0"/>
      <w:marRight w:val="0"/>
      <w:marTop w:val="0"/>
      <w:marBottom w:val="0"/>
      <w:divBdr>
        <w:top w:val="none" w:sz="0" w:space="0" w:color="auto"/>
        <w:left w:val="none" w:sz="0" w:space="0" w:color="auto"/>
        <w:bottom w:val="none" w:sz="0" w:space="0" w:color="auto"/>
        <w:right w:val="none" w:sz="0" w:space="0" w:color="auto"/>
      </w:divBdr>
    </w:div>
    <w:div w:id="23101127">
      <w:bodyDiv w:val="1"/>
      <w:marLeft w:val="0"/>
      <w:marRight w:val="0"/>
      <w:marTop w:val="0"/>
      <w:marBottom w:val="0"/>
      <w:divBdr>
        <w:top w:val="none" w:sz="0" w:space="0" w:color="auto"/>
        <w:left w:val="none" w:sz="0" w:space="0" w:color="auto"/>
        <w:bottom w:val="none" w:sz="0" w:space="0" w:color="auto"/>
        <w:right w:val="none" w:sz="0" w:space="0" w:color="auto"/>
      </w:divBdr>
    </w:div>
    <w:div w:id="47002245">
      <w:bodyDiv w:val="1"/>
      <w:marLeft w:val="0"/>
      <w:marRight w:val="0"/>
      <w:marTop w:val="0"/>
      <w:marBottom w:val="0"/>
      <w:divBdr>
        <w:top w:val="none" w:sz="0" w:space="0" w:color="auto"/>
        <w:left w:val="none" w:sz="0" w:space="0" w:color="auto"/>
        <w:bottom w:val="none" w:sz="0" w:space="0" w:color="auto"/>
        <w:right w:val="none" w:sz="0" w:space="0" w:color="auto"/>
      </w:divBdr>
    </w:div>
    <w:div w:id="115754655">
      <w:bodyDiv w:val="1"/>
      <w:marLeft w:val="0"/>
      <w:marRight w:val="0"/>
      <w:marTop w:val="0"/>
      <w:marBottom w:val="0"/>
      <w:divBdr>
        <w:top w:val="none" w:sz="0" w:space="0" w:color="auto"/>
        <w:left w:val="none" w:sz="0" w:space="0" w:color="auto"/>
        <w:bottom w:val="none" w:sz="0" w:space="0" w:color="auto"/>
        <w:right w:val="none" w:sz="0" w:space="0" w:color="auto"/>
      </w:divBdr>
    </w:div>
    <w:div w:id="213975328">
      <w:bodyDiv w:val="1"/>
      <w:marLeft w:val="0"/>
      <w:marRight w:val="0"/>
      <w:marTop w:val="0"/>
      <w:marBottom w:val="0"/>
      <w:divBdr>
        <w:top w:val="none" w:sz="0" w:space="0" w:color="auto"/>
        <w:left w:val="none" w:sz="0" w:space="0" w:color="auto"/>
        <w:bottom w:val="none" w:sz="0" w:space="0" w:color="auto"/>
        <w:right w:val="none" w:sz="0" w:space="0" w:color="auto"/>
      </w:divBdr>
    </w:div>
    <w:div w:id="307785326">
      <w:bodyDiv w:val="1"/>
      <w:marLeft w:val="0"/>
      <w:marRight w:val="0"/>
      <w:marTop w:val="0"/>
      <w:marBottom w:val="0"/>
      <w:divBdr>
        <w:top w:val="none" w:sz="0" w:space="0" w:color="auto"/>
        <w:left w:val="none" w:sz="0" w:space="0" w:color="auto"/>
        <w:bottom w:val="none" w:sz="0" w:space="0" w:color="auto"/>
        <w:right w:val="none" w:sz="0" w:space="0" w:color="auto"/>
      </w:divBdr>
    </w:div>
    <w:div w:id="472216537">
      <w:bodyDiv w:val="1"/>
      <w:marLeft w:val="0"/>
      <w:marRight w:val="0"/>
      <w:marTop w:val="0"/>
      <w:marBottom w:val="0"/>
      <w:divBdr>
        <w:top w:val="none" w:sz="0" w:space="0" w:color="auto"/>
        <w:left w:val="none" w:sz="0" w:space="0" w:color="auto"/>
        <w:bottom w:val="none" w:sz="0" w:space="0" w:color="auto"/>
        <w:right w:val="none" w:sz="0" w:space="0" w:color="auto"/>
      </w:divBdr>
    </w:div>
    <w:div w:id="605427383">
      <w:bodyDiv w:val="1"/>
      <w:marLeft w:val="0"/>
      <w:marRight w:val="0"/>
      <w:marTop w:val="0"/>
      <w:marBottom w:val="0"/>
      <w:divBdr>
        <w:top w:val="none" w:sz="0" w:space="0" w:color="auto"/>
        <w:left w:val="none" w:sz="0" w:space="0" w:color="auto"/>
        <w:bottom w:val="none" w:sz="0" w:space="0" w:color="auto"/>
        <w:right w:val="none" w:sz="0" w:space="0" w:color="auto"/>
      </w:divBdr>
    </w:div>
    <w:div w:id="633412436">
      <w:bodyDiv w:val="1"/>
      <w:marLeft w:val="0"/>
      <w:marRight w:val="0"/>
      <w:marTop w:val="0"/>
      <w:marBottom w:val="0"/>
      <w:divBdr>
        <w:top w:val="none" w:sz="0" w:space="0" w:color="auto"/>
        <w:left w:val="none" w:sz="0" w:space="0" w:color="auto"/>
        <w:bottom w:val="none" w:sz="0" w:space="0" w:color="auto"/>
        <w:right w:val="none" w:sz="0" w:space="0" w:color="auto"/>
      </w:divBdr>
    </w:div>
    <w:div w:id="747070117">
      <w:bodyDiv w:val="1"/>
      <w:marLeft w:val="0"/>
      <w:marRight w:val="0"/>
      <w:marTop w:val="0"/>
      <w:marBottom w:val="0"/>
      <w:divBdr>
        <w:top w:val="none" w:sz="0" w:space="0" w:color="auto"/>
        <w:left w:val="none" w:sz="0" w:space="0" w:color="auto"/>
        <w:bottom w:val="none" w:sz="0" w:space="0" w:color="auto"/>
        <w:right w:val="none" w:sz="0" w:space="0" w:color="auto"/>
      </w:divBdr>
    </w:div>
    <w:div w:id="771828086">
      <w:bodyDiv w:val="1"/>
      <w:marLeft w:val="0"/>
      <w:marRight w:val="0"/>
      <w:marTop w:val="0"/>
      <w:marBottom w:val="0"/>
      <w:divBdr>
        <w:top w:val="none" w:sz="0" w:space="0" w:color="auto"/>
        <w:left w:val="none" w:sz="0" w:space="0" w:color="auto"/>
        <w:bottom w:val="none" w:sz="0" w:space="0" w:color="auto"/>
        <w:right w:val="none" w:sz="0" w:space="0" w:color="auto"/>
      </w:divBdr>
    </w:div>
    <w:div w:id="864096795">
      <w:bodyDiv w:val="1"/>
      <w:marLeft w:val="0"/>
      <w:marRight w:val="0"/>
      <w:marTop w:val="0"/>
      <w:marBottom w:val="0"/>
      <w:divBdr>
        <w:top w:val="none" w:sz="0" w:space="0" w:color="auto"/>
        <w:left w:val="none" w:sz="0" w:space="0" w:color="auto"/>
        <w:bottom w:val="none" w:sz="0" w:space="0" w:color="auto"/>
        <w:right w:val="none" w:sz="0" w:space="0" w:color="auto"/>
      </w:divBdr>
    </w:div>
    <w:div w:id="984965970">
      <w:bodyDiv w:val="1"/>
      <w:marLeft w:val="0"/>
      <w:marRight w:val="0"/>
      <w:marTop w:val="0"/>
      <w:marBottom w:val="0"/>
      <w:divBdr>
        <w:top w:val="none" w:sz="0" w:space="0" w:color="auto"/>
        <w:left w:val="none" w:sz="0" w:space="0" w:color="auto"/>
        <w:bottom w:val="none" w:sz="0" w:space="0" w:color="auto"/>
        <w:right w:val="none" w:sz="0" w:space="0" w:color="auto"/>
      </w:divBdr>
    </w:div>
    <w:div w:id="1052651257">
      <w:bodyDiv w:val="1"/>
      <w:marLeft w:val="0"/>
      <w:marRight w:val="0"/>
      <w:marTop w:val="0"/>
      <w:marBottom w:val="0"/>
      <w:divBdr>
        <w:top w:val="none" w:sz="0" w:space="0" w:color="auto"/>
        <w:left w:val="none" w:sz="0" w:space="0" w:color="auto"/>
        <w:bottom w:val="none" w:sz="0" w:space="0" w:color="auto"/>
        <w:right w:val="none" w:sz="0" w:space="0" w:color="auto"/>
      </w:divBdr>
    </w:div>
    <w:div w:id="1135104771">
      <w:bodyDiv w:val="1"/>
      <w:marLeft w:val="0"/>
      <w:marRight w:val="0"/>
      <w:marTop w:val="0"/>
      <w:marBottom w:val="0"/>
      <w:divBdr>
        <w:top w:val="none" w:sz="0" w:space="0" w:color="auto"/>
        <w:left w:val="none" w:sz="0" w:space="0" w:color="auto"/>
        <w:bottom w:val="none" w:sz="0" w:space="0" w:color="auto"/>
        <w:right w:val="none" w:sz="0" w:space="0" w:color="auto"/>
      </w:divBdr>
    </w:div>
    <w:div w:id="1211530482">
      <w:bodyDiv w:val="1"/>
      <w:marLeft w:val="0"/>
      <w:marRight w:val="0"/>
      <w:marTop w:val="0"/>
      <w:marBottom w:val="0"/>
      <w:divBdr>
        <w:top w:val="none" w:sz="0" w:space="0" w:color="auto"/>
        <w:left w:val="none" w:sz="0" w:space="0" w:color="auto"/>
        <w:bottom w:val="none" w:sz="0" w:space="0" w:color="auto"/>
        <w:right w:val="none" w:sz="0" w:space="0" w:color="auto"/>
      </w:divBdr>
    </w:div>
    <w:div w:id="1240752598">
      <w:bodyDiv w:val="1"/>
      <w:marLeft w:val="0"/>
      <w:marRight w:val="0"/>
      <w:marTop w:val="0"/>
      <w:marBottom w:val="0"/>
      <w:divBdr>
        <w:top w:val="none" w:sz="0" w:space="0" w:color="auto"/>
        <w:left w:val="none" w:sz="0" w:space="0" w:color="auto"/>
        <w:bottom w:val="none" w:sz="0" w:space="0" w:color="auto"/>
        <w:right w:val="none" w:sz="0" w:space="0" w:color="auto"/>
      </w:divBdr>
    </w:div>
    <w:div w:id="1246766711">
      <w:bodyDiv w:val="1"/>
      <w:marLeft w:val="0"/>
      <w:marRight w:val="0"/>
      <w:marTop w:val="0"/>
      <w:marBottom w:val="0"/>
      <w:divBdr>
        <w:top w:val="none" w:sz="0" w:space="0" w:color="auto"/>
        <w:left w:val="none" w:sz="0" w:space="0" w:color="auto"/>
        <w:bottom w:val="none" w:sz="0" w:space="0" w:color="auto"/>
        <w:right w:val="none" w:sz="0" w:space="0" w:color="auto"/>
      </w:divBdr>
    </w:div>
    <w:div w:id="1259943522">
      <w:bodyDiv w:val="1"/>
      <w:marLeft w:val="0"/>
      <w:marRight w:val="0"/>
      <w:marTop w:val="0"/>
      <w:marBottom w:val="0"/>
      <w:divBdr>
        <w:top w:val="none" w:sz="0" w:space="0" w:color="auto"/>
        <w:left w:val="none" w:sz="0" w:space="0" w:color="auto"/>
        <w:bottom w:val="none" w:sz="0" w:space="0" w:color="auto"/>
        <w:right w:val="none" w:sz="0" w:space="0" w:color="auto"/>
      </w:divBdr>
    </w:div>
    <w:div w:id="1282608008">
      <w:bodyDiv w:val="1"/>
      <w:marLeft w:val="0"/>
      <w:marRight w:val="0"/>
      <w:marTop w:val="0"/>
      <w:marBottom w:val="0"/>
      <w:divBdr>
        <w:top w:val="none" w:sz="0" w:space="0" w:color="auto"/>
        <w:left w:val="none" w:sz="0" w:space="0" w:color="auto"/>
        <w:bottom w:val="none" w:sz="0" w:space="0" w:color="auto"/>
        <w:right w:val="none" w:sz="0" w:space="0" w:color="auto"/>
      </w:divBdr>
    </w:div>
    <w:div w:id="1300572589">
      <w:bodyDiv w:val="1"/>
      <w:marLeft w:val="0"/>
      <w:marRight w:val="0"/>
      <w:marTop w:val="0"/>
      <w:marBottom w:val="0"/>
      <w:divBdr>
        <w:top w:val="none" w:sz="0" w:space="0" w:color="auto"/>
        <w:left w:val="none" w:sz="0" w:space="0" w:color="auto"/>
        <w:bottom w:val="none" w:sz="0" w:space="0" w:color="auto"/>
        <w:right w:val="none" w:sz="0" w:space="0" w:color="auto"/>
      </w:divBdr>
    </w:div>
    <w:div w:id="1305349133">
      <w:bodyDiv w:val="1"/>
      <w:marLeft w:val="0"/>
      <w:marRight w:val="0"/>
      <w:marTop w:val="0"/>
      <w:marBottom w:val="0"/>
      <w:divBdr>
        <w:top w:val="none" w:sz="0" w:space="0" w:color="auto"/>
        <w:left w:val="none" w:sz="0" w:space="0" w:color="auto"/>
        <w:bottom w:val="none" w:sz="0" w:space="0" w:color="auto"/>
        <w:right w:val="none" w:sz="0" w:space="0" w:color="auto"/>
      </w:divBdr>
    </w:div>
    <w:div w:id="1343168457">
      <w:bodyDiv w:val="1"/>
      <w:marLeft w:val="0"/>
      <w:marRight w:val="0"/>
      <w:marTop w:val="0"/>
      <w:marBottom w:val="0"/>
      <w:divBdr>
        <w:top w:val="none" w:sz="0" w:space="0" w:color="auto"/>
        <w:left w:val="none" w:sz="0" w:space="0" w:color="auto"/>
        <w:bottom w:val="none" w:sz="0" w:space="0" w:color="auto"/>
        <w:right w:val="none" w:sz="0" w:space="0" w:color="auto"/>
      </w:divBdr>
    </w:div>
    <w:div w:id="1409226954">
      <w:bodyDiv w:val="1"/>
      <w:marLeft w:val="0"/>
      <w:marRight w:val="0"/>
      <w:marTop w:val="0"/>
      <w:marBottom w:val="0"/>
      <w:divBdr>
        <w:top w:val="none" w:sz="0" w:space="0" w:color="auto"/>
        <w:left w:val="none" w:sz="0" w:space="0" w:color="auto"/>
        <w:bottom w:val="none" w:sz="0" w:space="0" w:color="auto"/>
        <w:right w:val="none" w:sz="0" w:space="0" w:color="auto"/>
      </w:divBdr>
    </w:div>
    <w:div w:id="1416054897">
      <w:bodyDiv w:val="1"/>
      <w:marLeft w:val="0"/>
      <w:marRight w:val="0"/>
      <w:marTop w:val="0"/>
      <w:marBottom w:val="0"/>
      <w:divBdr>
        <w:top w:val="none" w:sz="0" w:space="0" w:color="auto"/>
        <w:left w:val="none" w:sz="0" w:space="0" w:color="auto"/>
        <w:bottom w:val="none" w:sz="0" w:space="0" w:color="auto"/>
        <w:right w:val="none" w:sz="0" w:space="0" w:color="auto"/>
      </w:divBdr>
    </w:div>
    <w:div w:id="1421752372">
      <w:bodyDiv w:val="1"/>
      <w:marLeft w:val="0"/>
      <w:marRight w:val="0"/>
      <w:marTop w:val="0"/>
      <w:marBottom w:val="0"/>
      <w:divBdr>
        <w:top w:val="none" w:sz="0" w:space="0" w:color="auto"/>
        <w:left w:val="none" w:sz="0" w:space="0" w:color="auto"/>
        <w:bottom w:val="none" w:sz="0" w:space="0" w:color="auto"/>
        <w:right w:val="none" w:sz="0" w:space="0" w:color="auto"/>
      </w:divBdr>
    </w:div>
    <w:div w:id="1437753783">
      <w:bodyDiv w:val="1"/>
      <w:marLeft w:val="0"/>
      <w:marRight w:val="0"/>
      <w:marTop w:val="0"/>
      <w:marBottom w:val="0"/>
      <w:divBdr>
        <w:top w:val="none" w:sz="0" w:space="0" w:color="auto"/>
        <w:left w:val="none" w:sz="0" w:space="0" w:color="auto"/>
        <w:bottom w:val="none" w:sz="0" w:space="0" w:color="auto"/>
        <w:right w:val="none" w:sz="0" w:space="0" w:color="auto"/>
      </w:divBdr>
    </w:div>
    <w:div w:id="1468012342">
      <w:bodyDiv w:val="1"/>
      <w:marLeft w:val="0"/>
      <w:marRight w:val="0"/>
      <w:marTop w:val="0"/>
      <w:marBottom w:val="0"/>
      <w:divBdr>
        <w:top w:val="none" w:sz="0" w:space="0" w:color="auto"/>
        <w:left w:val="none" w:sz="0" w:space="0" w:color="auto"/>
        <w:bottom w:val="none" w:sz="0" w:space="0" w:color="auto"/>
        <w:right w:val="none" w:sz="0" w:space="0" w:color="auto"/>
      </w:divBdr>
    </w:div>
    <w:div w:id="1533806785">
      <w:bodyDiv w:val="1"/>
      <w:marLeft w:val="0"/>
      <w:marRight w:val="0"/>
      <w:marTop w:val="0"/>
      <w:marBottom w:val="0"/>
      <w:divBdr>
        <w:top w:val="none" w:sz="0" w:space="0" w:color="auto"/>
        <w:left w:val="none" w:sz="0" w:space="0" w:color="auto"/>
        <w:bottom w:val="none" w:sz="0" w:space="0" w:color="auto"/>
        <w:right w:val="none" w:sz="0" w:space="0" w:color="auto"/>
      </w:divBdr>
    </w:div>
    <w:div w:id="1625774247">
      <w:bodyDiv w:val="1"/>
      <w:marLeft w:val="0"/>
      <w:marRight w:val="0"/>
      <w:marTop w:val="0"/>
      <w:marBottom w:val="0"/>
      <w:divBdr>
        <w:top w:val="none" w:sz="0" w:space="0" w:color="auto"/>
        <w:left w:val="none" w:sz="0" w:space="0" w:color="auto"/>
        <w:bottom w:val="none" w:sz="0" w:space="0" w:color="auto"/>
        <w:right w:val="none" w:sz="0" w:space="0" w:color="auto"/>
      </w:divBdr>
    </w:div>
    <w:div w:id="1797285458">
      <w:bodyDiv w:val="1"/>
      <w:marLeft w:val="0"/>
      <w:marRight w:val="0"/>
      <w:marTop w:val="0"/>
      <w:marBottom w:val="0"/>
      <w:divBdr>
        <w:top w:val="none" w:sz="0" w:space="0" w:color="auto"/>
        <w:left w:val="none" w:sz="0" w:space="0" w:color="auto"/>
        <w:bottom w:val="none" w:sz="0" w:space="0" w:color="auto"/>
        <w:right w:val="none" w:sz="0" w:space="0" w:color="auto"/>
      </w:divBdr>
    </w:div>
    <w:div w:id="1855655543">
      <w:bodyDiv w:val="1"/>
      <w:marLeft w:val="0"/>
      <w:marRight w:val="0"/>
      <w:marTop w:val="0"/>
      <w:marBottom w:val="0"/>
      <w:divBdr>
        <w:top w:val="none" w:sz="0" w:space="0" w:color="auto"/>
        <w:left w:val="none" w:sz="0" w:space="0" w:color="auto"/>
        <w:bottom w:val="none" w:sz="0" w:space="0" w:color="auto"/>
        <w:right w:val="none" w:sz="0" w:space="0" w:color="auto"/>
      </w:divBdr>
    </w:div>
    <w:div w:id="1993290975">
      <w:bodyDiv w:val="1"/>
      <w:marLeft w:val="0"/>
      <w:marRight w:val="0"/>
      <w:marTop w:val="0"/>
      <w:marBottom w:val="0"/>
      <w:divBdr>
        <w:top w:val="none" w:sz="0" w:space="0" w:color="auto"/>
        <w:left w:val="none" w:sz="0" w:space="0" w:color="auto"/>
        <w:bottom w:val="none" w:sz="0" w:space="0" w:color="auto"/>
        <w:right w:val="none" w:sz="0" w:space="0" w:color="auto"/>
      </w:divBdr>
    </w:div>
    <w:div w:id="2041397048">
      <w:bodyDiv w:val="1"/>
      <w:marLeft w:val="0"/>
      <w:marRight w:val="0"/>
      <w:marTop w:val="0"/>
      <w:marBottom w:val="0"/>
      <w:divBdr>
        <w:top w:val="none" w:sz="0" w:space="0" w:color="auto"/>
        <w:left w:val="none" w:sz="0" w:space="0" w:color="auto"/>
        <w:bottom w:val="none" w:sz="0" w:space="0" w:color="auto"/>
        <w:right w:val="none" w:sz="0" w:space="0" w:color="auto"/>
      </w:divBdr>
    </w:div>
    <w:div w:id="2094471804">
      <w:bodyDiv w:val="1"/>
      <w:marLeft w:val="0"/>
      <w:marRight w:val="0"/>
      <w:marTop w:val="0"/>
      <w:marBottom w:val="0"/>
      <w:divBdr>
        <w:top w:val="none" w:sz="0" w:space="0" w:color="auto"/>
        <w:left w:val="none" w:sz="0" w:space="0" w:color="auto"/>
        <w:bottom w:val="none" w:sz="0" w:space="0" w:color="auto"/>
        <w:right w:val="none" w:sz="0" w:space="0" w:color="auto"/>
      </w:divBdr>
    </w:div>
    <w:div w:id="2115634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50BD-51AD-A446-88B2-4EB7913B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3020</Words>
  <Characters>15464</Characters>
  <Application>Microsoft Macintosh Word</Application>
  <DocSecurity>0</DocSecurity>
  <Lines>271</Lines>
  <Paragraphs>29</Paragraphs>
  <ScaleCrop>false</ScaleCrop>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67</cp:revision>
  <dcterms:created xsi:type="dcterms:W3CDTF">2019-08-23T14:00:00Z</dcterms:created>
  <dcterms:modified xsi:type="dcterms:W3CDTF">2019-08-24T11:58:00Z</dcterms:modified>
</cp:coreProperties>
</file>