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5BFDA" w14:textId="77777777" w:rsidR="007946F8" w:rsidRDefault="007946F8" w:rsidP="007946F8">
      <w:pPr>
        <w:jc w:val="center"/>
        <w:rPr>
          <w:b/>
        </w:rPr>
      </w:pPr>
    </w:p>
    <w:p w14:paraId="7CFDC2A4" w14:textId="77777777" w:rsidR="007946F8" w:rsidRDefault="007946F8" w:rsidP="007946F8">
      <w:pPr>
        <w:jc w:val="center"/>
        <w:rPr>
          <w:b/>
        </w:rPr>
      </w:pPr>
    </w:p>
    <w:p w14:paraId="2E21137A" w14:textId="77777777" w:rsidR="007946F8" w:rsidRDefault="007946F8" w:rsidP="007946F8">
      <w:pPr>
        <w:jc w:val="center"/>
        <w:rPr>
          <w:b/>
        </w:rPr>
      </w:pPr>
    </w:p>
    <w:p w14:paraId="45F4F993" w14:textId="77777777" w:rsidR="007946F8" w:rsidRDefault="007946F8" w:rsidP="007946F8">
      <w:pPr>
        <w:jc w:val="center"/>
        <w:rPr>
          <w:b/>
        </w:rPr>
      </w:pPr>
    </w:p>
    <w:p w14:paraId="62175677" w14:textId="77777777" w:rsidR="007946F8" w:rsidRDefault="007946F8" w:rsidP="007946F8">
      <w:pPr>
        <w:jc w:val="center"/>
        <w:rPr>
          <w:b/>
        </w:rPr>
      </w:pPr>
    </w:p>
    <w:p w14:paraId="345CF9CF" w14:textId="77777777" w:rsidR="007946F8" w:rsidRDefault="007946F8" w:rsidP="007946F8">
      <w:pPr>
        <w:jc w:val="center"/>
        <w:rPr>
          <w:b/>
        </w:rPr>
      </w:pPr>
    </w:p>
    <w:p w14:paraId="6DE84739" w14:textId="77777777" w:rsidR="007946F8" w:rsidRDefault="007946F8" w:rsidP="007946F8">
      <w:pPr>
        <w:jc w:val="center"/>
        <w:rPr>
          <w:b/>
        </w:rPr>
      </w:pPr>
    </w:p>
    <w:p w14:paraId="03014B6C" w14:textId="77777777" w:rsidR="007946F8" w:rsidRDefault="007946F8" w:rsidP="007946F8">
      <w:pPr>
        <w:jc w:val="center"/>
        <w:rPr>
          <w:b/>
        </w:rPr>
      </w:pPr>
    </w:p>
    <w:p w14:paraId="63B72F7F" w14:textId="77777777" w:rsidR="007946F8" w:rsidRDefault="007946F8" w:rsidP="007946F8">
      <w:pPr>
        <w:jc w:val="center"/>
        <w:rPr>
          <w:b/>
        </w:rPr>
      </w:pPr>
    </w:p>
    <w:p w14:paraId="05A5FD00" w14:textId="77777777" w:rsidR="007946F8" w:rsidRDefault="007946F8" w:rsidP="007946F8">
      <w:pPr>
        <w:jc w:val="center"/>
        <w:rPr>
          <w:b/>
        </w:rPr>
      </w:pPr>
    </w:p>
    <w:p w14:paraId="4BE795A8" w14:textId="77777777" w:rsidR="007946F8" w:rsidRDefault="007946F8" w:rsidP="007946F8">
      <w:pPr>
        <w:jc w:val="center"/>
        <w:rPr>
          <w:b/>
        </w:rPr>
      </w:pPr>
    </w:p>
    <w:p w14:paraId="0E6531C4" w14:textId="77777777" w:rsidR="007946F8" w:rsidRDefault="007946F8" w:rsidP="007946F8">
      <w:pPr>
        <w:jc w:val="center"/>
        <w:rPr>
          <w:b/>
        </w:rPr>
      </w:pPr>
    </w:p>
    <w:p w14:paraId="48601788" w14:textId="77777777" w:rsidR="007946F8" w:rsidRDefault="007946F8" w:rsidP="007946F8">
      <w:pPr>
        <w:jc w:val="center"/>
        <w:rPr>
          <w:b/>
          <w:sz w:val="32"/>
          <w:szCs w:val="32"/>
        </w:rPr>
      </w:pPr>
      <w:r w:rsidRPr="007946F8">
        <w:rPr>
          <w:b/>
          <w:sz w:val="32"/>
          <w:szCs w:val="32"/>
        </w:rPr>
        <w:t>Whistleblowers</w:t>
      </w:r>
    </w:p>
    <w:p w14:paraId="5F601E0F" w14:textId="77777777" w:rsidR="007946F8" w:rsidRPr="007946F8" w:rsidRDefault="007946F8" w:rsidP="007946F8">
      <w:pPr>
        <w:jc w:val="center"/>
        <w:rPr>
          <w:b/>
          <w:sz w:val="32"/>
          <w:szCs w:val="32"/>
        </w:rPr>
      </w:pPr>
      <w:bookmarkStart w:id="0" w:name="_GoBack"/>
      <w:bookmarkEnd w:id="0"/>
    </w:p>
    <w:p w14:paraId="1A1F6D8D" w14:textId="77777777" w:rsidR="007946F8" w:rsidRDefault="007946F8" w:rsidP="007946F8">
      <w:pPr>
        <w:jc w:val="center"/>
      </w:pPr>
      <w:r>
        <w:t>Student’s Name</w:t>
      </w:r>
    </w:p>
    <w:p w14:paraId="3CB6821C" w14:textId="77777777" w:rsidR="007946F8" w:rsidRDefault="007946F8" w:rsidP="007946F8">
      <w:pPr>
        <w:jc w:val="center"/>
      </w:pPr>
      <w:r>
        <w:t>Professor’s Name</w:t>
      </w:r>
    </w:p>
    <w:p w14:paraId="5FB14E3C" w14:textId="77777777" w:rsidR="007946F8" w:rsidRDefault="007946F8" w:rsidP="007946F8">
      <w:pPr>
        <w:jc w:val="center"/>
      </w:pPr>
      <w:r>
        <w:t xml:space="preserve">Subject </w:t>
      </w:r>
    </w:p>
    <w:p w14:paraId="1AE2ABCE" w14:textId="6C1AE8C1" w:rsidR="007946F8" w:rsidRDefault="007946F8" w:rsidP="007946F8">
      <w:pPr>
        <w:jc w:val="center"/>
        <w:rPr>
          <w:b/>
        </w:rPr>
      </w:pPr>
      <w:r>
        <w:t>University</w:t>
      </w:r>
      <w:r>
        <w:rPr>
          <w:b/>
        </w:rPr>
        <w:br w:type="page"/>
      </w:r>
    </w:p>
    <w:p w14:paraId="55721F59" w14:textId="57BD7948" w:rsidR="00427DE6" w:rsidRPr="00F7206D" w:rsidRDefault="008D62A7" w:rsidP="008D62A7">
      <w:pPr>
        <w:rPr>
          <w:b/>
        </w:rPr>
      </w:pPr>
      <w:r w:rsidRPr="00F7206D">
        <w:rPr>
          <w:b/>
        </w:rPr>
        <w:lastRenderedPageBreak/>
        <w:t>The Employee’s Perspective</w:t>
      </w:r>
    </w:p>
    <w:p w14:paraId="162988E7" w14:textId="5876522A" w:rsidR="008D62A7" w:rsidRDefault="00F7206D" w:rsidP="00F7206D">
      <w:pPr>
        <w:jc w:val="both"/>
      </w:pPr>
      <w:r>
        <w:t xml:space="preserve">Stanley must disclose the information to his employer or any other trusted member of the organization. </w:t>
      </w:r>
      <w:r w:rsidR="00E926D8">
        <w:t xml:space="preserve">However, most of the employees hesitate to report such wrongdoings due to the fear of losing their jobs or falling victim to harassment (Lewis, 1997). </w:t>
      </w:r>
      <w:r w:rsidR="00317A64">
        <w:t xml:space="preserve">CJC (1999, p.36) recommends that employees must understand that they can be unfairly vilified for whistleblowing. </w:t>
      </w:r>
      <w:r w:rsidR="00E926D8">
        <w:t xml:space="preserve">Therefore, Stanley must first carefully examine the motives behind blowing the whistle to ensure that they are genuine and serve the public interest instead of his personal interests. Next, he must document and verify all relevant information (CJC, 1999, p.13). </w:t>
      </w:r>
      <w:r w:rsidR="00317A64">
        <w:t>Finally, he must decide to whom he should report the wrongdoing.</w:t>
      </w:r>
    </w:p>
    <w:p w14:paraId="5275CB27" w14:textId="77777777" w:rsidR="00F7206D" w:rsidRDefault="00F7206D" w:rsidP="008D62A7"/>
    <w:p w14:paraId="0BFF6AB7" w14:textId="77777777" w:rsidR="008D62A7" w:rsidRPr="00F7206D" w:rsidRDefault="008D62A7" w:rsidP="008D62A7">
      <w:pPr>
        <w:rPr>
          <w:b/>
        </w:rPr>
      </w:pPr>
      <w:r w:rsidRPr="00F7206D">
        <w:rPr>
          <w:b/>
        </w:rPr>
        <w:t>The Company’s Perspective</w:t>
      </w:r>
    </w:p>
    <w:p w14:paraId="60ADB643" w14:textId="282D9A14" w:rsidR="00F7206D" w:rsidRDefault="00534D0B" w:rsidP="00F7206D">
      <w:pPr>
        <w:jc w:val="both"/>
      </w:pPr>
      <w:r>
        <w:t>St</w:t>
      </w:r>
      <w:r w:rsidR="00F7206D">
        <w:t>rong presence and regular practice of good policies and procedures for whistleblowing encourage employees to disclose such information</w:t>
      </w:r>
      <w:r w:rsidR="00705665">
        <w:t xml:space="preserve"> (Lewis, 2001)</w:t>
      </w:r>
      <w:r w:rsidR="00F7206D">
        <w:t xml:space="preserve">. Therefore, the company, Dynamic International, </w:t>
      </w:r>
      <w:r w:rsidR="00522880">
        <w:t xml:space="preserve">must work on </w:t>
      </w:r>
      <w:r w:rsidR="0011525C">
        <w:t>both internal and external ways to tackle with such situations</w:t>
      </w:r>
      <w:r w:rsidR="004F56BF">
        <w:t xml:space="preserve"> (</w:t>
      </w:r>
      <w:proofErr w:type="spellStart"/>
      <w:r w:rsidR="004F56BF" w:rsidRPr="001757F3">
        <w:rPr>
          <w:rFonts w:ascii="Arial" w:eastAsia="Times New Roman" w:hAnsi="Arial" w:cs="Arial"/>
          <w:color w:val="222222"/>
          <w:sz w:val="20"/>
          <w:szCs w:val="20"/>
          <w:shd w:val="clear" w:color="auto" w:fill="FFFFFF"/>
        </w:rPr>
        <w:t>Vandekerckhov</w:t>
      </w:r>
      <w:r w:rsidR="004F56BF">
        <w:rPr>
          <w:rFonts w:ascii="Arial" w:eastAsia="Times New Roman" w:hAnsi="Arial" w:cs="Arial"/>
          <w:color w:val="222222"/>
          <w:sz w:val="20"/>
          <w:szCs w:val="20"/>
          <w:shd w:val="clear" w:color="auto" w:fill="FFFFFF"/>
        </w:rPr>
        <w:t>e</w:t>
      </w:r>
      <w:proofErr w:type="spellEnd"/>
      <w:r w:rsidR="004F56BF">
        <w:rPr>
          <w:rFonts w:ascii="Arial" w:eastAsia="Times New Roman" w:hAnsi="Arial" w:cs="Arial"/>
          <w:color w:val="222222"/>
          <w:sz w:val="20"/>
          <w:szCs w:val="20"/>
          <w:shd w:val="clear" w:color="auto" w:fill="FFFFFF"/>
        </w:rPr>
        <w:t>, 2016)</w:t>
      </w:r>
      <w:r w:rsidR="0011525C">
        <w:t xml:space="preserve">. </w:t>
      </w:r>
    </w:p>
    <w:p w14:paraId="4A0FAF9B" w14:textId="77777777" w:rsidR="008D62A7" w:rsidRDefault="008D62A7" w:rsidP="008D62A7"/>
    <w:p w14:paraId="56D0B456" w14:textId="77777777" w:rsidR="008D62A7" w:rsidRPr="00F7206D" w:rsidRDefault="008D62A7" w:rsidP="008D62A7">
      <w:pPr>
        <w:rPr>
          <w:b/>
        </w:rPr>
      </w:pPr>
      <w:r w:rsidRPr="00F7206D">
        <w:rPr>
          <w:b/>
        </w:rPr>
        <w:t>The Legal Perspective</w:t>
      </w:r>
    </w:p>
    <w:p w14:paraId="1FA32EB8" w14:textId="10A9B28C" w:rsidR="008D62A7" w:rsidRDefault="00534D0B" w:rsidP="00534D0B">
      <w:pPr>
        <w:jc w:val="both"/>
      </w:pPr>
      <w:r>
        <w:t>Many such ways through which an employee can do whistleblowing without getting fired have already been described in the law</w:t>
      </w:r>
      <w:r w:rsidR="00705665">
        <w:t xml:space="preserve"> (</w:t>
      </w:r>
      <w:proofErr w:type="spellStart"/>
      <w:r w:rsidR="00705665">
        <w:t>Perritt</w:t>
      </w:r>
      <w:proofErr w:type="spellEnd"/>
      <w:r w:rsidR="00705665">
        <w:t>, 2006)</w:t>
      </w:r>
      <w:r>
        <w:t>. One of them is Prescribed Persons; they are mainly professional bodies and regulators</w:t>
      </w:r>
      <w:r w:rsidR="001B43CB">
        <w:t xml:space="preserve"> (Lewis &amp; </w:t>
      </w:r>
      <w:proofErr w:type="spellStart"/>
      <w:r w:rsidR="001B43CB">
        <w:t>Uys</w:t>
      </w:r>
      <w:proofErr w:type="spellEnd"/>
      <w:r w:rsidR="001B43CB">
        <w:t>, 2007)</w:t>
      </w:r>
      <w:r>
        <w:t xml:space="preserve">. It is an external disclosure option. </w:t>
      </w:r>
      <w:r w:rsidR="00FA23C7">
        <w:t>If the employee experience unfair tr</w:t>
      </w:r>
      <w:r w:rsidR="00EA28EB">
        <w:t xml:space="preserve">eatment on blowing a whistle, </w:t>
      </w:r>
      <w:r w:rsidR="00FA23C7">
        <w:t>he</w:t>
      </w:r>
      <w:r w:rsidR="00EA28EB">
        <w:t>/she</w:t>
      </w:r>
      <w:r w:rsidR="00FA23C7">
        <w:t xml:space="preserve"> can take the matter to employment tribunal as well. </w:t>
      </w:r>
    </w:p>
    <w:p w14:paraId="52441CC3" w14:textId="77777777" w:rsidR="008D62A7" w:rsidRDefault="008D62A7" w:rsidP="008D62A7"/>
    <w:p w14:paraId="1A104F77" w14:textId="77777777" w:rsidR="008D62A7" w:rsidRPr="00F7206D" w:rsidRDefault="008D62A7" w:rsidP="008D62A7">
      <w:pPr>
        <w:rPr>
          <w:b/>
        </w:rPr>
      </w:pPr>
      <w:r w:rsidRPr="00F7206D">
        <w:rPr>
          <w:b/>
        </w:rPr>
        <w:t>The Ethical Perspective</w:t>
      </w:r>
    </w:p>
    <w:p w14:paraId="7EC54DE9" w14:textId="41AB8549" w:rsidR="008D62A7" w:rsidRDefault="00293E75" w:rsidP="00030BFA">
      <w:pPr>
        <w:jc w:val="both"/>
      </w:pPr>
      <w:r>
        <w:t xml:space="preserve">Whistleblowing has a strong ethical perspective. It brings loyalty and fairness in a conflict. </w:t>
      </w:r>
      <w:r w:rsidR="00030BFA">
        <w:t>However, the whistleblower must act reasonably</w:t>
      </w:r>
      <w:r w:rsidR="00135BB8">
        <w:t xml:space="preserve"> (</w:t>
      </w:r>
      <w:r w:rsidR="00135BB8" w:rsidRPr="001757F3">
        <w:rPr>
          <w:rFonts w:ascii="Arial" w:eastAsia="Times New Roman" w:hAnsi="Arial" w:cs="Arial"/>
          <w:color w:val="222222"/>
          <w:sz w:val="20"/>
          <w:szCs w:val="20"/>
          <w:shd w:val="clear" w:color="auto" w:fill="FFFFFF"/>
        </w:rPr>
        <w:t>Beauchamp,</w:t>
      </w:r>
      <w:r w:rsidR="0077624A">
        <w:rPr>
          <w:rFonts w:ascii="Arial" w:eastAsia="Times New Roman" w:hAnsi="Arial" w:cs="Arial"/>
          <w:color w:val="222222"/>
          <w:sz w:val="20"/>
          <w:szCs w:val="20"/>
          <w:shd w:val="clear" w:color="auto" w:fill="FFFFFF"/>
        </w:rPr>
        <w:t xml:space="preserve"> </w:t>
      </w:r>
      <w:r w:rsidR="00135BB8">
        <w:rPr>
          <w:rFonts w:ascii="Arial" w:eastAsia="Times New Roman" w:hAnsi="Arial" w:cs="Arial"/>
          <w:color w:val="222222"/>
          <w:sz w:val="20"/>
          <w:szCs w:val="20"/>
          <w:shd w:val="clear" w:color="auto" w:fill="FFFFFF"/>
        </w:rPr>
        <w:t>2004)</w:t>
      </w:r>
      <w:r w:rsidR="00030BFA">
        <w:t>. He must only act when he firmly believes that not blowing the whistle will bring more harm than good to the organization</w:t>
      </w:r>
      <w:r w:rsidR="0077624A">
        <w:t xml:space="preserve"> (Chiu, 2003)</w:t>
      </w:r>
      <w:r w:rsidR="00030BFA">
        <w:t xml:space="preserve">. Therefore, Stanley must confirm his motives before reporting the wrongdoing. </w:t>
      </w:r>
    </w:p>
    <w:p w14:paraId="724AE0FF" w14:textId="77777777" w:rsidR="008D62A7" w:rsidRDefault="008D62A7" w:rsidP="008D62A7"/>
    <w:p w14:paraId="3DA6927E" w14:textId="77777777" w:rsidR="008D62A7" w:rsidRPr="00F7206D" w:rsidRDefault="008D62A7" w:rsidP="008D62A7">
      <w:pPr>
        <w:rPr>
          <w:b/>
        </w:rPr>
      </w:pPr>
      <w:r w:rsidRPr="00F7206D">
        <w:rPr>
          <w:b/>
        </w:rPr>
        <w:t xml:space="preserve">The Business Perspective </w:t>
      </w:r>
    </w:p>
    <w:p w14:paraId="3A4ECF5B" w14:textId="61B3EB67" w:rsidR="008D62A7" w:rsidRDefault="007C7A7D" w:rsidP="001F0B95">
      <w:pPr>
        <w:jc w:val="both"/>
      </w:pPr>
      <w:r>
        <w:t xml:space="preserve">Whistleblowing is a sign of healthy businesses. </w:t>
      </w:r>
      <w:r w:rsidR="00FC141C">
        <w:t xml:space="preserve">It shows that the businesses are successfully making use of the information being provided to them through the whistleblowers. Also, it indicates presence of strong code of conduct within the company. </w:t>
      </w:r>
    </w:p>
    <w:p w14:paraId="4C6D5910" w14:textId="77777777" w:rsidR="00DD67D6" w:rsidRDefault="00DD67D6" w:rsidP="008D62A7"/>
    <w:p w14:paraId="19FE939B" w14:textId="77777777" w:rsidR="00DD67D6" w:rsidRDefault="00DD67D6" w:rsidP="008D62A7"/>
    <w:p w14:paraId="56715E26" w14:textId="77777777" w:rsidR="00DD67D6" w:rsidRDefault="00DD67D6" w:rsidP="008D62A7"/>
    <w:p w14:paraId="5635C486" w14:textId="67C13805" w:rsidR="00DD67D6" w:rsidRDefault="00DD67D6">
      <w:r>
        <w:br w:type="page"/>
      </w:r>
    </w:p>
    <w:p w14:paraId="7A8F14DE" w14:textId="2217BA65" w:rsidR="00DD67D6" w:rsidRDefault="00DD67D6" w:rsidP="002836A9">
      <w:pPr>
        <w:jc w:val="center"/>
        <w:rPr>
          <w:b/>
        </w:rPr>
      </w:pPr>
      <w:r>
        <w:rPr>
          <w:b/>
        </w:rPr>
        <w:lastRenderedPageBreak/>
        <w:t>References</w:t>
      </w:r>
    </w:p>
    <w:p w14:paraId="2C504021" w14:textId="77777777" w:rsidR="002836A9" w:rsidRPr="001757F3" w:rsidRDefault="002836A9" w:rsidP="002836A9">
      <w:pPr>
        <w:ind w:left="720" w:hanging="720"/>
      </w:pPr>
    </w:p>
    <w:p w14:paraId="1DB8F547" w14:textId="77777777" w:rsidR="002836A9" w:rsidRPr="001757F3" w:rsidRDefault="002836A9" w:rsidP="002836A9">
      <w:pPr>
        <w:ind w:left="720" w:hanging="720"/>
      </w:pPr>
      <w:r w:rsidRPr="001757F3">
        <w:t>Beauchamp, T. L., Bowie, N. E., &amp; Arnold, D. G. (Eds.). (2004)</w:t>
      </w:r>
      <w:proofErr w:type="gramStart"/>
      <w:r w:rsidRPr="001757F3">
        <w:t>. Ethical theory and business.</w:t>
      </w:r>
      <w:proofErr w:type="gramEnd"/>
    </w:p>
    <w:p w14:paraId="5BA65C9D" w14:textId="77777777" w:rsidR="002836A9" w:rsidRPr="001757F3" w:rsidRDefault="002836A9" w:rsidP="002836A9">
      <w:pPr>
        <w:ind w:left="720" w:hanging="720"/>
      </w:pPr>
      <w:r w:rsidRPr="001757F3">
        <w:t>Chiu, R. K. (2003). Ethical judgment and whistleblowing intention: Examining the moderating role of locus of control. </w:t>
      </w:r>
      <w:proofErr w:type="gramStart"/>
      <w:r w:rsidRPr="001757F3">
        <w:t>Journal of business ethics, 43(1-2), 65-74.</w:t>
      </w:r>
      <w:proofErr w:type="gramEnd"/>
    </w:p>
    <w:p w14:paraId="183BD93D" w14:textId="77777777" w:rsidR="002836A9" w:rsidRPr="001757F3" w:rsidRDefault="002836A9" w:rsidP="002836A9">
      <w:pPr>
        <w:ind w:left="720" w:hanging="720"/>
      </w:pPr>
      <w:r w:rsidRPr="001757F3">
        <w:t xml:space="preserve">CJC. </w:t>
      </w:r>
      <w:proofErr w:type="gramStart"/>
      <w:r w:rsidRPr="001757F3">
        <w:t>Criminal Justice Commission, 1999.</w:t>
      </w:r>
      <w:proofErr w:type="gramEnd"/>
      <w:r w:rsidRPr="001757F3">
        <w:t xml:space="preserve"> Available at: </w:t>
      </w:r>
      <w:hyperlink r:id="rId5" w:history="1">
        <w:r w:rsidRPr="001757F3">
          <w:t>http://www.ccc.qld.gov.au/research-and-publications/browse-cjc-publications</w:t>
        </w:r>
      </w:hyperlink>
      <w:r w:rsidRPr="001757F3">
        <w:t xml:space="preserve"> (Accessed: 2nd June 2019). </w:t>
      </w:r>
    </w:p>
    <w:p w14:paraId="4B09C9B5" w14:textId="77777777" w:rsidR="002836A9" w:rsidRPr="001757F3" w:rsidRDefault="002836A9" w:rsidP="002836A9">
      <w:pPr>
        <w:ind w:left="720" w:hanging="720"/>
      </w:pPr>
      <w:r w:rsidRPr="001757F3">
        <w:t>Lewis, D. (1997). Whistleblowing at work: ingredients for an effective procedure. </w:t>
      </w:r>
      <w:proofErr w:type="gramStart"/>
      <w:r w:rsidRPr="001757F3">
        <w:t>Human Resource Management Journal, 7(4), 5-11.</w:t>
      </w:r>
      <w:proofErr w:type="gramEnd"/>
    </w:p>
    <w:p w14:paraId="518C08B5" w14:textId="77777777" w:rsidR="002836A9" w:rsidRPr="001757F3" w:rsidRDefault="002836A9" w:rsidP="002836A9">
      <w:pPr>
        <w:ind w:left="720" w:hanging="720"/>
      </w:pPr>
      <w:r w:rsidRPr="001757F3">
        <w:t>Lewis, D. (2001). Whistleblowing at work: on what principles should legislation be based</w:t>
      </w:r>
      <w:proofErr w:type="gramStart"/>
      <w:r w:rsidRPr="001757F3">
        <w:t>?.</w:t>
      </w:r>
      <w:proofErr w:type="gramEnd"/>
      <w:r w:rsidRPr="001757F3">
        <w:t> </w:t>
      </w:r>
      <w:proofErr w:type="gramStart"/>
      <w:r w:rsidRPr="001757F3">
        <w:t>Industrial Law Journal, 30(2), 169-193.</w:t>
      </w:r>
      <w:proofErr w:type="gramEnd"/>
    </w:p>
    <w:p w14:paraId="0436ED70" w14:textId="77777777" w:rsidR="002836A9" w:rsidRPr="001757F3" w:rsidRDefault="002836A9" w:rsidP="002836A9">
      <w:pPr>
        <w:ind w:left="720" w:hanging="720"/>
      </w:pPr>
      <w:r w:rsidRPr="001757F3">
        <w:t xml:space="preserve">Lewis, D., &amp; </w:t>
      </w:r>
      <w:proofErr w:type="spellStart"/>
      <w:r w:rsidRPr="001757F3">
        <w:t>Uys</w:t>
      </w:r>
      <w:proofErr w:type="spellEnd"/>
      <w:r w:rsidRPr="001757F3">
        <w:t>, T. (2007). Protecting whistleblowers at work: A comparison of the impact of British and South African legislation. </w:t>
      </w:r>
      <w:proofErr w:type="gramStart"/>
      <w:r w:rsidRPr="001757F3">
        <w:t>Managerial Law, 49(3), 76-92.</w:t>
      </w:r>
      <w:proofErr w:type="gramEnd"/>
    </w:p>
    <w:p w14:paraId="4A3F8175" w14:textId="77777777" w:rsidR="002836A9" w:rsidRPr="001757F3" w:rsidRDefault="002836A9" w:rsidP="002836A9">
      <w:pPr>
        <w:ind w:left="720" w:hanging="720"/>
      </w:pPr>
      <w:proofErr w:type="spellStart"/>
      <w:r w:rsidRPr="001757F3">
        <w:t>Perritt</w:t>
      </w:r>
      <w:proofErr w:type="spellEnd"/>
      <w:r w:rsidRPr="001757F3">
        <w:t>, H. H. (2006). </w:t>
      </w:r>
      <w:proofErr w:type="gramStart"/>
      <w:r w:rsidRPr="001757F3">
        <w:t>Employee dismissal law and practice.</w:t>
      </w:r>
      <w:proofErr w:type="gramEnd"/>
      <w:r w:rsidRPr="001757F3">
        <w:t xml:space="preserve"> </w:t>
      </w:r>
      <w:proofErr w:type="gramStart"/>
      <w:r w:rsidRPr="001757F3">
        <w:t>Aspen Publishers Online.</w:t>
      </w:r>
      <w:proofErr w:type="gramEnd"/>
    </w:p>
    <w:p w14:paraId="01563FF2" w14:textId="77777777" w:rsidR="002836A9" w:rsidRPr="001757F3" w:rsidRDefault="002836A9" w:rsidP="002836A9">
      <w:pPr>
        <w:ind w:left="720" w:hanging="720"/>
      </w:pPr>
      <w:proofErr w:type="spellStart"/>
      <w:r w:rsidRPr="001757F3">
        <w:t>Vandekerckhove</w:t>
      </w:r>
      <w:proofErr w:type="spellEnd"/>
      <w:r w:rsidRPr="001757F3">
        <w:t xml:space="preserve">, W. (2016). Whistleblowing and organizational social responsibility: A global assessment. </w:t>
      </w:r>
      <w:proofErr w:type="spellStart"/>
      <w:r w:rsidRPr="001757F3">
        <w:t>Routledge</w:t>
      </w:r>
      <w:proofErr w:type="spellEnd"/>
      <w:r w:rsidRPr="001757F3">
        <w:t>.</w:t>
      </w:r>
    </w:p>
    <w:p w14:paraId="2117E391" w14:textId="77777777" w:rsidR="00DD67D6" w:rsidRPr="00DD67D6" w:rsidRDefault="00DD67D6" w:rsidP="008D62A7"/>
    <w:sectPr w:rsidR="00DD67D6" w:rsidRPr="00DD67D6"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4B"/>
    <w:rsid w:val="00030BFA"/>
    <w:rsid w:val="0011525C"/>
    <w:rsid w:val="00135BB8"/>
    <w:rsid w:val="001B43CB"/>
    <w:rsid w:val="001F0B95"/>
    <w:rsid w:val="002043D8"/>
    <w:rsid w:val="002836A9"/>
    <w:rsid w:val="00293E75"/>
    <w:rsid w:val="00317A64"/>
    <w:rsid w:val="003601B0"/>
    <w:rsid w:val="00427DE6"/>
    <w:rsid w:val="004378F8"/>
    <w:rsid w:val="004F56BF"/>
    <w:rsid w:val="00522880"/>
    <w:rsid w:val="00534D0B"/>
    <w:rsid w:val="006D0353"/>
    <w:rsid w:val="00705665"/>
    <w:rsid w:val="0077624A"/>
    <w:rsid w:val="007946F8"/>
    <w:rsid w:val="007C7A7D"/>
    <w:rsid w:val="008D62A7"/>
    <w:rsid w:val="00907D54"/>
    <w:rsid w:val="00910AFA"/>
    <w:rsid w:val="0097124B"/>
    <w:rsid w:val="00AB5890"/>
    <w:rsid w:val="00CA59C8"/>
    <w:rsid w:val="00DD67D6"/>
    <w:rsid w:val="00DE1435"/>
    <w:rsid w:val="00E926D8"/>
    <w:rsid w:val="00EA28EB"/>
    <w:rsid w:val="00F7206D"/>
    <w:rsid w:val="00FA23C7"/>
    <w:rsid w:val="00FC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76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124B"/>
    <w:rPr>
      <w:i/>
      <w:iCs/>
    </w:rPr>
  </w:style>
  <w:style w:type="character" w:styleId="Hyperlink">
    <w:name w:val="Hyperlink"/>
    <w:basedOn w:val="DefaultParagraphFont"/>
    <w:uiPriority w:val="99"/>
    <w:unhideWhenUsed/>
    <w:rsid w:val="00AB58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124B"/>
    <w:rPr>
      <w:i/>
      <w:iCs/>
    </w:rPr>
  </w:style>
  <w:style w:type="character" w:styleId="Hyperlink">
    <w:name w:val="Hyperlink"/>
    <w:basedOn w:val="DefaultParagraphFont"/>
    <w:uiPriority w:val="99"/>
    <w:unhideWhenUsed/>
    <w:rsid w:val="00AB5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4663">
      <w:bodyDiv w:val="1"/>
      <w:marLeft w:val="0"/>
      <w:marRight w:val="0"/>
      <w:marTop w:val="0"/>
      <w:marBottom w:val="0"/>
      <w:divBdr>
        <w:top w:val="none" w:sz="0" w:space="0" w:color="auto"/>
        <w:left w:val="none" w:sz="0" w:space="0" w:color="auto"/>
        <w:bottom w:val="none" w:sz="0" w:space="0" w:color="auto"/>
        <w:right w:val="none" w:sz="0" w:space="0" w:color="auto"/>
      </w:divBdr>
    </w:div>
    <w:div w:id="826477201">
      <w:bodyDiv w:val="1"/>
      <w:marLeft w:val="0"/>
      <w:marRight w:val="0"/>
      <w:marTop w:val="0"/>
      <w:marBottom w:val="0"/>
      <w:divBdr>
        <w:top w:val="none" w:sz="0" w:space="0" w:color="auto"/>
        <w:left w:val="none" w:sz="0" w:space="0" w:color="auto"/>
        <w:bottom w:val="none" w:sz="0" w:space="0" w:color="auto"/>
        <w:right w:val="none" w:sz="0" w:space="0" w:color="auto"/>
      </w:divBdr>
    </w:div>
    <w:div w:id="1115056996">
      <w:bodyDiv w:val="1"/>
      <w:marLeft w:val="0"/>
      <w:marRight w:val="0"/>
      <w:marTop w:val="0"/>
      <w:marBottom w:val="0"/>
      <w:divBdr>
        <w:top w:val="none" w:sz="0" w:space="0" w:color="auto"/>
        <w:left w:val="none" w:sz="0" w:space="0" w:color="auto"/>
        <w:bottom w:val="none" w:sz="0" w:space="0" w:color="auto"/>
        <w:right w:val="none" w:sz="0" w:space="0" w:color="auto"/>
      </w:divBdr>
    </w:div>
    <w:div w:id="1453010442">
      <w:bodyDiv w:val="1"/>
      <w:marLeft w:val="0"/>
      <w:marRight w:val="0"/>
      <w:marTop w:val="0"/>
      <w:marBottom w:val="0"/>
      <w:divBdr>
        <w:top w:val="none" w:sz="0" w:space="0" w:color="auto"/>
        <w:left w:val="none" w:sz="0" w:space="0" w:color="auto"/>
        <w:bottom w:val="none" w:sz="0" w:space="0" w:color="auto"/>
        <w:right w:val="none" w:sz="0" w:space="0" w:color="auto"/>
      </w:divBdr>
    </w:div>
    <w:div w:id="1690182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cc.qld.gov.au/research-and-publications/browse-cjc-publica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505</Words>
  <Characters>2883</Characters>
  <Application>Microsoft Macintosh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44</cp:revision>
  <dcterms:created xsi:type="dcterms:W3CDTF">2019-06-02T03:55:00Z</dcterms:created>
  <dcterms:modified xsi:type="dcterms:W3CDTF">2019-06-02T06:12:00Z</dcterms:modified>
</cp:coreProperties>
</file>