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46E" w:rsidRDefault="009124BE" w:rsidP="009124BE">
      <w:pPr>
        <w:pStyle w:val="Heading2"/>
      </w:pPr>
      <w:r>
        <w:t>Evaluation Design:</w:t>
      </w:r>
    </w:p>
    <w:p w:rsidR="00642CD4" w:rsidRDefault="009124BE" w:rsidP="004D17BD">
      <w:r>
        <w:t>In this paper</w:t>
      </w:r>
      <w:r w:rsidR="006259BB">
        <w:t xml:space="preserve">, a tool for evaluation of health program has been used called Program Logic. With the help of Program Logic you get clear results about the functionality of both operators and obstacles in Pap nurse activities. </w:t>
      </w:r>
      <w:r w:rsidR="004D17BD">
        <w:t xml:space="preserve">Program Logic is a projects hypothesis of activity; it is a hypothesis about the </w:t>
      </w:r>
      <w:r w:rsidR="002C51EE">
        <w:t xml:space="preserve">spontaneous correlation </w:t>
      </w:r>
      <w:r w:rsidR="004D17BD">
        <w:t xml:space="preserve">among the different parts </w:t>
      </w:r>
      <w:r w:rsidR="002C51EE">
        <w:t>in a project</w:t>
      </w:r>
      <w:r w:rsidR="002B7F31">
        <w:t xml:space="preserve"> it joins assets as well as</w:t>
      </w:r>
      <w:r w:rsidR="004D17BD">
        <w:t xml:space="preserve"> exercises with yields what's more, results'</w:t>
      </w:r>
      <w:sdt>
        <w:sdtPr>
          <w:id w:val="1584326856"/>
          <w:citation/>
        </w:sdtPr>
        <w:sdtEndPr/>
        <w:sdtContent>
          <w:r w:rsidR="004D17BD">
            <w:fldChar w:fldCharType="begin"/>
          </w:r>
          <w:r w:rsidR="004D17BD">
            <w:instrText xml:space="preserve">CITATION Fun \l 1033 </w:instrText>
          </w:r>
          <w:r w:rsidR="004D17BD">
            <w:fldChar w:fldCharType="separate"/>
          </w:r>
          <w:r w:rsidR="00D92EC5">
            <w:rPr>
              <w:noProof/>
            </w:rPr>
            <w:t xml:space="preserve"> </w:t>
          </w:r>
          <w:r w:rsidR="00D92EC5" w:rsidRPr="00D92EC5">
            <w:rPr>
              <w:noProof/>
            </w:rPr>
            <w:t>(Funnell, 1997)</w:t>
          </w:r>
          <w:r w:rsidR="004D17BD">
            <w:fldChar w:fldCharType="end"/>
          </w:r>
        </w:sdtContent>
      </w:sdt>
      <w:r w:rsidR="004D17BD">
        <w:t xml:space="preserve">. </w:t>
      </w:r>
      <w:r w:rsidR="004D17BD" w:rsidRPr="004D17BD">
        <w:t>The motivation behind a rationale model is to indicate how a program functions and to draw out the connections between assets, exercises, and results</w:t>
      </w:r>
      <w:r w:rsidR="004D17BD">
        <w:t xml:space="preserve">. It has two main objectives. One objective is for planning and the second is for interpretation or appraisal. </w:t>
      </w:r>
    </w:p>
    <w:p w:rsidR="00642CD4" w:rsidRDefault="00642CD4" w:rsidP="004D17BD">
      <w:r>
        <w:t>The program logic</w:t>
      </w:r>
      <w:r w:rsidRPr="00642CD4">
        <w:t xml:space="preserve"> model created for the PN Pap motivating force program is an apparatus supporting the conceptualization of PN pap action for both the estimation and assessment of PN Pap action results. It conveys the goal of the motivator program to Pap program partners, for example, GPs, PNs, governments and strategy creators</w:t>
      </w:r>
      <w:r w:rsidR="00417607">
        <w:t>.</w:t>
      </w:r>
      <w:r w:rsidR="00D92EC5">
        <w:t xml:space="preserve"> </w:t>
      </w:r>
      <w:sdt>
        <w:sdtPr>
          <w:id w:val="-386416923"/>
          <w:citation/>
        </w:sdtPr>
        <w:sdtEndPr/>
        <w:sdtContent>
          <w:r w:rsidR="00D92EC5">
            <w:fldChar w:fldCharType="begin"/>
          </w:r>
          <w:r w:rsidR="00D92EC5">
            <w:instrText xml:space="preserve"> CITATION Chr10 \l 1033 </w:instrText>
          </w:r>
          <w:r w:rsidR="00D92EC5">
            <w:fldChar w:fldCharType="separate"/>
          </w:r>
          <w:r w:rsidR="00D92EC5" w:rsidRPr="00D92EC5">
            <w:rPr>
              <w:noProof/>
            </w:rPr>
            <w:t>(Hallinan, 2010)</w:t>
          </w:r>
          <w:r w:rsidR="00D92EC5">
            <w:fldChar w:fldCharType="end"/>
          </w:r>
        </w:sdtContent>
      </w:sdt>
    </w:p>
    <w:p w:rsidR="000F3BEA" w:rsidRDefault="000F3BEA" w:rsidP="004D17BD"/>
    <w:p w:rsidR="00642CD4" w:rsidRDefault="00642CD4" w:rsidP="00642CD4">
      <w:pPr>
        <w:pStyle w:val="Heading2"/>
      </w:pPr>
      <w:r>
        <w:t>Evidence Resources:</w:t>
      </w:r>
    </w:p>
    <w:p w:rsidR="003D3D7C" w:rsidRDefault="003D3D7C" w:rsidP="002E1B73">
      <w:r>
        <w:t xml:space="preserve">With the help of Australian data from the timespan of 2001 to 2009, the monitoring and evaluation of Pap nurse was done by the fuse of program rationale assessment and the utilization of a detailed study plan. </w:t>
      </w:r>
      <w:r w:rsidR="00D63500">
        <w:t>As there was a need of observational and circumstantial data, the researchers performed dataset detailed study along with a literature review. With the help of medical keywords and terms like “Pap nurse program”, “general practice initiatives” and practice nurse”, data was retrieved from websites like “Australian Commonwealth and State Government”, “Department of Health and Ageing”, “Australian Institute of Health and Welfare”, and the “National Health and Medical Research Council Victorian Cervical Cytology Register”.</w:t>
      </w:r>
      <w:r w:rsidR="00FF34FE">
        <w:t xml:space="preserve"> </w:t>
      </w:r>
      <w:r w:rsidR="002E1B73">
        <w:t>For a widely detailed and descriptive research, some secondary sources were also used. Program logic guides assessment through the ID of key program components pursued by the enunciation of how these components are relied upon to identify with one another.</w:t>
      </w:r>
      <w:sdt>
        <w:sdtPr>
          <w:id w:val="-569885975"/>
          <w:citation/>
        </w:sdtPr>
        <w:sdtEndPr/>
        <w:sdtContent>
          <w:r w:rsidR="00E9742B">
            <w:fldChar w:fldCharType="begin"/>
          </w:r>
          <w:r w:rsidR="00E9742B">
            <w:instrText xml:space="preserve"> CITATION Les01 \l 1033 </w:instrText>
          </w:r>
          <w:r w:rsidR="00E9742B">
            <w:fldChar w:fldCharType="separate"/>
          </w:r>
          <w:r w:rsidR="00D92EC5">
            <w:rPr>
              <w:noProof/>
            </w:rPr>
            <w:t xml:space="preserve"> </w:t>
          </w:r>
          <w:r w:rsidR="00D92EC5" w:rsidRPr="00D92EC5">
            <w:rPr>
              <w:noProof/>
            </w:rPr>
            <w:t>(Leslie J. Cooksy, 2001)</w:t>
          </w:r>
          <w:r w:rsidR="00E9742B">
            <w:fldChar w:fldCharType="end"/>
          </w:r>
        </w:sdtContent>
      </w:sdt>
    </w:p>
    <w:p w:rsidR="00D92EC5" w:rsidRDefault="00D92EC5" w:rsidP="002E1B73">
      <w:r>
        <w:t xml:space="preserve">Instead of using hypothesis framework, quantitaive data analysis has also been done </w:t>
      </w:r>
      <w:r w:rsidRPr="00D92EC5">
        <w:t>with the end goal of estimation of planned outcomes against the genuine results</w:t>
      </w:r>
      <w:r>
        <w:t>. Because of the addition of qualitative results, there has been found a relationship between social science theory and program interpretation.</w:t>
      </w:r>
      <w:sdt>
        <w:sdtPr>
          <w:id w:val="186640520"/>
          <w:citation/>
        </w:sdtPr>
        <w:sdtEndPr/>
        <w:sdtContent>
          <w:r>
            <w:fldChar w:fldCharType="begin"/>
          </w:r>
          <w:r>
            <w:instrText xml:space="preserve"> CITATION Les01 \l 1033 </w:instrText>
          </w:r>
          <w:r>
            <w:fldChar w:fldCharType="separate"/>
          </w:r>
          <w:r>
            <w:rPr>
              <w:noProof/>
            </w:rPr>
            <w:t xml:space="preserve"> </w:t>
          </w:r>
          <w:r w:rsidRPr="00D92EC5">
            <w:rPr>
              <w:noProof/>
            </w:rPr>
            <w:t>(Leslie J. Cooksy, 2001)</w:t>
          </w:r>
          <w:r>
            <w:fldChar w:fldCharType="end"/>
          </w:r>
        </w:sdtContent>
      </w:sdt>
    </w:p>
    <w:p w:rsidR="000F3BEA" w:rsidRDefault="000F3BEA" w:rsidP="002E1B73"/>
    <w:p w:rsidR="00E6364B" w:rsidRDefault="00E6364B" w:rsidP="00E6364B">
      <w:pPr>
        <w:pStyle w:val="Heading2"/>
      </w:pPr>
      <w:r>
        <w:t>Conclusion:</w:t>
      </w:r>
    </w:p>
    <w:p w:rsidR="00E6364B" w:rsidRDefault="00E6364B" w:rsidP="00E6364B">
      <w:r>
        <w:t xml:space="preserve">By the end of the paper, a conclusion has been established that no solution was found for the obstacles that come in the way of Pap nurse activities and </w:t>
      </w:r>
      <w:r w:rsidR="004E022A">
        <w:t>also, no other second program as an alternative has been offered. Without regard to what it does not offer</w:t>
      </w:r>
      <w:r w:rsidR="004E022A" w:rsidRPr="004E022A">
        <w:t>, it provides the r</w:t>
      </w:r>
      <w:r w:rsidR="004E022A">
        <w:t>eaders</w:t>
      </w:r>
      <w:r w:rsidR="004E022A" w:rsidRPr="004E022A">
        <w:t xml:space="preserve"> with bits of knowledge into the universe of general practice using a rationale guide to make an expanded familiarity with the substance, settings and builds in the general practice field.</w:t>
      </w:r>
      <w:r w:rsidR="00DC5E1A">
        <w:t xml:space="preserve"> </w:t>
      </w:r>
      <w:r w:rsidR="00DC5E1A" w:rsidRPr="00DC5E1A">
        <w:t xml:space="preserve">The application and investigation of program </w:t>
      </w:r>
      <w:r w:rsidR="00DC5E1A">
        <w:t>logic to the Pap nurse</w:t>
      </w:r>
      <w:r w:rsidR="00DC5E1A" w:rsidRPr="00DC5E1A">
        <w:t xml:space="preserve"> motivation program empowers a more pro</w:t>
      </w:r>
      <w:r w:rsidR="002B7F31">
        <w:t>minent comprehension of complicated extensive</w:t>
      </w:r>
      <w:r w:rsidR="00DC5E1A" w:rsidRPr="00DC5E1A">
        <w:t xml:space="preserve"> practice movement triggers, and furthermore enables this more noteworthy comprehension to be fused into approach to enco</w:t>
      </w:r>
      <w:r w:rsidR="002B7F31">
        <w:t>urage Pap PN action, increment extensive action</w:t>
      </w:r>
      <w:bookmarkStart w:id="0" w:name="_GoBack"/>
      <w:bookmarkEnd w:id="0"/>
      <w:r w:rsidR="00DC5E1A" w:rsidRPr="00DC5E1A">
        <w:t xml:space="preserve"> and eventually diminish the weight of illness.</w:t>
      </w:r>
    </w:p>
    <w:sdt>
      <w:sdtPr>
        <w:rPr>
          <w:rFonts w:asciiTheme="minorHAnsi" w:eastAsiaTheme="minorHAnsi" w:hAnsiTheme="minorHAnsi" w:cstheme="minorBidi"/>
          <w:color w:val="auto"/>
          <w:sz w:val="22"/>
          <w:szCs w:val="22"/>
        </w:rPr>
        <w:id w:val="-310091708"/>
        <w:docPartObj>
          <w:docPartGallery w:val="Bibliographies"/>
          <w:docPartUnique/>
        </w:docPartObj>
      </w:sdtPr>
      <w:sdtEndPr/>
      <w:sdtContent>
        <w:p w:rsidR="00417607" w:rsidRDefault="00417607">
          <w:pPr>
            <w:pStyle w:val="Heading1"/>
          </w:pPr>
          <w:r>
            <w:t>References</w:t>
          </w:r>
        </w:p>
        <w:sdt>
          <w:sdtPr>
            <w:id w:val="-573587230"/>
            <w:bibliography/>
          </w:sdtPr>
          <w:sdtEndPr/>
          <w:sdtContent>
            <w:p w:rsidR="00D92EC5" w:rsidRDefault="00417607" w:rsidP="00D92EC5">
              <w:pPr>
                <w:pStyle w:val="Bibliography"/>
                <w:rPr>
                  <w:noProof/>
                  <w:sz w:val="24"/>
                  <w:szCs w:val="24"/>
                </w:rPr>
              </w:pPr>
              <w:r>
                <w:fldChar w:fldCharType="begin"/>
              </w:r>
              <w:r>
                <w:instrText xml:space="preserve"> BIBLIOGRAPHY </w:instrText>
              </w:r>
              <w:r>
                <w:fldChar w:fldCharType="separate"/>
              </w:r>
              <w:r w:rsidR="00D92EC5">
                <w:rPr>
                  <w:noProof/>
                </w:rPr>
                <w:t xml:space="preserve">Funnell, S., 1997. Program Logic: An Adaptable Tool for Designing and Evaluating Programs. </w:t>
              </w:r>
              <w:r w:rsidR="00D92EC5">
                <w:rPr>
                  <w:i/>
                  <w:iCs/>
                  <w:noProof/>
                </w:rPr>
                <w:t xml:space="preserve">Evaluation News and Comment, </w:t>
              </w:r>
              <w:r w:rsidR="00D92EC5">
                <w:rPr>
                  <w:noProof/>
                </w:rPr>
                <w:t>Volume 6(1), pp. 5-7.</w:t>
              </w:r>
            </w:p>
            <w:p w:rsidR="00D92EC5" w:rsidRDefault="00D92EC5" w:rsidP="00D92EC5">
              <w:pPr>
                <w:pStyle w:val="Bibliography"/>
                <w:rPr>
                  <w:noProof/>
                </w:rPr>
              </w:pPr>
              <w:r>
                <w:rPr>
                  <w:noProof/>
                </w:rPr>
                <w:t xml:space="preserve">Leslie J. Cooksy, P. P. K., 2001. The program logic model as an integrative framework for a multimethod evaluation. </w:t>
              </w:r>
              <w:r>
                <w:rPr>
                  <w:i/>
                  <w:iCs/>
                  <w:noProof/>
                </w:rPr>
                <w:t xml:space="preserve">Evaluation and Program Planning, </w:t>
              </w:r>
              <w:r>
                <w:rPr>
                  <w:noProof/>
                </w:rPr>
                <w:t>24(2), pp. 119-128.</w:t>
              </w:r>
            </w:p>
            <w:p w:rsidR="00417607" w:rsidRDefault="00417607" w:rsidP="00D92EC5">
              <w:r>
                <w:rPr>
                  <w:b/>
                  <w:bCs/>
                  <w:noProof/>
                </w:rPr>
                <w:fldChar w:fldCharType="end"/>
              </w:r>
            </w:p>
          </w:sdtContent>
        </w:sdt>
      </w:sdtContent>
    </w:sdt>
    <w:p w:rsidR="00417607" w:rsidRPr="00E6364B" w:rsidRDefault="00417607" w:rsidP="00E6364B"/>
    <w:sectPr w:rsidR="00417607" w:rsidRPr="00E636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4BE"/>
    <w:rsid w:val="0000146E"/>
    <w:rsid w:val="000F3BEA"/>
    <w:rsid w:val="002B7F31"/>
    <w:rsid w:val="002C51EE"/>
    <w:rsid w:val="002E1B73"/>
    <w:rsid w:val="003D3D7C"/>
    <w:rsid w:val="004110B0"/>
    <w:rsid w:val="00417607"/>
    <w:rsid w:val="004D17BD"/>
    <w:rsid w:val="004E022A"/>
    <w:rsid w:val="006259BB"/>
    <w:rsid w:val="00642CD4"/>
    <w:rsid w:val="0088342A"/>
    <w:rsid w:val="009124BE"/>
    <w:rsid w:val="00D63500"/>
    <w:rsid w:val="00D92EC5"/>
    <w:rsid w:val="00DC5E1A"/>
    <w:rsid w:val="00E55534"/>
    <w:rsid w:val="00E6364B"/>
    <w:rsid w:val="00E9742B"/>
    <w:rsid w:val="00FF3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886E4"/>
  <w15:chartTrackingRefBased/>
  <w15:docId w15:val="{89925332-E2C5-4B59-92B7-0DE9FD128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124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124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24B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124BE"/>
    <w:rPr>
      <w:rFonts w:asciiTheme="majorHAnsi" w:eastAsiaTheme="majorEastAsia" w:hAnsiTheme="majorHAnsi" w:cstheme="majorBidi"/>
      <w:color w:val="2E74B5" w:themeColor="accent1" w:themeShade="BF"/>
      <w:sz w:val="26"/>
      <w:szCs w:val="26"/>
    </w:rPr>
  </w:style>
  <w:style w:type="paragraph" w:styleId="Bibliography">
    <w:name w:val="Bibliography"/>
    <w:basedOn w:val="Normal"/>
    <w:next w:val="Normal"/>
    <w:uiPriority w:val="37"/>
    <w:unhideWhenUsed/>
    <w:rsid w:val="00417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828">
      <w:bodyDiv w:val="1"/>
      <w:marLeft w:val="0"/>
      <w:marRight w:val="0"/>
      <w:marTop w:val="0"/>
      <w:marBottom w:val="0"/>
      <w:divBdr>
        <w:top w:val="none" w:sz="0" w:space="0" w:color="auto"/>
        <w:left w:val="none" w:sz="0" w:space="0" w:color="auto"/>
        <w:bottom w:val="none" w:sz="0" w:space="0" w:color="auto"/>
        <w:right w:val="none" w:sz="0" w:space="0" w:color="auto"/>
      </w:divBdr>
    </w:div>
    <w:div w:id="81805711">
      <w:bodyDiv w:val="1"/>
      <w:marLeft w:val="0"/>
      <w:marRight w:val="0"/>
      <w:marTop w:val="0"/>
      <w:marBottom w:val="0"/>
      <w:divBdr>
        <w:top w:val="none" w:sz="0" w:space="0" w:color="auto"/>
        <w:left w:val="none" w:sz="0" w:space="0" w:color="auto"/>
        <w:bottom w:val="none" w:sz="0" w:space="0" w:color="auto"/>
        <w:right w:val="none" w:sz="0" w:space="0" w:color="auto"/>
      </w:divBdr>
    </w:div>
    <w:div w:id="110325637">
      <w:bodyDiv w:val="1"/>
      <w:marLeft w:val="0"/>
      <w:marRight w:val="0"/>
      <w:marTop w:val="0"/>
      <w:marBottom w:val="0"/>
      <w:divBdr>
        <w:top w:val="none" w:sz="0" w:space="0" w:color="auto"/>
        <w:left w:val="none" w:sz="0" w:space="0" w:color="auto"/>
        <w:bottom w:val="none" w:sz="0" w:space="0" w:color="auto"/>
        <w:right w:val="none" w:sz="0" w:space="0" w:color="auto"/>
      </w:divBdr>
    </w:div>
    <w:div w:id="112099056">
      <w:bodyDiv w:val="1"/>
      <w:marLeft w:val="0"/>
      <w:marRight w:val="0"/>
      <w:marTop w:val="0"/>
      <w:marBottom w:val="0"/>
      <w:divBdr>
        <w:top w:val="none" w:sz="0" w:space="0" w:color="auto"/>
        <w:left w:val="none" w:sz="0" w:space="0" w:color="auto"/>
        <w:bottom w:val="none" w:sz="0" w:space="0" w:color="auto"/>
        <w:right w:val="none" w:sz="0" w:space="0" w:color="auto"/>
      </w:divBdr>
    </w:div>
    <w:div w:id="155194369">
      <w:bodyDiv w:val="1"/>
      <w:marLeft w:val="0"/>
      <w:marRight w:val="0"/>
      <w:marTop w:val="0"/>
      <w:marBottom w:val="0"/>
      <w:divBdr>
        <w:top w:val="none" w:sz="0" w:space="0" w:color="auto"/>
        <w:left w:val="none" w:sz="0" w:space="0" w:color="auto"/>
        <w:bottom w:val="none" w:sz="0" w:space="0" w:color="auto"/>
        <w:right w:val="none" w:sz="0" w:space="0" w:color="auto"/>
      </w:divBdr>
    </w:div>
    <w:div w:id="156267805">
      <w:bodyDiv w:val="1"/>
      <w:marLeft w:val="0"/>
      <w:marRight w:val="0"/>
      <w:marTop w:val="0"/>
      <w:marBottom w:val="0"/>
      <w:divBdr>
        <w:top w:val="none" w:sz="0" w:space="0" w:color="auto"/>
        <w:left w:val="none" w:sz="0" w:space="0" w:color="auto"/>
        <w:bottom w:val="none" w:sz="0" w:space="0" w:color="auto"/>
        <w:right w:val="none" w:sz="0" w:space="0" w:color="auto"/>
      </w:divBdr>
    </w:div>
    <w:div w:id="315767219">
      <w:bodyDiv w:val="1"/>
      <w:marLeft w:val="0"/>
      <w:marRight w:val="0"/>
      <w:marTop w:val="0"/>
      <w:marBottom w:val="0"/>
      <w:divBdr>
        <w:top w:val="none" w:sz="0" w:space="0" w:color="auto"/>
        <w:left w:val="none" w:sz="0" w:space="0" w:color="auto"/>
        <w:bottom w:val="none" w:sz="0" w:space="0" w:color="auto"/>
        <w:right w:val="none" w:sz="0" w:space="0" w:color="auto"/>
      </w:divBdr>
    </w:div>
    <w:div w:id="350300988">
      <w:bodyDiv w:val="1"/>
      <w:marLeft w:val="0"/>
      <w:marRight w:val="0"/>
      <w:marTop w:val="0"/>
      <w:marBottom w:val="0"/>
      <w:divBdr>
        <w:top w:val="none" w:sz="0" w:space="0" w:color="auto"/>
        <w:left w:val="none" w:sz="0" w:space="0" w:color="auto"/>
        <w:bottom w:val="none" w:sz="0" w:space="0" w:color="auto"/>
        <w:right w:val="none" w:sz="0" w:space="0" w:color="auto"/>
      </w:divBdr>
    </w:div>
    <w:div w:id="508563613">
      <w:bodyDiv w:val="1"/>
      <w:marLeft w:val="0"/>
      <w:marRight w:val="0"/>
      <w:marTop w:val="0"/>
      <w:marBottom w:val="0"/>
      <w:divBdr>
        <w:top w:val="none" w:sz="0" w:space="0" w:color="auto"/>
        <w:left w:val="none" w:sz="0" w:space="0" w:color="auto"/>
        <w:bottom w:val="none" w:sz="0" w:space="0" w:color="auto"/>
        <w:right w:val="none" w:sz="0" w:space="0" w:color="auto"/>
      </w:divBdr>
    </w:div>
    <w:div w:id="572358138">
      <w:bodyDiv w:val="1"/>
      <w:marLeft w:val="0"/>
      <w:marRight w:val="0"/>
      <w:marTop w:val="0"/>
      <w:marBottom w:val="0"/>
      <w:divBdr>
        <w:top w:val="none" w:sz="0" w:space="0" w:color="auto"/>
        <w:left w:val="none" w:sz="0" w:space="0" w:color="auto"/>
        <w:bottom w:val="none" w:sz="0" w:space="0" w:color="auto"/>
        <w:right w:val="none" w:sz="0" w:space="0" w:color="auto"/>
      </w:divBdr>
    </w:div>
    <w:div w:id="646518466">
      <w:bodyDiv w:val="1"/>
      <w:marLeft w:val="0"/>
      <w:marRight w:val="0"/>
      <w:marTop w:val="0"/>
      <w:marBottom w:val="0"/>
      <w:divBdr>
        <w:top w:val="none" w:sz="0" w:space="0" w:color="auto"/>
        <w:left w:val="none" w:sz="0" w:space="0" w:color="auto"/>
        <w:bottom w:val="none" w:sz="0" w:space="0" w:color="auto"/>
        <w:right w:val="none" w:sz="0" w:space="0" w:color="auto"/>
      </w:divBdr>
    </w:div>
    <w:div w:id="741148352">
      <w:bodyDiv w:val="1"/>
      <w:marLeft w:val="0"/>
      <w:marRight w:val="0"/>
      <w:marTop w:val="0"/>
      <w:marBottom w:val="0"/>
      <w:divBdr>
        <w:top w:val="none" w:sz="0" w:space="0" w:color="auto"/>
        <w:left w:val="none" w:sz="0" w:space="0" w:color="auto"/>
        <w:bottom w:val="none" w:sz="0" w:space="0" w:color="auto"/>
        <w:right w:val="none" w:sz="0" w:space="0" w:color="auto"/>
      </w:divBdr>
    </w:div>
    <w:div w:id="944465751">
      <w:bodyDiv w:val="1"/>
      <w:marLeft w:val="0"/>
      <w:marRight w:val="0"/>
      <w:marTop w:val="0"/>
      <w:marBottom w:val="0"/>
      <w:divBdr>
        <w:top w:val="none" w:sz="0" w:space="0" w:color="auto"/>
        <w:left w:val="none" w:sz="0" w:space="0" w:color="auto"/>
        <w:bottom w:val="none" w:sz="0" w:space="0" w:color="auto"/>
        <w:right w:val="none" w:sz="0" w:space="0" w:color="auto"/>
      </w:divBdr>
    </w:div>
    <w:div w:id="1026180868">
      <w:bodyDiv w:val="1"/>
      <w:marLeft w:val="0"/>
      <w:marRight w:val="0"/>
      <w:marTop w:val="0"/>
      <w:marBottom w:val="0"/>
      <w:divBdr>
        <w:top w:val="none" w:sz="0" w:space="0" w:color="auto"/>
        <w:left w:val="none" w:sz="0" w:space="0" w:color="auto"/>
        <w:bottom w:val="none" w:sz="0" w:space="0" w:color="auto"/>
        <w:right w:val="none" w:sz="0" w:space="0" w:color="auto"/>
      </w:divBdr>
    </w:div>
    <w:div w:id="1139148541">
      <w:bodyDiv w:val="1"/>
      <w:marLeft w:val="0"/>
      <w:marRight w:val="0"/>
      <w:marTop w:val="0"/>
      <w:marBottom w:val="0"/>
      <w:divBdr>
        <w:top w:val="none" w:sz="0" w:space="0" w:color="auto"/>
        <w:left w:val="none" w:sz="0" w:space="0" w:color="auto"/>
        <w:bottom w:val="none" w:sz="0" w:space="0" w:color="auto"/>
        <w:right w:val="none" w:sz="0" w:space="0" w:color="auto"/>
      </w:divBdr>
    </w:div>
    <w:div w:id="1245265859">
      <w:bodyDiv w:val="1"/>
      <w:marLeft w:val="0"/>
      <w:marRight w:val="0"/>
      <w:marTop w:val="0"/>
      <w:marBottom w:val="0"/>
      <w:divBdr>
        <w:top w:val="none" w:sz="0" w:space="0" w:color="auto"/>
        <w:left w:val="none" w:sz="0" w:space="0" w:color="auto"/>
        <w:bottom w:val="none" w:sz="0" w:space="0" w:color="auto"/>
        <w:right w:val="none" w:sz="0" w:space="0" w:color="auto"/>
      </w:divBdr>
    </w:div>
    <w:div w:id="1271473729">
      <w:bodyDiv w:val="1"/>
      <w:marLeft w:val="0"/>
      <w:marRight w:val="0"/>
      <w:marTop w:val="0"/>
      <w:marBottom w:val="0"/>
      <w:divBdr>
        <w:top w:val="none" w:sz="0" w:space="0" w:color="auto"/>
        <w:left w:val="none" w:sz="0" w:space="0" w:color="auto"/>
        <w:bottom w:val="none" w:sz="0" w:space="0" w:color="auto"/>
        <w:right w:val="none" w:sz="0" w:space="0" w:color="auto"/>
      </w:divBdr>
    </w:div>
    <w:div w:id="1275862790">
      <w:bodyDiv w:val="1"/>
      <w:marLeft w:val="0"/>
      <w:marRight w:val="0"/>
      <w:marTop w:val="0"/>
      <w:marBottom w:val="0"/>
      <w:divBdr>
        <w:top w:val="none" w:sz="0" w:space="0" w:color="auto"/>
        <w:left w:val="none" w:sz="0" w:space="0" w:color="auto"/>
        <w:bottom w:val="none" w:sz="0" w:space="0" w:color="auto"/>
        <w:right w:val="none" w:sz="0" w:space="0" w:color="auto"/>
      </w:divBdr>
    </w:div>
    <w:div w:id="1380085146">
      <w:bodyDiv w:val="1"/>
      <w:marLeft w:val="0"/>
      <w:marRight w:val="0"/>
      <w:marTop w:val="0"/>
      <w:marBottom w:val="0"/>
      <w:divBdr>
        <w:top w:val="none" w:sz="0" w:space="0" w:color="auto"/>
        <w:left w:val="none" w:sz="0" w:space="0" w:color="auto"/>
        <w:bottom w:val="none" w:sz="0" w:space="0" w:color="auto"/>
        <w:right w:val="none" w:sz="0" w:space="0" w:color="auto"/>
      </w:divBdr>
    </w:div>
    <w:div w:id="1467966572">
      <w:bodyDiv w:val="1"/>
      <w:marLeft w:val="0"/>
      <w:marRight w:val="0"/>
      <w:marTop w:val="0"/>
      <w:marBottom w:val="0"/>
      <w:divBdr>
        <w:top w:val="none" w:sz="0" w:space="0" w:color="auto"/>
        <w:left w:val="none" w:sz="0" w:space="0" w:color="auto"/>
        <w:bottom w:val="none" w:sz="0" w:space="0" w:color="auto"/>
        <w:right w:val="none" w:sz="0" w:space="0" w:color="auto"/>
      </w:divBdr>
    </w:div>
    <w:div w:id="1509638541">
      <w:bodyDiv w:val="1"/>
      <w:marLeft w:val="0"/>
      <w:marRight w:val="0"/>
      <w:marTop w:val="0"/>
      <w:marBottom w:val="0"/>
      <w:divBdr>
        <w:top w:val="none" w:sz="0" w:space="0" w:color="auto"/>
        <w:left w:val="none" w:sz="0" w:space="0" w:color="auto"/>
        <w:bottom w:val="none" w:sz="0" w:space="0" w:color="auto"/>
        <w:right w:val="none" w:sz="0" w:space="0" w:color="auto"/>
      </w:divBdr>
    </w:div>
    <w:div w:id="1595817519">
      <w:bodyDiv w:val="1"/>
      <w:marLeft w:val="0"/>
      <w:marRight w:val="0"/>
      <w:marTop w:val="0"/>
      <w:marBottom w:val="0"/>
      <w:divBdr>
        <w:top w:val="none" w:sz="0" w:space="0" w:color="auto"/>
        <w:left w:val="none" w:sz="0" w:space="0" w:color="auto"/>
        <w:bottom w:val="none" w:sz="0" w:space="0" w:color="auto"/>
        <w:right w:val="none" w:sz="0" w:space="0" w:color="auto"/>
      </w:divBdr>
    </w:div>
    <w:div w:id="1623732456">
      <w:bodyDiv w:val="1"/>
      <w:marLeft w:val="0"/>
      <w:marRight w:val="0"/>
      <w:marTop w:val="0"/>
      <w:marBottom w:val="0"/>
      <w:divBdr>
        <w:top w:val="none" w:sz="0" w:space="0" w:color="auto"/>
        <w:left w:val="none" w:sz="0" w:space="0" w:color="auto"/>
        <w:bottom w:val="none" w:sz="0" w:space="0" w:color="auto"/>
        <w:right w:val="none" w:sz="0" w:space="0" w:color="auto"/>
      </w:divBdr>
    </w:div>
    <w:div w:id="1723747147">
      <w:bodyDiv w:val="1"/>
      <w:marLeft w:val="0"/>
      <w:marRight w:val="0"/>
      <w:marTop w:val="0"/>
      <w:marBottom w:val="0"/>
      <w:divBdr>
        <w:top w:val="none" w:sz="0" w:space="0" w:color="auto"/>
        <w:left w:val="none" w:sz="0" w:space="0" w:color="auto"/>
        <w:bottom w:val="none" w:sz="0" w:space="0" w:color="auto"/>
        <w:right w:val="none" w:sz="0" w:space="0" w:color="auto"/>
      </w:divBdr>
    </w:div>
    <w:div w:id="1820464304">
      <w:bodyDiv w:val="1"/>
      <w:marLeft w:val="0"/>
      <w:marRight w:val="0"/>
      <w:marTop w:val="0"/>
      <w:marBottom w:val="0"/>
      <w:divBdr>
        <w:top w:val="none" w:sz="0" w:space="0" w:color="auto"/>
        <w:left w:val="none" w:sz="0" w:space="0" w:color="auto"/>
        <w:bottom w:val="none" w:sz="0" w:space="0" w:color="auto"/>
        <w:right w:val="none" w:sz="0" w:space="0" w:color="auto"/>
      </w:divBdr>
    </w:div>
    <w:div w:id="1897430206">
      <w:bodyDiv w:val="1"/>
      <w:marLeft w:val="0"/>
      <w:marRight w:val="0"/>
      <w:marTop w:val="0"/>
      <w:marBottom w:val="0"/>
      <w:divBdr>
        <w:top w:val="none" w:sz="0" w:space="0" w:color="auto"/>
        <w:left w:val="none" w:sz="0" w:space="0" w:color="auto"/>
        <w:bottom w:val="none" w:sz="0" w:space="0" w:color="auto"/>
        <w:right w:val="none" w:sz="0" w:space="0" w:color="auto"/>
      </w:divBdr>
    </w:div>
    <w:div w:id="207758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Fun</b:Tag>
    <b:SourceType>JournalArticle</b:SourceType>
    <b:Guid>{F6685E73-6DEB-4781-BB72-B97262603459}</b:Guid>
    <b:Title>Program Logic: An Adaptable Tool for Designing and Evaluating Programs</b:Title>
    <b:Author>
      <b:Author>
        <b:NameList>
          <b:Person>
            <b:Last>Funnell</b:Last>
            <b:First>S</b:First>
          </b:Person>
        </b:NameList>
      </b:Author>
    </b:Author>
    <b:BookTitle>Evaluation News and Comment</b:BookTitle>
    <b:Pages>5-7</b:Pages>
    <b:JournalName>Evaluation News and Comment</b:JournalName>
    <b:Volume>6(1)</b:Volume>
    <b:Year>1997</b:Year>
    <b:RefOrder>1</b:RefOrder>
  </b:Source>
  <b:Source>
    <b:Tag>Les01</b:Tag>
    <b:SourceType>JournalArticle</b:SourceType>
    <b:Guid>{E0661797-1F8B-48B2-808D-6A015A1FBFC7}</b:Guid>
    <b:Author>
      <b:Author>
        <b:NameList>
          <b:Person>
            <b:Last>Leslie J. Cooksy</b:Last>
            <b:First>PaigeGill,</b:First>
            <b:Middle>P.Adam Kelly</b:Middle>
          </b:Person>
        </b:NameList>
      </b:Author>
    </b:Author>
    <b:Title>The program logic model as an integrative framework for a multimethod evaluation</b:Title>
    <b:JournalName>Evaluation and Program Planning</b:JournalName>
    <b:Year>2001</b:Year>
    <b:Pages>119-128</b:Pages>
    <b:Volume>24</b:Volume>
    <b:Issue>2</b:Issue>
    <b:RefOrder>3</b:RefOrder>
  </b:Source>
  <b:Source>
    <b:Tag>Chr10</b:Tag>
    <b:SourceType>JournalArticle</b:SourceType>
    <b:Guid>{FAB77978-DC83-40E6-85C3-9BEE500B1622}</b:Guid>
    <b:Author>
      <b:Author>
        <b:NameList>
          <b:Person>
            <b:Last>Hallinan</b:Last>
            <b:First>Christine</b:First>
            <b:Middle>M.</b:Middle>
          </b:Person>
        </b:NameList>
      </b:Author>
    </b:Author>
    <b:Title>Program logic: a framework for health program design</b:Title>
    <b:JournalName>Australian Journal of Primary Health</b:JournalName>
    <b:Year>2010</b:Year>
    <b:Pages>319-325</b:Pages>
    <b:Volume>16</b:Volume>
    <b:RefOrder>2</b:RefOrder>
  </b:Source>
</b:Sources>
</file>

<file path=customXml/itemProps1.xml><?xml version="1.0" encoding="utf-8"?>
<ds:datastoreItem xmlns:ds="http://schemas.openxmlformats.org/officeDocument/2006/customXml" ds:itemID="{232C1A0E-BE37-46DC-AC1A-917B009AB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2</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Zarish ❤</dc:creator>
  <cp:keywords/>
  <dc:description/>
  <cp:lastModifiedBy>Zarish ❤</cp:lastModifiedBy>
  <cp:revision>17</cp:revision>
  <dcterms:created xsi:type="dcterms:W3CDTF">2019-09-26T02:08:00Z</dcterms:created>
  <dcterms:modified xsi:type="dcterms:W3CDTF">2019-09-26T05:35:00Z</dcterms:modified>
</cp:coreProperties>
</file>