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Name</w:t>
      </w:r>
    </w:p>
    <w:p w:rsidR="008B4862" w:rsidRDefault="008B4862" w:rsidP="00F806B0">
      <w:pPr>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F806B0" w:rsidP="00F806B0">
      <w:pPr>
        <w:rPr>
          <w:rFonts w:ascii="Times New Roman" w:hAnsi="Times New Roman" w:cs="Times New Roman"/>
          <w:sz w:val="24"/>
          <w:szCs w:val="24"/>
        </w:rPr>
      </w:pPr>
      <w:r>
        <w:rPr>
          <w:rFonts w:ascii="Times New Roman" w:hAnsi="Times New Roman" w:cs="Times New Roman"/>
          <w:sz w:val="24"/>
          <w:szCs w:val="24"/>
        </w:rPr>
        <w:t>Class</w:t>
      </w:r>
    </w:p>
    <w:p w:rsidR="0057625C" w:rsidRDefault="00F806B0" w:rsidP="0057625C">
      <w:pPr>
        <w:rPr>
          <w:rFonts w:ascii="Times New Roman" w:hAnsi="Times New Roman" w:cs="Times New Roman"/>
          <w:sz w:val="24"/>
          <w:szCs w:val="24"/>
        </w:rPr>
      </w:pPr>
      <w:r>
        <w:rPr>
          <w:rFonts w:ascii="Times New Roman" w:hAnsi="Times New Roman" w:cs="Times New Roman"/>
          <w:sz w:val="24"/>
          <w:szCs w:val="24"/>
        </w:rPr>
        <w:t>Date</w:t>
      </w:r>
    </w:p>
    <w:p w:rsidR="00FA3FE7" w:rsidRDefault="009A662B" w:rsidP="00B84332">
      <w:pPr>
        <w:spacing w:line="48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Civil Rights</w:t>
      </w:r>
    </w:p>
    <w:p w:rsidR="009A662B" w:rsidRDefault="009A662B" w:rsidP="009A662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00431018">
        <w:rPr>
          <w:rFonts w:ascii="Times New Roman" w:eastAsia="Calibri" w:hAnsi="Times New Roman" w:cs="Times New Roman"/>
          <w:sz w:val="24"/>
          <w:szCs w:val="24"/>
        </w:rPr>
        <w:t xml:space="preserve">The phenomenon of equal employment opportunities recognized as the one important consideration referring to the main idea of civil rights. This specific concept based on the fact that it is the right of every individual to get </w:t>
      </w:r>
      <w:r w:rsidR="00431018" w:rsidRPr="00285ABB">
        <w:rPr>
          <w:rFonts w:ascii="Times New Roman" w:eastAsia="Calibri" w:hAnsi="Times New Roman" w:cs="Times New Roman"/>
          <w:noProof/>
          <w:sz w:val="24"/>
          <w:szCs w:val="24"/>
        </w:rPr>
        <w:t>equal</w:t>
      </w:r>
      <w:r w:rsidR="00431018">
        <w:rPr>
          <w:rFonts w:ascii="Times New Roman" w:eastAsia="Calibri" w:hAnsi="Times New Roman" w:cs="Times New Roman"/>
          <w:sz w:val="24"/>
          <w:szCs w:val="24"/>
        </w:rPr>
        <w:t xml:space="preserve"> chances of </w:t>
      </w:r>
      <w:r w:rsidR="00431018" w:rsidRPr="00285ABB">
        <w:rPr>
          <w:rFonts w:ascii="Times New Roman" w:eastAsia="Calibri" w:hAnsi="Times New Roman" w:cs="Times New Roman"/>
          <w:noProof/>
          <w:sz w:val="24"/>
          <w:szCs w:val="24"/>
        </w:rPr>
        <w:t>employment</w:t>
      </w:r>
      <w:r w:rsidR="00431018">
        <w:rPr>
          <w:rFonts w:ascii="Times New Roman" w:eastAsia="Calibri" w:hAnsi="Times New Roman" w:cs="Times New Roman"/>
          <w:sz w:val="24"/>
          <w:szCs w:val="24"/>
        </w:rPr>
        <w:t xml:space="preserve">. It is worthy to mention that this concept also covers different forms of employment facilities for all the workers without any form of biasedness. It is observed that there are many cases when </w:t>
      </w:r>
      <w:r w:rsidR="00285ABB">
        <w:rPr>
          <w:rFonts w:ascii="Times New Roman" w:eastAsia="Calibri" w:hAnsi="Times New Roman" w:cs="Times New Roman"/>
          <w:sz w:val="24"/>
          <w:szCs w:val="24"/>
        </w:rPr>
        <w:t xml:space="preserve">the </w:t>
      </w:r>
      <w:r w:rsidR="00431018" w:rsidRPr="00285ABB">
        <w:rPr>
          <w:rFonts w:ascii="Times New Roman" w:eastAsia="Calibri" w:hAnsi="Times New Roman" w:cs="Times New Roman"/>
          <w:noProof/>
          <w:sz w:val="24"/>
          <w:szCs w:val="24"/>
        </w:rPr>
        <w:t>individual</w:t>
      </w:r>
      <w:r w:rsidR="00431018">
        <w:rPr>
          <w:rFonts w:ascii="Times New Roman" w:eastAsia="Calibri" w:hAnsi="Times New Roman" w:cs="Times New Roman"/>
          <w:sz w:val="24"/>
          <w:szCs w:val="24"/>
        </w:rPr>
        <w:t xml:space="preserve"> face the issue of discrimination working as </w:t>
      </w:r>
      <w:r w:rsidR="00285ABB">
        <w:rPr>
          <w:rFonts w:ascii="Times New Roman" w:eastAsia="Calibri" w:hAnsi="Times New Roman" w:cs="Times New Roman"/>
          <w:sz w:val="24"/>
          <w:szCs w:val="24"/>
        </w:rPr>
        <w:t xml:space="preserve">an </w:t>
      </w:r>
      <w:r w:rsidR="00431018" w:rsidRPr="00285ABB">
        <w:rPr>
          <w:rFonts w:ascii="Times New Roman" w:eastAsia="Calibri" w:hAnsi="Times New Roman" w:cs="Times New Roman"/>
          <w:noProof/>
          <w:sz w:val="24"/>
          <w:szCs w:val="24"/>
        </w:rPr>
        <w:t>employee</w:t>
      </w:r>
      <w:r w:rsidR="00431018">
        <w:rPr>
          <w:rFonts w:ascii="Times New Roman" w:eastAsia="Calibri" w:hAnsi="Times New Roman" w:cs="Times New Roman"/>
          <w:sz w:val="24"/>
          <w:szCs w:val="24"/>
        </w:rPr>
        <w:t xml:space="preserve"> </w:t>
      </w:r>
      <w:r w:rsidR="00285ABB">
        <w:rPr>
          <w:rFonts w:ascii="Times New Roman" w:eastAsia="Calibri" w:hAnsi="Times New Roman" w:cs="Times New Roman"/>
          <w:noProof/>
          <w:sz w:val="24"/>
          <w:szCs w:val="24"/>
        </w:rPr>
        <w:t>due to its</w:t>
      </w:r>
      <w:r w:rsidR="00431018" w:rsidRPr="00285ABB">
        <w:rPr>
          <w:rFonts w:ascii="Times New Roman" w:eastAsia="Calibri" w:hAnsi="Times New Roman" w:cs="Times New Roman"/>
          <w:noProof/>
          <w:sz w:val="24"/>
          <w:szCs w:val="24"/>
        </w:rPr>
        <w:t xml:space="preserve"> releva</w:t>
      </w:r>
      <w:r w:rsidR="00285ABB">
        <w:rPr>
          <w:rFonts w:ascii="Times New Roman" w:eastAsia="Calibri" w:hAnsi="Times New Roman" w:cs="Times New Roman"/>
          <w:noProof/>
          <w:sz w:val="24"/>
          <w:szCs w:val="24"/>
        </w:rPr>
        <w:t>nce</w:t>
      </w:r>
      <w:r w:rsidR="00431018">
        <w:rPr>
          <w:rFonts w:ascii="Times New Roman" w:eastAsia="Calibri" w:hAnsi="Times New Roman" w:cs="Times New Roman"/>
          <w:sz w:val="24"/>
          <w:szCs w:val="24"/>
        </w:rPr>
        <w:t xml:space="preserve"> to any minority group. The particular case of EEOC v. Abercrombie and Fitch Stores, Inc. is one prominent example to overview the concern of equal employment opportunity. Here the focus is to critically and thoroughly analyze the particular legal case of Abercrombie &amp; Fitch Stores to make better inferences about the main idea of civil rights. </w:t>
      </w:r>
    </w:p>
    <w:p w:rsidR="007C32AB" w:rsidRDefault="007C32AB" w:rsidP="009A662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tab/>
        <w:t xml:space="preserve">Initially, it is immensely crucial to identify the main facts about the case to better understand the actual phenomenon. This form of understanding also helps to identify the actual concerns of civil rights. </w:t>
      </w:r>
      <w:r w:rsidR="004D4950">
        <w:rPr>
          <w:rFonts w:ascii="Times New Roman" w:eastAsia="Calibri" w:hAnsi="Times New Roman" w:cs="Times New Roman"/>
          <w:sz w:val="24"/>
          <w:szCs w:val="24"/>
        </w:rPr>
        <w:t xml:space="preserve">This particular case based on the legal action adopted by the Equal Employment Opportunity Commission (EEOC). It becomes one highlighted issue when EEOC sued the organization of Abercrombie on </w:t>
      </w:r>
      <w:r w:rsidR="004D4950" w:rsidRPr="00285ABB">
        <w:rPr>
          <w:rFonts w:ascii="Times New Roman" w:eastAsia="Calibri" w:hAnsi="Times New Roman" w:cs="Times New Roman"/>
          <w:noProof/>
          <w:sz w:val="24"/>
          <w:szCs w:val="24"/>
        </w:rPr>
        <w:t>behalf</w:t>
      </w:r>
      <w:r w:rsidR="004D4950">
        <w:rPr>
          <w:rFonts w:ascii="Times New Roman" w:eastAsia="Calibri" w:hAnsi="Times New Roman" w:cs="Times New Roman"/>
          <w:sz w:val="24"/>
          <w:szCs w:val="24"/>
        </w:rPr>
        <w:t xml:space="preserve"> of the employer, recognized as Elauf. This certain legal paradigm </w:t>
      </w:r>
      <w:r w:rsidR="004D4950" w:rsidRPr="00285ABB">
        <w:rPr>
          <w:rFonts w:ascii="Times New Roman" w:eastAsia="Calibri" w:hAnsi="Times New Roman" w:cs="Times New Roman"/>
          <w:noProof/>
          <w:sz w:val="24"/>
          <w:szCs w:val="24"/>
        </w:rPr>
        <w:t>come</w:t>
      </w:r>
      <w:r w:rsidR="00285ABB">
        <w:rPr>
          <w:rFonts w:ascii="Times New Roman" w:eastAsia="Calibri" w:hAnsi="Times New Roman" w:cs="Times New Roman"/>
          <w:noProof/>
          <w:sz w:val="24"/>
          <w:szCs w:val="24"/>
        </w:rPr>
        <w:t>s</w:t>
      </w:r>
      <w:r w:rsidR="004D4950">
        <w:rPr>
          <w:rFonts w:ascii="Times New Roman" w:eastAsia="Calibri" w:hAnsi="Times New Roman" w:cs="Times New Roman"/>
          <w:sz w:val="24"/>
          <w:szCs w:val="24"/>
        </w:rPr>
        <w:t xml:space="preserve"> up with the concern that </w:t>
      </w:r>
      <w:r w:rsidR="00285ABB">
        <w:rPr>
          <w:rFonts w:ascii="Times New Roman" w:eastAsia="Calibri" w:hAnsi="Times New Roman" w:cs="Times New Roman"/>
          <w:sz w:val="24"/>
          <w:szCs w:val="24"/>
        </w:rPr>
        <w:t xml:space="preserve">the </w:t>
      </w:r>
      <w:r w:rsidR="004D4950" w:rsidRPr="00285ABB">
        <w:rPr>
          <w:rFonts w:ascii="Times New Roman" w:eastAsia="Calibri" w:hAnsi="Times New Roman" w:cs="Times New Roman"/>
          <w:noProof/>
          <w:sz w:val="24"/>
          <w:szCs w:val="24"/>
        </w:rPr>
        <w:t>company</w:t>
      </w:r>
      <w:r w:rsidR="004D4950">
        <w:rPr>
          <w:rFonts w:ascii="Times New Roman" w:eastAsia="Calibri" w:hAnsi="Times New Roman" w:cs="Times New Roman"/>
          <w:sz w:val="24"/>
          <w:szCs w:val="24"/>
        </w:rPr>
        <w:t xml:space="preserve"> had violated </w:t>
      </w:r>
      <w:r w:rsidR="00285ABB">
        <w:rPr>
          <w:rFonts w:ascii="Times New Roman" w:eastAsia="Calibri" w:hAnsi="Times New Roman" w:cs="Times New Roman"/>
          <w:sz w:val="24"/>
          <w:szCs w:val="24"/>
        </w:rPr>
        <w:t xml:space="preserve">the </w:t>
      </w:r>
      <w:r w:rsidR="004D4950" w:rsidRPr="00285ABB">
        <w:rPr>
          <w:rFonts w:ascii="Times New Roman" w:eastAsia="Calibri" w:hAnsi="Times New Roman" w:cs="Times New Roman"/>
          <w:noProof/>
          <w:sz w:val="24"/>
          <w:szCs w:val="24"/>
        </w:rPr>
        <w:t>rights</w:t>
      </w:r>
      <w:r w:rsidR="004D4950">
        <w:rPr>
          <w:rFonts w:ascii="Times New Roman" w:eastAsia="Calibri" w:hAnsi="Times New Roman" w:cs="Times New Roman"/>
          <w:sz w:val="24"/>
          <w:szCs w:val="24"/>
        </w:rPr>
        <w:t xml:space="preserve"> of the employer under the acts of Title VII of the Civil Rights Act of 1964. </w:t>
      </w:r>
      <w:r w:rsidR="00497F25">
        <w:rPr>
          <w:rFonts w:ascii="Times New Roman" w:eastAsia="Calibri" w:hAnsi="Times New Roman" w:cs="Times New Roman"/>
          <w:sz w:val="24"/>
          <w:szCs w:val="24"/>
        </w:rPr>
        <w:t xml:space="preserve">The concern based on the incident when </w:t>
      </w:r>
      <w:r w:rsidR="00285ABB">
        <w:rPr>
          <w:rFonts w:ascii="Times New Roman" w:eastAsia="Calibri" w:hAnsi="Times New Roman" w:cs="Times New Roman"/>
          <w:sz w:val="24"/>
          <w:szCs w:val="24"/>
        </w:rPr>
        <w:t xml:space="preserve">the </w:t>
      </w:r>
      <w:r w:rsidR="00497F25" w:rsidRPr="00285ABB">
        <w:rPr>
          <w:rFonts w:ascii="Times New Roman" w:eastAsia="Calibri" w:hAnsi="Times New Roman" w:cs="Times New Roman"/>
          <w:noProof/>
          <w:sz w:val="24"/>
          <w:szCs w:val="24"/>
        </w:rPr>
        <w:t>company</w:t>
      </w:r>
      <w:r w:rsidR="00497F25">
        <w:rPr>
          <w:rFonts w:ascii="Times New Roman" w:eastAsia="Calibri" w:hAnsi="Times New Roman" w:cs="Times New Roman"/>
          <w:sz w:val="24"/>
          <w:szCs w:val="24"/>
        </w:rPr>
        <w:t xml:space="preserve"> rejected to recruit Elauf due to her headscarf. </w:t>
      </w:r>
    </w:p>
    <w:p w:rsidR="009166E4" w:rsidRDefault="00B652A8" w:rsidP="009A662B">
      <w:pPr>
        <w:spacing w:line="48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ab/>
        <w:t xml:space="preserve">When it comes to the establishment of the decision on this specific issue of </w:t>
      </w:r>
      <w:r w:rsidR="00285ABB">
        <w:rPr>
          <w:rFonts w:ascii="Times New Roman" w:eastAsia="Calibri" w:hAnsi="Times New Roman" w:cs="Times New Roman"/>
          <w:sz w:val="24"/>
          <w:szCs w:val="24"/>
        </w:rPr>
        <w:t xml:space="preserve">a </w:t>
      </w:r>
      <w:r w:rsidRPr="00285ABB">
        <w:rPr>
          <w:rFonts w:ascii="Times New Roman" w:eastAsia="Calibri" w:hAnsi="Times New Roman" w:cs="Times New Roman"/>
          <w:noProof/>
          <w:sz w:val="24"/>
          <w:szCs w:val="24"/>
        </w:rPr>
        <w:t>civil</w:t>
      </w:r>
      <w:r>
        <w:rPr>
          <w:rFonts w:ascii="Times New Roman" w:eastAsia="Calibri" w:hAnsi="Times New Roman" w:cs="Times New Roman"/>
          <w:sz w:val="24"/>
          <w:szCs w:val="24"/>
        </w:rPr>
        <w:t xml:space="preserve"> right than it is vital to explore the decision of </w:t>
      </w:r>
      <w:r w:rsidR="00285ABB">
        <w:rPr>
          <w:rFonts w:ascii="Times New Roman" w:eastAsia="Calibri" w:hAnsi="Times New Roman" w:cs="Times New Roman"/>
          <w:sz w:val="24"/>
          <w:szCs w:val="24"/>
        </w:rPr>
        <w:t xml:space="preserve">the </w:t>
      </w:r>
      <w:r w:rsidRPr="00285ABB">
        <w:rPr>
          <w:rFonts w:ascii="Times New Roman" w:eastAsia="Calibri" w:hAnsi="Times New Roman" w:cs="Times New Roman"/>
          <w:noProof/>
          <w:sz w:val="24"/>
          <w:szCs w:val="24"/>
        </w:rPr>
        <w:t>court</w:t>
      </w:r>
      <w:r>
        <w:rPr>
          <w:rFonts w:ascii="Times New Roman" w:eastAsia="Calibri" w:hAnsi="Times New Roman" w:cs="Times New Roman"/>
          <w:sz w:val="24"/>
          <w:szCs w:val="24"/>
        </w:rPr>
        <w:t xml:space="preserve">. The majority of the jury members enforce the concern of </w:t>
      </w:r>
      <w:r w:rsidRPr="00285ABB">
        <w:rPr>
          <w:rFonts w:ascii="Times New Roman" w:eastAsia="Calibri" w:hAnsi="Times New Roman" w:cs="Times New Roman"/>
          <w:noProof/>
          <w:sz w:val="24"/>
          <w:szCs w:val="24"/>
        </w:rPr>
        <w:t>equal</w:t>
      </w:r>
      <w:r>
        <w:rPr>
          <w:rFonts w:ascii="Times New Roman" w:eastAsia="Calibri" w:hAnsi="Times New Roman" w:cs="Times New Roman"/>
          <w:sz w:val="24"/>
          <w:szCs w:val="24"/>
        </w:rPr>
        <w:t xml:space="preserve"> employment opportunity without any form of religious discrimination. </w:t>
      </w:r>
      <w:r w:rsidR="00506E25">
        <w:rPr>
          <w:rFonts w:ascii="Times New Roman" w:eastAsia="Calibri" w:hAnsi="Times New Roman" w:cs="Times New Roman"/>
          <w:sz w:val="24"/>
          <w:szCs w:val="24"/>
        </w:rPr>
        <w:t xml:space="preserve">The ruling of U.S. Supreme Court accept the claim of EEOC </w:t>
      </w:r>
      <w:r w:rsidR="00654521">
        <w:rPr>
          <w:rFonts w:ascii="Times New Roman" w:eastAsia="Calibri" w:hAnsi="Times New Roman" w:cs="Times New Roman"/>
          <w:sz w:val="24"/>
          <w:szCs w:val="24"/>
        </w:rPr>
        <w:t xml:space="preserve">and made it essential for the company to pay amount to both the shareholders identify as ZEEOC and Elauf. </w:t>
      </w:r>
      <w:r w:rsidR="0040610A">
        <w:rPr>
          <w:rFonts w:ascii="Times New Roman" w:eastAsia="Calibri" w:hAnsi="Times New Roman" w:cs="Times New Roman"/>
          <w:sz w:val="24"/>
          <w:szCs w:val="24"/>
        </w:rPr>
        <w:t xml:space="preserve">It is interesting to explore that the opinion of Justice Thomas was entirely different from the rest of the jury. He delivered his domain differently from his other colleagues. </w:t>
      </w:r>
      <w:r w:rsidR="00CF54D5">
        <w:rPr>
          <w:rFonts w:ascii="Times New Roman" w:eastAsia="Calibri" w:hAnsi="Times New Roman" w:cs="Times New Roman"/>
          <w:sz w:val="24"/>
          <w:szCs w:val="24"/>
        </w:rPr>
        <w:t xml:space="preserve">His opinion somewhat differ from others referring to the certain legal domain. </w:t>
      </w:r>
      <w:r w:rsidR="00ED5C2F">
        <w:rPr>
          <w:rFonts w:ascii="Times New Roman" w:eastAsia="Calibri" w:hAnsi="Times New Roman" w:cs="Times New Roman"/>
          <w:sz w:val="24"/>
          <w:szCs w:val="24"/>
        </w:rPr>
        <w:t xml:space="preserve">Critical analysis of the whole case is important to figure out the ethical and legal domains relevant to this certain case. </w:t>
      </w:r>
      <w:r w:rsidR="009726BD">
        <w:rPr>
          <w:rFonts w:ascii="Times New Roman" w:eastAsia="Calibri" w:hAnsi="Times New Roman" w:cs="Times New Roman"/>
          <w:sz w:val="24"/>
          <w:szCs w:val="24"/>
        </w:rPr>
        <w:t xml:space="preserve">When it comes to the risk of clash between the religious or the cultural domains with the functioning of the individual. It is important to understand the whole prospect on rational basis. It is legal right for everyone to attain equal employment opportunities without any distinction based on someone’s beliefs or moral values. It is referred that if the capabilities of the applicant perfectly match with the requirements of the organization that there should be consideration of hiring without considering their religious practices. </w:t>
      </w:r>
      <w:r w:rsidR="009166E4">
        <w:rPr>
          <w:rFonts w:ascii="Times New Roman" w:eastAsia="Calibri" w:hAnsi="Times New Roman" w:cs="Times New Roman"/>
          <w:sz w:val="24"/>
          <w:szCs w:val="24"/>
        </w:rPr>
        <w:t xml:space="preserve">The domain of equal employment opportunity should be apply for all the individuals that can be better understand through the example of Hasidic Jew or the one who recognized as an Amish women. </w:t>
      </w:r>
    </w:p>
    <w:p w:rsidR="002D72D1" w:rsidRPr="004D15C9" w:rsidRDefault="009166E4" w:rsidP="00264728">
      <w:pPr>
        <w:spacing w:line="480" w:lineRule="auto"/>
        <w:rPr>
          <w:rFonts w:ascii="Times New Roman" w:hAnsi="Times New Roman" w:cs="Times New Roman"/>
          <w:sz w:val="24"/>
          <w:szCs w:val="24"/>
        </w:rPr>
      </w:pPr>
      <w:r>
        <w:rPr>
          <w:rFonts w:ascii="Times New Roman" w:eastAsia="Calibri" w:hAnsi="Times New Roman" w:cs="Times New Roman"/>
          <w:sz w:val="24"/>
          <w:szCs w:val="24"/>
        </w:rPr>
        <w:tab/>
        <w:t>In conclusion, it is worthy to mention that there should be balanced form of consideration when it comes to the proper implementation of equal opportunity righ</w:t>
      </w:r>
      <w:r w:rsidR="002B0A92">
        <w:rPr>
          <w:rFonts w:ascii="Times New Roman" w:eastAsia="Calibri" w:hAnsi="Times New Roman" w:cs="Times New Roman"/>
          <w:sz w:val="24"/>
          <w:szCs w:val="24"/>
        </w:rPr>
        <w:t xml:space="preserve">ts for every capable individual. It is vital to observe this idea in the playing role as the member of the Supreme Court. </w:t>
      </w:r>
      <w:r w:rsidR="002D72D1">
        <w:rPr>
          <w:rFonts w:ascii="Times New Roman" w:hAnsi="Times New Roman" w:cs="Times New Roman"/>
          <w:sz w:val="24"/>
          <w:szCs w:val="24"/>
        </w:rPr>
        <w:t xml:space="preserve">It is notable to mention that everyone has legal right to have equal opportunity for an employment as compared to others. </w:t>
      </w:r>
    </w:p>
    <w:p w:rsidR="00B84332" w:rsidRPr="00B84332" w:rsidRDefault="00B84332" w:rsidP="00831DE8">
      <w:pPr>
        <w:spacing w:line="480" w:lineRule="auto"/>
        <w:rPr>
          <w:rFonts w:ascii="Times New Roman" w:hAnsi="Times New Roman" w:cs="Times New Roman"/>
          <w:sz w:val="24"/>
          <w:szCs w:val="24"/>
        </w:rPr>
      </w:pPr>
      <w:r w:rsidRPr="00B84332">
        <w:rPr>
          <w:rFonts w:ascii="Times New Roman" w:hAnsi="Times New Roman" w:cs="Times New Roman"/>
          <w:sz w:val="24"/>
          <w:szCs w:val="24"/>
        </w:rPr>
        <w:br w:type="page"/>
      </w:r>
    </w:p>
    <w:p w:rsidR="00B84332" w:rsidRPr="00B84332" w:rsidRDefault="00B84332" w:rsidP="00B84332">
      <w:pPr>
        <w:spacing w:line="480" w:lineRule="auto"/>
        <w:jc w:val="center"/>
        <w:rPr>
          <w:rFonts w:ascii="Times New Roman" w:hAnsi="Times New Roman" w:cs="Times New Roman"/>
          <w:sz w:val="24"/>
          <w:szCs w:val="24"/>
        </w:rPr>
      </w:pPr>
      <w:r w:rsidRPr="00B84332">
        <w:rPr>
          <w:rFonts w:ascii="Times New Roman" w:hAnsi="Times New Roman" w:cs="Times New Roman"/>
          <w:sz w:val="24"/>
          <w:szCs w:val="24"/>
        </w:rPr>
        <w:lastRenderedPageBreak/>
        <w:t>Work Cited</w:t>
      </w:r>
    </w:p>
    <w:p w:rsidR="00293517" w:rsidRPr="00280EB4" w:rsidRDefault="00293517" w:rsidP="00280EB4">
      <w:pPr>
        <w:spacing w:line="480" w:lineRule="auto"/>
        <w:ind w:left="720" w:hanging="720"/>
        <w:rPr>
          <w:rFonts w:ascii="Times New Roman" w:hAnsi="Times New Roman" w:cs="Times New Roman"/>
          <w:sz w:val="24"/>
        </w:rPr>
      </w:pPr>
      <w:hyperlink r:id="rId7" w:history="1">
        <w:r w:rsidRPr="00280EB4">
          <w:rPr>
            <w:rStyle w:val="Hyperlink"/>
            <w:rFonts w:ascii="Times New Roman" w:hAnsi="Times New Roman" w:cs="Times New Roman"/>
            <w:color w:val="auto"/>
            <w:sz w:val="24"/>
            <w:u w:val="none"/>
          </w:rPr>
          <w:t>http://www.nytimes.com/2015/06/02/us/supreme-court-rules-in-samantha-elauf-abercrombie-fitch-case.html</w:t>
        </w:r>
      </w:hyperlink>
    </w:p>
    <w:p w:rsidR="00293517" w:rsidRPr="00280EB4" w:rsidRDefault="00293517" w:rsidP="00280EB4">
      <w:pPr>
        <w:spacing w:line="480" w:lineRule="auto"/>
        <w:ind w:left="720" w:hanging="720"/>
        <w:rPr>
          <w:rFonts w:ascii="Times New Roman" w:hAnsi="Times New Roman" w:cs="Times New Roman"/>
          <w:sz w:val="24"/>
        </w:rPr>
      </w:pPr>
      <w:hyperlink r:id="rId8" w:history="1">
        <w:r w:rsidRPr="00280EB4">
          <w:rPr>
            <w:rStyle w:val="Hyperlink"/>
            <w:rFonts w:ascii="Times New Roman" w:hAnsi="Times New Roman" w:cs="Times New Roman"/>
            <w:color w:val="auto"/>
            <w:sz w:val="24"/>
            <w:u w:val="none"/>
          </w:rPr>
          <w:t>http://www.scotusblog.com/case-files/cases/equal-employment-opportunity-commission-v-</w:t>
        </w:r>
        <w:bookmarkStart w:id="0" w:name="_GoBack"/>
        <w:bookmarkEnd w:id="0"/>
        <w:r w:rsidRPr="00280EB4">
          <w:rPr>
            <w:rStyle w:val="Hyperlink"/>
            <w:rFonts w:ascii="Times New Roman" w:hAnsi="Times New Roman" w:cs="Times New Roman"/>
            <w:color w:val="auto"/>
            <w:sz w:val="24"/>
            <w:u w:val="none"/>
          </w:rPr>
          <w:t>abercrombie-fitch-stores-inc/</w:t>
        </w:r>
      </w:hyperlink>
    </w:p>
    <w:p w:rsidR="00293517" w:rsidRPr="00280EB4" w:rsidRDefault="00293517" w:rsidP="00280EB4">
      <w:pPr>
        <w:spacing w:line="480" w:lineRule="auto"/>
        <w:ind w:left="720" w:hanging="720"/>
        <w:rPr>
          <w:rFonts w:ascii="Times New Roman" w:hAnsi="Times New Roman" w:cs="Times New Roman"/>
          <w:sz w:val="24"/>
        </w:rPr>
      </w:pPr>
      <w:r w:rsidRPr="00280EB4">
        <w:rPr>
          <w:rFonts w:ascii="Times New Roman" w:hAnsi="Times New Roman" w:cs="Times New Roman"/>
          <w:sz w:val="24"/>
        </w:rPr>
        <w:t>http://www.supremecourt.gov/opinions/slipopinion/14</w:t>
      </w:r>
    </w:p>
    <w:p w:rsidR="00293517" w:rsidRPr="00280EB4" w:rsidRDefault="00293517" w:rsidP="00280EB4">
      <w:pPr>
        <w:spacing w:line="480" w:lineRule="auto"/>
        <w:ind w:left="720" w:hanging="720"/>
        <w:rPr>
          <w:rFonts w:ascii="Times New Roman" w:hAnsi="Times New Roman" w:cs="Times New Roman"/>
          <w:sz w:val="24"/>
        </w:rPr>
      </w:pPr>
      <w:hyperlink r:id="rId9" w:history="1">
        <w:r w:rsidRPr="00280EB4">
          <w:rPr>
            <w:rStyle w:val="Hyperlink"/>
            <w:rFonts w:ascii="Times New Roman" w:hAnsi="Times New Roman" w:cs="Times New Roman"/>
            <w:color w:val="auto"/>
            <w:sz w:val="24"/>
            <w:u w:val="none"/>
          </w:rPr>
          <w:t>http://www.wsj.com/articles/supreme-court-sides-with-muslim-abercrombie-job-applicant-over-head-scarf-1433170999</w:t>
        </w:r>
      </w:hyperlink>
    </w:p>
    <w:sectPr w:rsidR="00293517" w:rsidRPr="00280EB4" w:rsidSect="002D58D6">
      <w:head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31B" w:rsidRDefault="00DA331B" w:rsidP="00F806B0">
      <w:pPr>
        <w:spacing w:after="0" w:line="240" w:lineRule="auto"/>
      </w:pPr>
      <w:r>
        <w:separator/>
      </w:r>
    </w:p>
  </w:endnote>
  <w:endnote w:type="continuationSeparator" w:id="0">
    <w:p w:rsidR="00DA331B" w:rsidRDefault="00DA331B" w:rsidP="00F80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31B" w:rsidRDefault="00DA331B" w:rsidP="00F806B0">
      <w:pPr>
        <w:spacing w:after="0" w:line="240" w:lineRule="auto"/>
      </w:pPr>
      <w:r>
        <w:separator/>
      </w:r>
    </w:p>
  </w:footnote>
  <w:footnote w:type="continuationSeparator" w:id="0">
    <w:p w:rsidR="00DA331B" w:rsidRDefault="00DA331B" w:rsidP="00F80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8198"/>
      <w:docPartObj>
        <w:docPartGallery w:val="Page Numbers (Top of Page)"/>
        <w:docPartUnique/>
      </w:docPartObj>
    </w:sdtPr>
    <w:sdtEndPr>
      <w:rPr>
        <w:noProof/>
      </w:rPr>
    </w:sdtEndPr>
    <w:sdtContent>
      <w:p w:rsidR="002D58D6" w:rsidRDefault="002D58D6">
        <w:pPr>
          <w:pStyle w:val="Header"/>
          <w:jc w:val="right"/>
        </w:pPr>
        <w:r>
          <w:t xml:space="preserve">Last Name </w:t>
        </w:r>
        <w:r>
          <w:fldChar w:fldCharType="begin"/>
        </w:r>
        <w:r>
          <w:instrText xml:space="preserve"> PAGE   \* MERGEFORMAT </w:instrText>
        </w:r>
        <w:r>
          <w:fldChar w:fldCharType="separate"/>
        </w:r>
        <w:r w:rsidR="002F664E">
          <w:rPr>
            <w:noProof/>
          </w:rPr>
          <w:t>3</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AE5"/>
    <w:multiLevelType w:val="hybridMultilevel"/>
    <w:tmpl w:val="222E82C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sqgFAGvWROEtAAAA"/>
  </w:docVars>
  <w:rsids>
    <w:rsidRoot w:val="00D77BDB"/>
    <w:rsid w:val="00007C65"/>
    <w:rsid w:val="000204FE"/>
    <w:rsid w:val="00040008"/>
    <w:rsid w:val="00052B03"/>
    <w:rsid w:val="000A0097"/>
    <w:rsid w:val="000A6D74"/>
    <w:rsid w:val="000B7E53"/>
    <w:rsid w:val="000E1A52"/>
    <w:rsid w:val="001256A5"/>
    <w:rsid w:val="001533BA"/>
    <w:rsid w:val="0015602C"/>
    <w:rsid w:val="00156CDF"/>
    <w:rsid w:val="001721ED"/>
    <w:rsid w:val="001725BB"/>
    <w:rsid w:val="00185799"/>
    <w:rsid w:val="001A79B1"/>
    <w:rsid w:val="001C7352"/>
    <w:rsid w:val="00206079"/>
    <w:rsid w:val="002216F9"/>
    <w:rsid w:val="002231F9"/>
    <w:rsid w:val="002525EE"/>
    <w:rsid w:val="00263261"/>
    <w:rsid w:val="00264728"/>
    <w:rsid w:val="00280EB4"/>
    <w:rsid w:val="00285ABB"/>
    <w:rsid w:val="002863A9"/>
    <w:rsid w:val="00293517"/>
    <w:rsid w:val="002A51F4"/>
    <w:rsid w:val="002B0A92"/>
    <w:rsid w:val="002D58D6"/>
    <w:rsid w:val="002D72D1"/>
    <w:rsid w:val="002F664E"/>
    <w:rsid w:val="00310B74"/>
    <w:rsid w:val="0032299C"/>
    <w:rsid w:val="00327AC3"/>
    <w:rsid w:val="00336DBD"/>
    <w:rsid w:val="003721DD"/>
    <w:rsid w:val="00377E81"/>
    <w:rsid w:val="00393FCE"/>
    <w:rsid w:val="003D001A"/>
    <w:rsid w:val="003D41BA"/>
    <w:rsid w:val="003D435F"/>
    <w:rsid w:val="003F6D36"/>
    <w:rsid w:val="004041F1"/>
    <w:rsid w:val="0040610A"/>
    <w:rsid w:val="00422C6A"/>
    <w:rsid w:val="00431018"/>
    <w:rsid w:val="00497F25"/>
    <w:rsid w:val="004D15C9"/>
    <w:rsid w:val="004D4950"/>
    <w:rsid w:val="004E62FD"/>
    <w:rsid w:val="00506E25"/>
    <w:rsid w:val="0057625C"/>
    <w:rsid w:val="00576DC3"/>
    <w:rsid w:val="00581CA3"/>
    <w:rsid w:val="00595380"/>
    <w:rsid w:val="005B3868"/>
    <w:rsid w:val="005B4D47"/>
    <w:rsid w:val="005D1F72"/>
    <w:rsid w:val="0060073E"/>
    <w:rsid w:val="006140B7"/>
    <w:rsid w:val="00626F3B"/>
    <w:rsid w:val="00636B63"/>
    <w:rsid w:val="00654521"/>
    <w:rsid w:val="0067344F"/>
    <w:rsid w:val="006837D4"/>
    <w:rsid w:val="00711406"/>
    <w:rsid w:val="0072122C"/>
    <w:rsid w:val="00732368"/>
    <w:rsid w:val="00751396"/>
    <w:rsid w:val="00760CCF"/>
    <w:rsid w:val="00777B6F"/>
    <w:rsid w:val="007C32AB"/>
    <w:rsid w:val="007C6B2F"/>
    <w:rsid w:val="00812A6A"/>
    <w:rsid w:val="00827A5D"/>
    <w:rsid w:val="00831DE8"/>
    <w:rsid w:val="00835D8D"/>
    <w:rsid w:val="00885AA0"/>
    <w:rsid w:val="008958A9"/>
    <w:rsid w:val="008A5C2B"/>
    <w:rsid w:val="008B4862"/>
    <w:rsid w:val="008B700D"/>
    <w:rsid w:val="009166E4"/>
    <w:rsid w:val="00921A53"/>
    <w:rsid w:val="00927C06"/>
    <w:rsid w:val="0096065F"/>
    <w:rsid w:val="00971DFA"/>
    <w:rsid w:val="009726BD"/>
    <w:rsid w:val="00991B32"/>
    <w:rsid w:val="009A662B"/>
    <w:rsid w:val="009A6939"/>
    <w:rsid w:val="009B3388"/>
    <w:rsid w:val="009C05ED"/>
    <w:rsid w:val="009F2822"/>
    <w:rsid w:val="00A12231"/>
    <w:rsid w:val="00A231A5"/>
    <w:rsid w:val="00A51E95"/>
    <w:rsid w:val="00A73A6F"/>
    <w:rsid w:val="00A84A9D"/>
    <w:rsid w:val="00AA045E"/>
    <w:rsid w:val="00AD0DF3"/>
    <w:rsid w:val="00B20857"/>
    <w:rsid w:val="00B477D1"/>
    <w:rsid w:val="00B505CE"/>
    <w:rsid w:val="00B652A8"/>
    <w:rsid w:val="00B84332"/>
    <w:rsid w:val="00BE5F7D"/>
    <w:rsid w:val="00BF6B09"/>
    <w:rsid w:val="00C07D86"/>
    <w:rsid w:val="00C878DA"/>
    <w:rsid w:val="00CC1966"/>
    <w:rsid w:val="00CD3A66"/>
    <w:rsid w:val="00CF38E1"/>
    <w:rsid w:val="00CF54D5"/>
    <w:rsid w:val="00D13465"/>
    <w:rsid w:val="00D15535"/>
    <w:rsid w:val="00D35C9F"/>
    <w:rsid w:val="00D56ADA"/>
    <w:rsid w:val="00D7756E"/>
    <w:rsid w:val="00D77BDB"/>
    <w:rsid w:val="00DA2819"/>
    <w:rsid w:val="00DA331B"/>
    <w:rsid w:val="00DB4C81"/>
    <w:rsid w:val="00DE61E0"/>
    <w:rsid w:val="00E1626A"/>
    <w:rsid w:val="00E53524"/>
    <w:rsid w:val="00E61F37"/>
    <w:rsid w:val="00E77A8F"/>
    <w:rsid w:val="00EB3FC3"/>
    <w:rsid w:val="00EC1DFE"/>
    <w:rsid w:val="00ED4013"/>
    <w:rsid w:val="00ED5C2F"/>
    <w:rsid w:val="00EE2CAA"/>
    <w:rsid w:val="00EF1306"/>
    <w:rsid w:val="00F0189D"/>
    <w:rsid w:val="00F13434"/>
    <w:rsid w:val="00F806B0"/>
    <w:rsid w:val="00FA3FE7"/>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3A6A7"/>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20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usblog.com/case-files/cases/equal-employment-opportunity-commission-v-abercrombie-fitch-stores-inc/" TargetMode="External"/><Relationship Id="rId3" Type="http://schemas.openxmlformats.org/officeDocument/2006/relationships/settings" Target="settings.xml"/><Relationship Id="rId7" Type="http://schemas.openxmlformats.org/officeDocument/2006/relationships/hyperlink" Target="http://www.nytimes.com/2015/06/02/us/supreme-court-rules-in-samantha-elauf-abercrombie-fitch-case.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sj.com/articles/supreme-court-sides-with-muslim-abercrombie-job-applicant-over-head-scarf-1433170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Evening</dc:creator>
  <cp:keywords/>
  <dc:description/>
  <cp:lastModifiedBy>TC-2018</cp:lastModifiedBy>
  <cp:revision>2</cp:revision>
  <dcterms:created xsi:type="dcterms:W3CDTF">2019-02-20T19:29:00Z</dcterms:created>
  <dcterms:modified xsi:type="dcterms:W3CDTF">2019-02-20T19:29:00Z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