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B146" w14:textId="77777777" w:rsidR="00E81978" w:rsidRDefault="005F46E4">
      <w:pPr>
        <w:pStyle w:val="Title"/>
      </w:pPr>
      <w:sdt>
        <w:sdtPr>
          <w:alias w:val="Enter shortened title:"/>
          <w:tag w:val="Enter shortened title:"/>
          <w:id w:val="585031927"/>
        </w:sdtPr>
        <w:sdtEndPr/>
        <w:sdtContent>
          <w:r w:rsidR="002156F7" w:rsidRPr="002156F7">
            <w:t xml:space="preserve">   Case study Analysis</w:t>
          </w:r>
        </w:sdtContent>
      </w:sdt>
    </w:p>
    <w:p w14:paraId="46D59E93" w14:textId="77777777" w:rsidR="00B823AA" w:rsidRDefault="00A27CDD" w:rsidP="00B823AA">
      <w:pPr>
        <w:pStyle w:val="Title2"/>
      </w:pPr>
      <w:r>
        <w:t>NAME</w:t>
      </w:r>
    </w:p>
    <w:p w14:paraId="0C314692" w14:textId="77777777" w:rsidR="00E81978" w:rsidRDefault="005F46E4" w:rsidP="00B823AA">
      <w:pPr>
        <w:pStyle w:val="Title2"/>
      </w:pPr>
      <w:sdt>
        <w:sdtPr>
          <w:alias w:val="Institutional Affiliation(s):"/>
          <w:tag w:val="Institutional Affiliation(s):"/>
          <w:id w:val="-1771543088"/>
          <w:temporary/>
          <w:showingPlcHdr/>
          <w:text/>
        </w:sdtPr>
        <w:sdtEndPr/>
        <w:sdtContent>
          <w:r w:rsidR="005D3A03">
            <w:t>[Institutional Affiliation(s)]</w:t>
          </w:r>
        </w:sdtContent>
      </w:sdt>
    </w:p>
    <w:sdt>
      <w:sdtPr>
        <w:alias w:val="Author Note:"/>
        <w:tag w:val="Author Note:"/>
        <w:id w:val="266668659"/>
        <w:temporary/>
        <w:showingPlcHdr/>
      </w:sdtPr>
      <w:sdtEndPr/>
      <w:sdtContent>
        <w:p w14:paraId="596D085C" w14:textId="77777777" w:rsidR="00E81978" w:rsidRDefault="005D3A03">
          <w:pPr>
            <w:pStyle w:val="Title"/>
          </w:pPr>
          <w:r>
            <w:t>Author Note</w:t>
          </w:r>
        </w:p>
      </w:sdtContent>
    </w:sdt>
    <w:p w14:paraId="46E6898A" w14:textId="77777777" w:rsidR="00E81978" w:rsidRDefault="00E81978" w:rsidP="00B823AA">
      <w:pPr>
        <w:pStyle w:val="Title2"/>
      </w:pPr>
    </w:p>
    <w:p w14:paraId="15373DFD" w14:textId="77777777" w:rsidR="00E81978" w:rsidRDefault="00E81978"/>
    <w:p w14:paraId="0351D800" w14:textId="77777777" w:rsidR="002156F7" w:rsidRPr="002156F7" w:rsidRDefault="005F46E4" w:rsidP="000D179A">
      <w:pPr>
        <w:pStyle w:val="SectionTitle"/>
        <w:rPr>
          <w:rFonts w:ascii="Times New Roman" w:eastAsia="Times New Roman" w:hAnsi="Times New Roman" w:cs="Times New Roman"/>
          <w:b/>
        </w:rPr>
      </w:pPr>
      <w:sdt>
        <w:sdtPr>
          <w:alias w:val="Enter shortened title:"/>
          <w:tag w:val="Enter shortened title:"/>
          <w:id w:val="1120733146"/>
        </w:sdtPr>
        <w:sdtEndPr/>
        <w:sdtContent>
          <w:r w:rsidR="000D179A" w:rsidRPr="000D179A">
            <w:t>Case Study Analysis</w:t>
          </w:r>
        </w:sdtContent>
      </w:sdt>
    </w:p>
    <w:p w14:paraId="75D8173E" w14:textId="151A3A63" w:rsidR="002156F7" w:rsidRPr="002156F7" w:rsidRDefault="002156F7" w:rsidP="002156F7">
      <w:pPr>
        <w:jc w:val="both"/>
        <w:rPr>
          <w:rFonts w:ascii="Times New Roman" w:eastAsia="Times New Roman" w:hAnsi="Times New Roman" w:cs="Times New Roman"/>
        </w:rPr>
      </w:pPr>
      <w:r w:rsidRPr="002156F7">
        <w:rPr>
          <w:rFonts w:ascii="Times New Roman" w:eastAsia="Times New Roman" w:hAnsi="Times New Roman" w:cs="Times New Roman"/>
        </w:rPr>
        <w:t>In the search of natural g</w:t>
      </w:r>
      <w:r w:rsidR="008B1CB3">
        <w:rPr>
          <w:rFonts w:ascii="Times New Roman" w:eastAsia="Times New Roman" w:hAnsi="Times New Roman" w:cs="Times New Roman"/>
        </w:rPr>
        <w:t xml:space="preserve">as and crude oil, </w:t>
      </w:r>
      <w:r w:rsidR="008B1CB3" w:rsidRPr="002156F7">
        <w:rPr>
          <w:rFonts w:ascii="Times New Roman" w:eastAsia="Times New Roman" w:hAnsi="Times New Roman" w:cs="Times New Roman"/>
        </w:rPr>
        <w:t xml:space="preserve">Hess Corporation </w:t>
      </w:r>
      <w:r w:rsidR="008B1CB3">
        <w:rPr>
          <w:rFonts w:ascii="Times New Roman" w:eastAsia="Times New Roman" w:hAnsi="Times New Roman" w:cs="Times New Roman"/>
        </w:rPr>
        <w:t>is a one of</w:t>
      </w:r>
      <w:r w:rsidRPr="002156F7">
        <w:rPr>
          <w:rFonts w:ascii="Times New Roman" w:eastAsia="Times New Roman" w:hAnsi="Times New Roman" w:cs="Times New Roman"/>
        </w:rPr>
        <w:t xml:space="preserve"> </w:t>
      </w:r>
      <w:r w:rsidR="008B1CB3">
        <w:rPr>
          <w:rFonts w:ascii="Times New Roman" w:eastAsia="Times New Roman" w:hAnsi="Times New Roman" w:cs="Times New Roman"/>
        </w:rPr>
        <w:t>leading global company,</w:t>
      </w:r>
      <w:r w:rsidRPr="002156F7">
        <w:rPr>
          <w:rFonts w:ascii="Times New Roman" w:eastAsia="Times New Roman" w:hAnsi="Times New Roman" w:cs="Times New Roman"/>
        </w:rPr>
        <w:t xml:space="preserve"> which was founded in 1933 by Leon Hess and its CEO is John B. Hess. Hess Corporation’s leadership contains President and Chief Operating Officer Greg with ten board members and 14 organizational committee members having a headquarter in New York. </w:t>
      </w:r>
      <w:r w:rsidR="008B1CB3">
        <w:rPr>
          <w:rFonts w:ascii="Times New Roman" w:eastAsia="Times New Roman" w:hAnsi="Times New Roman" w:cs="Times New Roman"/>
        </w:rPr>
        <w:t>I</w:t>
      </w:r>
      <w:r w:rsidR="008B1CB3" w:rsidRPr="002156F7">
        <w:rPr>
          <w:rFonts w:ascii="Times New Roman" w:eastAsia="Times New Roman" w:hAnsi="Times New Roman" w:cs="Times New Roman"/>
        </w:rPr>
        <w:t>n 2016</w:t>
      </w:r>
      <w:r w:rsidR="008B1CB3">
        <w:rPr>
          <w:rFonts w:ascii="Times New Roman" w:eastAsia="Times New Roman" w:hAnsi="Times New Roman" w:cs="Times New Roman"/>
        </w:rPr>
        <w:t xml:space="preserve">, </w:t>
      </w:r>
      <w:r w:rsidRPr="002156F7">
        <w:rPr>
          <w:rFonts w:ascii="Times New Roman" w:eastAsia="Times New Roman" w:hAnsi="Times New Roman" w:cs="Times New Roman"/>
        </w:rPr>
        <w:t>It is placed a</w:t>
      </w:r>
      <w:r w:rsidR="008B1CB3">
        <w:rPr>
          <w:rFonts w:ascii="Times New Roman" w:eastAsia="Times New Roman" w:hAnsi="Times New Roman" w:cs="Times New Roman"/>
        </w:rPr>
        <w:t>t number 394 in the list of</w:t>
      </w:r>
      <w:r w:rsidR="0004275D">
        <w:rPr>
          <w:rFonts w:ascii="Times New Roman" w:eastAsia="Times New Roman" w:hAnsi="Times New Roman" w:cs="Times New Roman"/>
        </w:rPr>
        <w:t xml:space="preserve"> 500</w:t>
      </w:r>
      <w:r w:rsidR="008B1CB3">
        <w:rPr>
          <w:rFonts w:ascii="Times New Roman" w:eastAsia="Times New Roman" w:hAnsi="Times New Roman" w:cs="Times New Roman"/>
        </w:rPr>
        <w:t xml:space="preserve"> fortune </w:t>
      </w:r>
      <w:r w:rsidRPr="002156F7">
        <w:rPr>
          <w:rFonts w:ascii="Times New Roman" w:eastAsia="Times New Roman" w:hAnsi="Times New Roman" w:cs="Times New Roman"/>
        </w:rPr>
        <w:t>corporations . At the beginning of 2013, the revenue generation of Hess Corporation was approximately $13 billion from the sale of assets. Hess has taken part in 12 discoveries that are valued 5.5 billion barrels of oil, contain gross recoverable resources, offshore exploring in Suriname, Canada, Guyana and in the U.S. Gulf of Mexico. Five of these discoveries include Pacora, Ranger, Hammerhead, Pluma and, Longtai were announced in 2018.</w:t>
      </w:r>
    </w:p>
    <w:p w14:paraId="7E009BE9" w14:textId="6E60589B" w:rsidR="002156F7" w:rsidRPr="002156F7" w:rsidRDefault="002156F7" w:rsidP="002156F7">
      <w:pPr>
        <w:jc w:val="center"/>
        <w:rPr>
          <w:rFonts w:ascii="Times New Roman" w:eastAsia="Times New Roman" w:hAnsi="Times New Roman" w:cs="Times New Roman"/>
          <w:b/>
        </w:rPr>
      </w:pPr>
      <w:r w:rsidRPr="008B1CB3">
        <w:rPr>
          <w:rFonts w:ascii="Times New Roman" w:eastAsia="Times New Roman" w:hAnsi="Times New Roman" w:cs="Times New Roman"/>
          <w:b/>
        </w:rPr>
        <w:t xml:space="preserve">Organizational </w:t>
      </w:r>
      <w:r w:rsidR="00FE00B0">
        <w:rPr>
          <w:rFonts w:ascii="Times New Roman" w:eastAsia="Times New Roman" w:hAnsi="Times New Roman" w:cs="Times New Roman"/>
          <w:b/>
        </w:rPr>
        <w:t>A</w:t>
      </w:r>
      <w:r w:rsidRPr="008B1CB3">
        <w:rPr>
          <w:rFonts w:ascii="Times New Roman" w:eastAsia="Times New Roman" w:hAnsi="Times New Roman" w:cs="Times New Roman"/>
          <w:b/>
        </w:rPr>
        <w:t>nalysis</w:t>
      </w:r>
    </w:p>
    <w:p w14:paraId="786A2A42" w14:textId="0134A23A" w:rsidR="002156F7" w:rsidRPr="002156F7" w:rsidRDefault="002156F7" w:rsidP="002156F7">
      <w:pPr>
        <w:jc w:val="both"/>
        <w:rPr>
          <w:rFonts w:ascii="Times New Roman" w:eastAsia="Times New Roman" w:hAnsi="Times New Roman" w:cs="Times New Roman"/>
        </w:rPr>
      </w:pPr>
      <w:r w:rsidRPr="002156F7">
        <w:rPr>
          <w:rFonts w:ascii="Times New Roman" w:eastAsia="Times New Roman" w:hAnsi="Times New Roman" w:cs="Times New Roman"/>
        </w:rPr>
        <w:t xml:space="preserve">Company’s revenue was 5.466 billion USD (2017) and per day net production is averaged 277,000 barrels of oil including Libya, associated with 306,000 barrels of oil equivalent per day in 2017. It is the stock price is HES (NYSE) US$62.42. </w:t>
      </w:r>
      <w:r w:rsidR="008B1CB3">
        <w:rPr>
          <w:rFonts w:ascii="Times New Roman" w:eastAsia="Times New Roman" w:hAnsi="Times New Roman" w:cs="Times New Roman"/>
          <w:shd w:val="clear" w:color="auto" w:fill="FFFFFF"/>
        </w:rPr>
        <w:t xml:space="preserve">Batten, </w:t>
      </w:r>
      <w:r w:rsidR="008B1CB3" w:rsidRPr="002156F7">
        <w:rPr>
          <w:rFonts w:ascii="Times New Roman" w:eastAsia="Times New Roman" w:hAnsi="Times New Roman" w:cs="Times New Roman"/>
          <w:shd w:val="clear" w:color="auto" w:fill="FFFFFF"/>
        </w:rPr>
        <w:t xml:space="preserve">Ciner, </w:t>
      </w:r>
      <w:r w:rsidR="008B1CB3">
        <w:rPr>
          <w:rFonts w:ascii="Times New Roman" w:eastAsia="Times New Roman" w:hAnsi="Times New Roman" w:cs="Times New Roman"/>
          <w:shd w:val="clear" w:color="auto" w:fill="FFFFFF"/>
        </w:rPr>
        <w:t>and Lu</w:t>
      </w:r>
      <w:bookmarkStart w:id="0" w:name="_GoBack"/>
      <w:bookmarkEnd w:id="0"/>
      <w:r w:rsidR="008B1CB3">
        <w:rPr>
          <w:rFonts w:ascii="Times New Roman" w:eastAsia="Times New Roman" w:hAnsi="Times New Roman" w:cs="Times New Roman"/>
          <w:shd w:val="clear" w:color="auto" w:fill="FFFFFF"/>
        </w:rPr>
        <w:t xml:space="preserve">cey </w:t>
      </w:r>
      <w:r w:rsidR="008B1CB3" w:rsidRPr="002156F7">
        <w:rPr>
          <w:rFonts w:ascii="Times New Roman" w:eastAsia="Times New Roman" w:hAnsi="Times New Roman" w:cs="Times New Roman"/>
          <w:shd w:val="clear" w:color="auto" w:fill="FFFFFF"/>
        </w:rPr>
        <w:t xml:space="preserve"> </w:t>
      </w:r>
      <w:r w:rsidR="008B1CB3">
        <w:rPr>
          <w:rFonts w:ascii="Times New Roman" w:eastAsia="Times New Roman" w:hAnsi="Times New Roman" w:cs="Times New Roman"/>
          <w:shd w:val="clear" w:color="auto" w:fill="FFFFFF"/>
        </w:rPr>
        <w:t xml:space="preserve">(2017) </w:t>
      </w:r>
      <w:r w:rsidRPr="002156F7">
        <w:rPr>
          <w:rFonts w:ascii="Times New Roman" w:eastAsia="Times New Roman" w:hAnsi="Times New Roman" w:cs="Times New Roman"/>
        </w:rPr>
        <w:t>has found long term price dependencies among crude oil and natural gas earlier and now they are getting</w:t>
      </w:r>
      <w:r w:rsidR="008B1CB3">
        <w:rPr>
          <w:rFonts w:ascii="Times New Roman" w:eastAsia="Times New Roman" w:hAnsi="Times New Roman" w:cs="Times New Roman"/>
        </w:rPr>
        <w:t xml:space="preserve"> independent with the passage of time.</w:t>
      </w:r>
      <w:r w:rsidRPr="002156F7">
        <w:rPr>
          <w:rFonts w:ascii="Times New Roman" w:eastAsia="Times New Roman" w:hAnsi="Times New Roman" w:cs="Times New Roman"/>
        </w:rPr>
        <w:t xml:space="preserve"> </w:t>
      </w:r>
    </w:p>
    <w:p w14:paraId="1BE4267B" w14:textId="464DDA8A" w:rsidR="002156F7" w:rsidRPr="002156F7" w:rsidRDefault="002156F7" w:rsidP="002156F7">
      <w:pPr>
        <w:jc w:val="both"/>
        <w:rPr>
          <w:rFonts w:ascii="Times New Roman" w:eastAsia="Times New Roman" w:hAnsi="Times New Roman" w:cs="Times New Roman"/>
        </w:rPr>
      </w:pPr>
      <w:r w:rsidRPr="002156F7">
        <w:rPr>
          <w:rFonts w:ascii="Times New Roman" w:eastAsia="Times New Roman" w:hAnsi="Times New Roman" w:cs="Times New Roman"/>
        </w:rPr>
        <w:t xml:space="preserve"> Hess operating fee-based services includes collection, compressing and processing of natural gas and crude oil and NGL’s transportation, propane storing and terminating, fractionating NGL’s and water handling services. As on 31</w:t>
      </w:r>
      <w:r w:rsidRPr="002156F7">
        <w:rPr>
          <w:rFonts w:ascii="Times New Roman" w:eastAsia="Times New Roman" w:hAnsi="Times New Roman" w:cs="Times New Roman"/>
          <w:vertAlign w:val="superscript"/>
        </w:rPr>
        <w:t>st</w:t>
      </w:r>
      <w:r w:rsidRPr="002156F7">
        <w:rPr>
          <w:rFonts w:ascii="Times New Roman" w:eastAsia="Times New Roman" w:hAnsi="Times New Roman" w:cs="Times New Roman"/>
        </w:rPr>
        <w:t>Dec 2018</w:t>
      </w:r>
      <w:r w:rsidR="008B1CB3">
        <w:rPr>
          <w:rFonts w:ascii="Times New Roman" w:eastAsia="Times New Roman" w:hAnsi="Times New Roman" w:cs="Times New Roman"/>
        </w:rPr>
        <w:t>,</w:t>
      </w:r>
      <w:r w:rsidRPr="002156F7">
        <w:rPr>
          <w:rFonts w:ascii="Times New Roman" w:eastAsia="Times New Roman" w:hAnsi="Times New Roman" w:cs="Times New Roman"/>
        </w:rPr>
        <w:t xml:space="preserve"> consolidated balance sheet</w:t>
      </w:r>
      <w:r w:rsidR="008B1CB3">
        <w:rPr>
          <w:rFonts w:ascii="Times New Roman" w:eastAsia="Times New Roman" w:hAnsi="Times New Roman" w:cs="Times New Roman"/>
        </w:rPr>
        <w:t xml:space="preserve"> shows</w:t>
      </w:r>
      <w:r w:rsidRPr="002156F7">
        <w:rPr>
          <w:rFonts w:ascii="Times New Roman" w:eastAsia="Times New Roman" w:hAnsi="Times New Roman" w:cs="Times New Roman"/>
        </w:rPr>
        <w:t xml:space="preserve"> </w:t>
      </w:r>
      <w:r w:rsidR="008B1CB3" w:rsidRPr="002156F7">
        <w:rPr>
          <w:rFonts w:ascii="Times New Roman" w:eastAsia="Times New Roman" w:hAnsi="Times New Roman" w:cs="Times New Roman"/>
        </w:rPr>
        <w:t>approx.</w:t>
      </w:r>
      <w:r w:rsidR="008B1CB3">
        <w:rPr>
          <w:rFonts w:ascii="Times New Roman" w:eastAsia="Times New Roman" w:hAnsi="Times New Roman" w:cs="Times New Roman"/>
        </w:rPr>
        <w:t xml:space="preserve"> </w:t>
      </w:r>
      <w:r w:rsidRPr="002156F7">
        <w:rPr>
          <w:rFonts w:ascii="Times New Roman" w:eastAsia="Times New Roman" w:hAnsi="Times New Roman" w:cs="Times New Roman"/>
        </w:rPr>
        <w:t xml:space="preserve">$1.2 billion is its finance lease obligations of which approx. $390 million is liabilities finance lease obligations totaling approximately $1.2 billion, of which approximately $390 million of liabilities at December 31, 2018, are included in the Consolidated Balance Sheet. </w:t>
      </w:r>
      <w:r w:rsidRPr="002156F7">
        <w:rPr>
          <w:rFonts w:ascii="Times New Roman" w:eastAsia="Times New Roman" w:hAnsi="Times New Roman" w:cs="Times New Roman"/>
        </w:rPr>
        <w:lastRenderedPageBreak/>
        <w:t>There are 3,100 stockholders who owned a total of 303,034,262 shares of common stock as on January 31, 2019. In the last four years,, the cash dividends on common stock totaled $1.00 per share per year ($0.25 per quarter).</w:t>
      </w:r>
    </w:p>
    <w:p w14:paraId="1AA503F1" w14:textId="215F94A6" w:rsidR="002156F7" w:rsidRPr="002156F7" w:rsidRDefault="002156F7" w:rsidP="002156F7">
      <w:pPr>
        <w:jc w:val="both"/>
        <w:rPr>
          <w:rFonts w:ascii="Times New Roman" w:eastAsia="Times New Roman" w:hAnsi="Times New Roman" w:cs="Times New Roman"/>
        </w:rPr>
      </w:pPr>
      <w:r w:rsidRPr="002156F7">
        <w:rPr>
          <w:rFonts w:ascii="Times New Roman" w:eastAsia="Times New Roman" w:hAnsi="Times New Roman" w:cs="Times New Roman"/>
        </w:rPr>
        <w:t>Accounting rules affect investment decision according to the study of Shroff (2017). The firm is registered with PCAOB and in accordance, the U.S federal securities law they are required to be independent and the rules and regulations are applicable to the PCAOB and Secu</w:t>
      </w:r>
      <w:r w:rsidR="008B1CB3">
        <w:rPr>
          <w:rFonts w:ascii="Times New Roman" w:eastAsia="Times New Roman" w:hAnsi="Times New Roman" w:cs="Times New Roman"/>
        </w:rPr>
        <w:t>rities and Exchange Commission.</w:t>
      </w:r>
      <w:r w:rsidRPr="002156F7">
        <w:rPr>
          <w:rFonts w:ascii="Times New Roman" w:eastAsia="Times New Roman" w:hAnsi="Times New Roman" w:cs="Times New Roman"/>
        </w:rPr>
        <w:t xml:space="preserve"> </w:t>
      </w:r>
      <w:r w:rsidR="008B1CB3">
        <w:rPr>
          <w:rFonts w:ascii="Times New Roman" w:eastAsia="Times New Roman" w:hAnsi="Times New Roman" w:cs="Times New Roman"/>
        </w:rPr>
        <w:t xml:space="preserve">Firstly, they are </w:t>
      </w:r>
      <w:r w:rsidR="008B1CB3" w:rsidRPr="002156F7">
        <w:rPr>
          <w:rFonts w:ascii="Times New Roman" w:eastAsia="Times New Roman" w:hAnsi="Times New Roman" w:cs="Times New Roman"/>
        </w:rPr>
        <w:t>required</w:t>
      </w:r>
      <w:r w:rsidRPr="002156F7">
        <w:rPr>
          <w:rFonts w:ascii="Times New Roman" w:eastAsia="Times New Roman" w:hAnsi="Times New Roman" w:cs="Times New Roman"/>
        </w:rPr>
        <w:t xml:space="preserve"> to maintain a record with reasonable accuracy, detail and fairly reflect the disposition and transaction of the company's assets. </w:t>
      </w:r>
      <w:r w:rsidR="008B1CB3">
        <w:rPr>
          <w:rFonts w:ascii="Times New Roman" w:eastAsia="Times New Roman" w:hAnsi="Times New Roman" w:cs="Times New Roman"/>
        </w:rPr>
        <w:t xml:space="preserve">Secondly, </w:t>
      </w:r>
      <w:r w:rsidR="008B1CB3" w:rsidRPr="002156F7">
        <w:rPr>
          <w:rFonts w:ascii="Times New Roman" w:eastAsia="Times New Roman" w:hAnsi="Times New Roman" w:cs="Times New Roman"/>
        </w:rPr>
        <w:t>prepare</w:t>
      </w:r>
      <w:r w:rsidRPr="002156F7">
        <w:rPr>
          <w:rFonts w:ascii="Times New Roman" w:eastAsia="Times New Roman" w:hAnsi="Times New Roman" w:cs="Times New Roman"/>
        </w:rPr>
        <w:t xml:space="preserve"> financial statements in accordance with GAAP (generally a</w:t>
      </w:r>
      <w:r w:rsidR="008B1CB3">
        <w:rPr>
          <w:rFonts w:ascii="Times New Roman" w:eastAsia="Times New Roman" w:hAnsi="Times New Roman" w:cs="Times New Roman"/>
        </w:rPr>
        <w:t>ccepted accounting principal.</w:t>
      </w:r>
      <w:r w:rsidR="008B1CB3" w:rsidRPr="002156F7">
        <w:rPr>
          <w:rFonts w:ascii="Times New Roman" w:eastAsia="Times New Roman" w:hAnsi="Times New Roman" w:cs="Times New Roman"/>
        </w:rPr>
        <w:t xml:space="preserve"> Company</w:t>
      </w:r>
      <w:r w:rsidRPr="002156F7">
        <w:rPr>
          <w:rFonts w:ascii="Times New Roman" w:eastAsia="Times New Roman" w:hAnsi="Times New Roman" w:cs="Times New Roman"/>
        </w:rPr>
        <w:t xml:space="preserve"> Directors and Management can only authorize to deal with expenditures </w:t>
      </w:r>
      <w:r w:rsidR="008B1CB3">
        <w:rPr>
          <w:rFonts w:ascii="Times New Roman" w:eastAsia="Times New Roman" w:hAnsi="Times New Roman" w:cs="Times New Roman"/>
        </w:rPr>
        <w:t>and receipts of the company. Finally, t</w:t>
      </w:r>
      <w:r w:rsidRPr="002156F7">
        <w:rPr>
          <w:rFonts w:ascii="Times New Roman" w:eastAsia="Times New Roman" w:hAnsi="Times New Roman" w:cs="Times New Roman"/>
        </w:rPr>
        <w:t>imely detection or prevention of use, disposition or unauthorized acquisition of the company's asset that could have a quantifiable effect on financial statements.</w:t>
      </w:r>
    </w:p>
    <w:p w14:paraId="4795046D" w14:textId="310AA1CE" w:rsidR="002156F7" w:rsidRPr="002156F7" w:rsidRDefault="002156F7" w:rsidP="00A27CDD">
      <w:pPr>
        <w:pStyle w:val="Heading1"/>
      </w:pPr>
      <w:r w:rsidRPr="002156F7">
        <w:t xml:space="preserve">Critical </w:t>
      </w:r>
      <w:r w:rsidR="00FE00B0">
        <w:t>I</w:t>
      </w:r>
      <w:r w:rsidRPr="00FE00B0">
        <w:t>ncident</w:t>
      </w:r>
    </w:p>
    <w:p w14:paraId="3AD79533" w14:textId="398B3F49" w:rsidR="002156F7" w:rsidRPr="002156F7" w:rsidRDefault="002156F7" w:rsidP="002156F7">
      <w:pPr>
        <w:jc w:val="both"/>
        <w:rPr>
          <w:rFonts w:ascii="Times New Roman" w:eastAsia="Times New Roman" w:hAnsi="Times New Roman" w:cs="Times New Roman"/>
        </w:rPr>
      </w:pPr>
      <w:r w:rsidRPr="002156F7">
        <w:rPr>
          <w:rFonts w:ascii="Times New Roman" w:eastAsia="Times New Roman" w:hAnsi="Times New Roman" w:cs="Times New Roman"/>
        </w:rPr>
        <w:t>Hess Corporation has published a piece of news that they have faced a breakout of a fire at Royal Dutch Shell plc.’s RDS in Mexico operations. At its</w:t>
      </w:r>
      <w:r w:rsidRPr="002156F7">
        <w:rPr>
          <w:rFonts w:ascii="Times New Roman" w:eastAsia="Times New Roman" w:hAnsi="Times New Roman" w:cs="Times New Roman"/>
          <w:shd w:val="clear" w:color="auto" w:fill="FFFFFF"/>
        </w:rPr>
        <w:t xml:space="preserve"> Conger, Baldpate, Penn state fields Hess production was temporarily abandoned. Production operation at Royal Dutch Shel</w:t>
      </w:r>
      <w:r w:rsidR="008B1CB3">
        <w:rPr>
          <w:rFonts w:ascii="Times New Roman" w:eastAsia="Times New Roman" w:hAnsi="Times New Roman" w:cs="Times New Roman"/>
          <w:shd w:val="clear" w:color="auto" w:fill="FFFFFF"/>
        </w:rPr>
        <w:t xml:space="preserve">l in Llano Field has been shut and </w:t>
      </w:r>
      <w:r w:rsidRPr="002156F7">
        <w:rPr>
          <w:rFonts w:ascii="Times New Roman" w:eastAsia="Times New Roman" w:hAnsi="Times New Roman" w:cs="Times New Roman"/>
          <w:shd w:val="clear" w:color="auto" w:fill="FFFFFF"/>
        </w:rPr>
        <w:t xml:space="preserve">Hess holds a 50% interest in those fields. Approx. 30 thousand barrels of oil were produced from these fields. For restoring the damaged assets Royal Dutch Shell stated that a plan is being developed. Garden Bank Gas pipeline production system will be closed until next notice. Royal Dutch with the corporation of Hess set the restart time of the Enchilada platform and they again start the whole production within a week. Hess Corporation is facing shareholders request to address the reduction of carbon footprint in alignment with greenhouse </w:t>
      </w:r>
      <w:r w:rsidRPr="002156F7">
        <w:rPr>
          <w:rFonts w:ascii="Times New Roman" w:eastAsia="Times New Roman" w:hAnsi="Times New Roman" w:cs="Times New Roman"/>
          <w:shd w:val="clear" w:color="auto" w:fill="FFFFFF"/>
        </w:rPr>
        <w:lastRenderedPageBreak/>
        <w:t xml:space="preserve">gas to maintain global warming Paris agreement below 2 degree Celsius. It will be helpful for company growth and future prosperity. </w:t>
      </w:r>
      <w:r w:rsidRPr="002156F7">
        <w:rPr>
          <w:rFonts w:ascii="Times New Roman" w:eastAsia="Times New Roman" w:hAnsi="Times New Roman" w:cs="Times New Roman"/>
        </w:rPr>
        <w:t>For the cleanup of soil contaminated with petroleum, hydrocarbons Phytoremediation is a promising approach (Fatima 2018)</w:t>
      </w:r>
    </w:p>
    <w:p w14:paraId="7B83A9EE" w14:textId="62DCBF7A" w:rsidR="002156F7" w:rsidRPr="002156F7" w:rsidRDefault="002156F7" w:rsidP="002156F7">
      <w:pPr>
        <w:jc w:val="center"/>
        <w:rPr>
          <w:rFonts w:ascii="Times New Roman" w:eastAsia="Times New Roman" w:hAnsi="Times New Roman" w:cs="Times New Roman"/>
          <w:b/>
          <w:shd w:val="clear" w:color="auto" w:fill="FFFFFF"/>
        </w:rPr>
      </w:pPr>
      <w:r w:rsidRPr="008B1CB3">
        <w:rPr>
          <w:rFonts w:ascii="Times New Roman" w:eastAsia="Times New Roman" w:hAnsi="Times New Roman" w:cs="Times New Roman"/>
          <w:b/>
        </w:rPr>
        <w:t xml:space="preserve">Investment </w:t>
      </w:r>
      <w:r w:rsidR="00FE00B0">
        <w:rPr>
          <w:rFonts w:ascii="Times New Roman" w:eastAsia="Times New Roman" w:hAnsi="Times New Roman" w:cs="Times New Roman"/>
          <w:b/>
        </w:rPr>
        <w:t>P</w:t>
      </w:r>
      <w:r w:rsidRPr="008B1CB3">
        <w:rPr>
          <w:rFonts w:ascii="Times New Roman" w:eastAsia="Times New Roman" w:hAnsi="Times New Roman" w:cs="Times New Roman"/>
          <w:b/>
        </w:rPr>
        <w:t>otential</w:t>
      </w:r>
    </w:p>
    <w:p w14:paraId="051AF897" w14:textId="72693B47" w:rsidR="002156F7" w:rsidRPr="002156F7" w:rsidRDefault="002156F7" w:rsidP="002156F7">
      <w:pPr>
        <w:jc w:val="both"/>
        <w:rPr>
          <w:rFonts w:ascii="Times New Roman" w:eastAsia="Times New Roman" w:hAnsi="Times New Roman" w:cs="Times New Roman"/>
          <w:shd w:val="clear" w:color="auto" w:fill="FFFFFF"/>
        </w:rPr>
      </w:pPr>
      <w:r w:rsidRPr="002156F7">
        <w:rPr>
          <w:rFonts w:ascii="Times New Roman" w:eastAsia="Times New Roman" w:hAnsi="Times New Roman" w:cs="Times New Roman"/>
          <w:shd w:val="clear" w:color="auto" w:fill="FFFFFF"/>
        </w:rPr>
        <w:t>Capital investment for Midstream operations projected to be approximately $330 million.  Production of oil and Gas foreca</w:t>
      </w:r>
      <w:r w:rsidR="008B1CB3">
        <w:rPr>
          <w:rFonts w:ascii="Times New Roman" w:eastAsia="Times New Roman" w:hAnsi="Times New Roman" w:cs="Times New Roman"/>
          <w:shd w:val="clear" w:color="auto" w:fill="FFFFFF"/>
        </w:rPr>
        <w:t xml:space="preserve">st to be a range of 270,000 BOE </w:t>
      </w:r>
      <w:r w:rsidRPr="002156F7">
        <w:rPr>
          <w:rFonts w:ascii="Times New Roman" w:eastAsia="Times New Roman" w:hAnsi="Times New Roman" w:cs="Times New Roman"/>
          <w:shd w:val="clear" w:color="auto" w:fill="FFFFFF"/>
        </w:rPr>
        <w:t>to 280</w:t>
      </w:r>
      <w:r w:rsidR="008B1CB3">
        <w:rPr>
          <w:rFonts w:ascii="Times New Roman" w:eastAsia="Times New Roman" w:hAnsi="Times New Roman" w:cs="Times New Roman"/>
          <w:shd w:val="clear" w:color="auto" w:fill="FFFFFF"/>
        </w:rPr>
        <w:t>,000</w:t>
      </w:r>
      <w:r w:rsidRPr="002156F7">
        <w:rPr>
          <w:rFonts w:ascii="Times New Roman" w:eastAsia="Times New Roman" w:hAnsi="Times New Roman" w:cs="Times New Roman"/>
          <w:shd w:val="clear" w:color="auto" w:fill="FFFFFF"/>
        </w:rPr>
        <w:t xml:space="preserve"> </w:t>
      </w:r>
      <w:r w:rsidR="008B1CB3">
        <w:rPr>
          <w:rFonts w:ascii="Times New Roman" w:eastAsia="Times New Roman" w:hAnsi="Times New Roman" w:cs="Times New Roman"/>
          <w:shd w:val="clear" w:color="auto" w:fill="FFFFFF"/>
        </w:rPr>
        <w:t>BOE</w:t>
      </w:r>
      <w:r w:rsidRPr="002156F7">
        <w:rPr>
          <w:rFonts w:ascii="Times New Roman" w:eastAsia="Times New Roman" w:hAnsi="Times New Roman" w:cs="Times New Roman"/>
          <w:shd w:val="clear" w:color="auto" w:fill="FFFFFF"/>
        </w:rPr>
        <w:t xml:space="preserve"> excluding 248,000 boepd of Libya production. In 2019 they have purchased a crude oil put option that creates a WTI monthly floor price $60 per barrel for production of </w:t>
      </w:r>
      <w:r w:rsidRPr="008B1CB3">
        <w:rPr>
          <w:rFonts w:ascii="Times New Roman" w:eastAsia="Times New Roman" w:hAnsi="Times New Roman" w:cs="Times New Roman"/>
          <w:shd w:val="clear" w:color="auto" w:fill="FFFFFF"/>
        </w:rPr>
        <w:t xml:space="preserve">95,000 </w:t>
      </w:r>
      <w:r w:rsidR="008B1CB3" w:rsidRPr="008B1CB3">
        <w:rPr>
          <w:rFonts w:ascii="Times New Roman" w:eastAsia="Times New Roman" w:hAnsi="Times New Roman" w:cs="Times New Roman"/>
          <w:shd w:val="clear" w:color="auto" w:fill="FFFFFF"/>
        </w:rPr>
        <w:t>BOE</w:t>
      </w:r>
      <w:r w:rsidRPr="008B1CB3">
        <w:rPr>
          <w:rFonts w:ascii="Times New Roman" w:eastAsia="Times New Roman" w:hAnsi="Times New Roman" w:cs="Times New Roman"/>
          <w:shd w:val="clear" w:color="auto" w:fill="FFFFFF"/>
        </w:rPr>
        <w:t>.</w:t>
      </w:r>
      <w:r w:rsidRPr="002156F7">
        <w:rPr>
          <w:rFonts w:ascii="Times New Roman" w:eastAsia="Times New Roman" w:hAnsi="Times New Roman" w:cs="Times New Roman"/>
          <w:shd w:val="clear" w:color="auto" w:fill="FFFFFF"/>
        </w:rPr>
        <w:t xml:space="preserve"> In 2018 net cash provided was 1939$ million by operating activities, as compared to 2019 it was $945, whereas in 2017 and 2018 capital expenditure was $2180 million and $1973. It is the expectation that the cash flows from operating activities will be sufficient to fund dividend and capital investment program at the end of 2019.</w:t>
      </w:r>
    </w:p>
    <w:p w14:paraId="76BF6655" w14:textId="77777777" w:rsidR="002156F7" w:rsidRPr="002156F7" w:rsidRDefault="002156F7" w:rsidP="002156F7">
      <w:pPr>
        <w:jc w:val="center"/>
        <w:rPr>
          <w:rFonts w:ascii="Times New Roman" w:eastAsia="Times New Roman" w:hAnsi="Times New Roman" w:cs="Times New Roman"/>
          <w:b/>
          <w:shd w:val="clear" w:color="auto" w:fill="FFFFFF"/>
        </w:rPr>
      </w:pPr>
      <w:r w:rsidRPr="002156F7">
        <w:rPr>
          <w:rFonts w:ascii="Times New Roman" w:eastAsia="Times New Roman" w:hAnsi="Times New Roman" w:cs="Times New Roman"/>
          <w:b/>
          <w:shd w:val="clear" w:color="auto" w:fill="FFFFFF"/>
        </w:rPr>
        <w:t>Recommendations</w:t>
      </w:r>
    </w:p>
    <w:p w14:paraId="27C5D4E6" w14:textId="2C9CDA5B" w:rsidR="002156F7" w:rsidRPr="002156F7" w:rsidRDefault="002156F7" w:rsidP="002156F7">
      <w:pPr>
        <w:jc w:val="both"/>
        <w:rPr>
          <w:rFonts w:ascii="Times New Roman" w:eastAsia="Times New Roman" w:hAnsi="Times New Roman" w:cs="Times New Roman"/>
        </w:rPr>
      </w:pPr>
      <w:r w:rsidRPr="002156F7">
        <w:rPr>
          <w:rFonts w:ascii="Times New Roman" w:eastAsia="Times New Roman" w:hAnsi="Times New Roman" w:cs="Times New Roman"/>
          <w:shd w:val="clear" w:color="auto" w:fill="FFFFFF"/>
        </w:rPr>
        <w:t>Investment decision making involves bearing the risk and gaining rewards among various options. Riskiest investment yields to higher return whereas less risky inve</w:t>
      </w:r>
      <w:r w:rsidR="008B1CB3">
        <w:rPr>
          <w:rFonts w:ascii="Times New Roman" w:eastAsia="Times New Roman" w:hAnsi="Times New Roman" w:cs="Times New Roman"/>
          <w:shd w:val="clear" w:color="auto" w:fill="FFFFFF"/>
        </w:rPr>
        <w:t>stment yields to smaller reward</w:t>
      </w:r>
      <w:r w:rsidRPr="002156F7">
        <w:rPr>
          <w:rFonts w:ascii="Times New Roman" w:eastAsia="Times New Roman" w:hAnsi="Times New Roman" w:cs="Times New Roman"/>
          <w:shd w:val="clear" w:color="auto" w:fill="FFFFFF"/>
        </w:rPr>
        <w:t xml:space="preserve"> (Donoghue,. 2018). </w:t>
      </w:r>
      <w:r w:rsidRPr="002156F7">
        <w:rPr>
          <w:rFonts w:ascii="Times New Roman" w:eastAsia="Times New Roman" w:hAnsi="Times New Roman" w:cs="Times New Roman"/>
        </w:rPr>
        <w:t>In management science researchers use different tools in the field of finance some examples include conditional value at risk modeling</w:t>
      </w:r>
      <w:r w:rsidRPr="002156F7">
        <w:rPr>
          <w:rFonts w:ascii="Times New Roman" w:eastAsia="Times New Roman" w:hAnsi="Times New Roman" w:cs="Times New Roman"/>
          <w:shd w:val="clear" w:color="auto" w:fill="FFFFFF"/>
        </w:rPr>
        <w:t xml:space="preserve"> (Zhao, Lu, Han, Liu &amp; Hu 2015)</w:t>
      </w:r>
      <w:r w:rsidRPr="002156F7">
        <w:rPr>
          <w:rFonts w:ascii="Times New Roman" w:eastAsia="Times New Roman" w:hAnsi="Times New Roman" w:cs="Times New Roman"/>
        </w:rPr>
        <w:t xml:space="preserve">, Ho (2009) used tools of traditional return on equity measures compared data envelopment analysis in risk scoring with almost 12 US publically traded firms. </w:t>
      </w:r>
      <w:r w:rsidRPr="002156F7">
        <w:rPr>
          <w:rFonts w:ascii="Times New Roman" w:eastAsia="Times New Roman" w:hAnsi="Times New Roman" w:cs="Times New Roman"/>
          <w:shd w:val="clear" w:color="auto" w:fill="FFFFFF"/>
        </w:rPr>
        <w:t>Z</w:t>
      </w:r>
      <w:r w:rsidR="008B1CB3">
        <w:rPr>
          <w:rFonts w:ascii="Times New Roman" w:eastAsia="Times New Roman" w:hAnsi="Times New Roman" w:cs="Times New Roman"/>
          <w:shd w:val="clear" w:color="auto" w:fill="FFFFFF"/>
        </w:rPr>
        <w:t>hang, Avasarala and</w:t>
      </w:r>
      <w:r w:rsidRPr="002156F7">
        <w:rPr>
          <w:rFonts w:ascii="Times New Roman" w:eastAsia="Times New Roman" w:hAnsi="Times New Roman" w:cs="Times New Roman"/>
          <w:shd w:val="clear" w:color="auto" w:fill="FFFFFF"/>
        </w:rPr>
        <w:t xml:space="preserve"> Subbu, (2010)</w:t>
      </w:r>
      <w:r w:rsidR="008B1CB3">
        <w:rPr>
          <w:rFonts w:ascii="Times New Roman" w:eastAsia="Times New Roman" w:hAnsi="Times New Roman" w:cs="Times New Roman"/>
        </w:rPr>
        <w:t xml:space="preserve"> studies analyses credit decision making by using</w:t>
      </w:r>
      <w:r w:rsidRPr="002156F7">
        <w:rPr>
          <w:rFonts w:ascii="Times New Roman" w:eastAsia="Times New Roman" w:hAnsi="Times New Roman" w:cs="Times New Roman"/>
        </w:rPr>
        <w:t xml:space="preserve"> evolutionary optimization model and these tools are used for risk elimination. </w:t>
      </w:r>
    </w:p>
    <w:p w14:paraId="6B854582" w14:textId="1F0A9235" w:rsidR="002156F7" w:rsidRPr="002156F7" w:rsidRDefault="002156F7" w:rsidP="002156F7">
      <w:pPr>
        <w:jc w:val="both"/>
        <w:rPr>
          <w:rFonts w:ascii="Times New Roman" w:eastAsia="Times New Roman" w:hAnsi="Times New Roman" w:cs="Times New Roman"/>
        </w:rPr>
      </w:pPr>
      <w:r w:rsidRPr="002156F7">
        <w:rPr>
          <w:rFonts w:ascii="Times New Roman" w:eastAsia="Times New Roman" w:hAnsi="Times New Roman" w:cs="Times New Roman"/>
        </w:rPr>
        <w:t xml:space="preserve">Wang (2019) recent seven years studies show that the selected companies return ratio and energy return ratio of gas extraction and unconventional oil operation shows different tendencies </w:t>
      </w:r>
      <w:r w:rsidRPr="002156F7">
        <w:rPr>
          <w:rFonts w:ascii="Times New Roman" w:eastAsia="Times New Roman" w:hAnsi="Times New Roman" w:cs="Times New Roman"/>
        </w:rPr>
        <w:lastRenderedPageBreak/>
        <w:t>as a result of fluctuation of oil price. Financial Investors should preserve capital in an unstable environment and found Hess Corporation safer to invest because of large-cap stock. Risk-averse investors in the big corporation are much required after find diversified revenue streams and attract strong capital returns. The health of a company is a key to success for investors (Kumar., et al. 2015). Position practice relations and knowledgeability have been neglected in prior studies which are very necessary to the investment decision-making process (</w:t>
      </w:r>
      <w:r w:rsidR="008B1CB3" w:rsidRPr="002156F7">
        <w:rPr>
          <w:rFonts w:ascii="Times New Roman" w:eastAsia="Times New Roman" w:hAnsi="Times New Roman" w:cs="Times New Roman"/>
          <w:shd w:val="clear" w:color="auto" w:fill="FFFFFF"/>
        </w:rPr>
        <w:t>Harris</w:t>
      </w:r>
      <w:r w:rsidR="008B1CB3">
        <w:rPr>
          <w:rFonts w:ascii="Times New Roman" w:eastAsia="Times New Roman" w:hAnsi="Times New Roman" w:cs="Times New Roman"/>
          <w:shd w:val="clear" w:color="auto" w:fill="FFFFFF"/>
        </w:rPr>
        <w:t xml:space="preserve">, </w:t>
      </w:r>
      <w:r w:rsidR="008B1CB3" w:rsidRPr="002156F7">
        <w:rPr>
          <w:rFonts w:ascii="Times New Roman" w:eastAsia="Times New Roman" w:hAnsi="Times New Roman" w:cs="Times New Roman"/>
          <w:shd w:val="clear" w:color="auto" w:fill="FFFFFF"/>
        </w:rPr>
        <w:t>Northcott, Elmassri</w:t>
      </w:r>
      <w:r w:rsidR="008B1CB3">
        <w:rPr>
          <w:rFonts w:ascii="Times New Roman" w:eastAsia="Times New Roman" w:hAnsi="Times New Roman" w:cs="Times New Roman"/>
          <w:shd w:val="clear" w:color="auto" w:fill="FFFFFF"/>
        </w:rPr>
        <w:t xml:space="preserve"> </w:t>
      </w:r>
      <w:r w:rsidR="008B1CB3" w:rsidRPr="002156F7">
        <w:rPr>
          <w:rFonts w:ascii="Times New Roman" w:eastAsia="Times New Roman" w:hAnsi="Times New Roman" w:cs="Times New Roman"/>
          <w:shd w:val="clear" w:color="auto" w:fill="FFFFFF"/>
        </w:rPr>
        <w:t>&amp; Huikku (2016</w:t>
      </w:r>
      <w:r w:rsidR="008B1CB3">
        <w:rPr>
          <w:rFonts w:ascii="Times New Roman" w:eastAsia="Times New Roman" w:hAnsi="Times New Roman" w:cs="Times New Roman"/>
          <w:shd w:val="clear" w:color="auto" w:fill="FFFFFF"/>
        </w:rPr>
        <w:t xml:space="preserve">). </w:t>
      </w:r>
      <w:r w:rsidR="008B1CB3">
        <w:rPr>
          <w:rFonts w:ascii="Times New Roman" w:eastAsia="Times New Roman" w:hAnsi="Times New Roman" w:cs="Times New Roman"/>
        </w:rPr>
        <w:t>A</w:t>
      </w:r>
      <w:r w:rsidRPr="002156F7">
        <w:rPr>
          <w:rFonts w:ascii="Times New Roman" w:eastAsia="Times New Roman" w:hAnsi="Times New Roman" w:cs="Times New Roman"/>
        </w:rPr>
        <w:t xml:space="preserve">ccording to </w:t>
      </w:r>
      <w:r w:rsidR="008B1CB3" w:rsidRPr="002156F7">
        <w:rPr>
          <w:rFonts w:ascii="Times New Roman" w:eastAsia="Times New Roman" w:hAnsi="Times New Roman" w:cs="Times New Roman"/>
        </w:rPr>
        <w:t>H</w:t>
      </w:r>
      <w:r w:rsidR="008B1CB3">
        <w:rPr>
          <w:rFonts w:ascii="Times New Roman" w:eastAsia="Times New Roman" w:hAnsi="Times New Roman" w:cs="Times New Roman"/>
        </w:rPr>
        <w:t>ess corporation</w:t>
      </w:r>
      <w:r w:rsidRPr="002156F7">
        <w:rPr>
          <w:rFonts w:ascii="Times New Roman" w:eastAsia="Times New Roman" w:hAnsi="Times New Roman" w:cs="Times New Roman"/>
        </w:rPr>
        <w:t xml:space="preserve"> ratios analysis is safe to invest</w:t>
      </w:r>
      <w:r w:rsidR="008B1CB3">
        <w:rPr>
          <w:rFonts w:ascii="Times New Roman" w:eastAsia="Times New Roman" w:hAnsi="Times New Roman" w:cs="Times New Roman"/>
        </w:rPr>
        <w:t>. In future</w:t>
      </w:r>
      <w:r w:rsidRPr="002156F7">
        <w:rPr>
          <w:rFonts w:ascii="Times New Roman" w:eastAsia="Times New Roman" w:hAnsi="Times New Roman" w:cs="Times New Roman"/>
        </w:rPr>
        <w:t xml:space="preserve"> its growth portfolio shows more than 10 percent compound annual production growth</w:t>
      </w:r>
      <w:r w:rsidR="008B1CB3">
        <w:rPr>
          <w:rFonts w:ascii="Times New Roman" w:eastAsia="Times New Roman" w:hAnsi="Times New Roman" w:cs="Times New Roman"/>
        </w:rPr>
        <w:t>. I</w:t>
      </w:r>
      <w:r w:rsidR="008B1CB3" w:rsidRPr="002156F7">
        <w:rPr>
          <w:rFonts w:ascii="Times New Roman" w:eastAsia="Times New Roman" w:hAnsi="Times New Roman" w:cs="Times New Roman"/>
        </w:rPr>
        <w:t xml:space="preserve">n 2025 </w:t>
      </w:r>
      <w:r w:rsidRPr="002156F7">
        <w:rPr>
          <w:rFonts w:ascii="Times New Roman" w:eastAsia="Times New Roman" w:hAnsi="Times New Roman" w:cs="Times New Roman"/>
        </w:rPr>
        <w:t xml:space="preserve">20 percent compound </w:t>
      </w:r>
      <w:r w:rsidR="008B1CB3">
        <w:rPr>
          <w:rFonts w:ascii="Times New Roman" w:eastAsia="Times New Roman" w:hAnsi="Times New Roman" w:cs="Times New Roman"/>
        </w:rPr>
        <w:t xml:space="preserve">annual cash flow growth is </w:t>
      </w:r>
      <w:r w:rsidRPr="002156F7">
        <w:rPr>
          <w:rFonts w:ascii="Times New Roman" w:eastAsia="Times New Roman" w:hAnsi="Times New Roman" w:cs="Times New Roman"/>
        </w:rPr>
        <w:t>expected at 65$ per barrel Brent oi</w:t>
      </w:r>
      <w:r w:rsidR="008B1CB3">
        <w:rPr>
          <w:rFonts w:ascii="Times New Roman" w:eastAsia="Times New Roman" w:hAnsi="Times New Roman" w:cs="Times New Roman"/>
        </w:rPr>
        <w:t>l price. The breakeven is</w:t>
      </w:r>
      <w:r w:rsidRPr="002156F7">
        <w:rPr>
          <w:rFonts w:ascii="Times New Roman" w:eastAsia="Times New Roman" w:hAnsi="Times New Roman" w:cs="Times New Roman"/>
        </w:rPr>
        <w:t xml:space="preserve"> less than $40 per barrel</w:t>
      </w:r>
      <w:r w:rsidR="008B1CB3">
        <w:rPr>
          <w:rFonts w:ascii="Times New Roman" w:eastAsia="Times New Roman" w:hAnsi="Times New Roman" w:cs="Times New Roman"/>
        </w:rPr>
        <w:t xml:space="preserve"> Barent oil price</w:t>
      </w:r>
      <w:r w:rsidRPr="002156F7">
        <w:rPr>
          <w:rFonts w:ascii="Times New Roman" w:eastAsia="Times New Roman" w:hAnsi="Times New Roman" w:cs="Times New Roman"/>
        </w:rPr>
        <w:t>.</w:t>
      </w:r>
      <w:r w:rsidRPr="002156F7">
        <w:rPr>
          <w:rFonts w:ascii="Times New Roman" w:eastAsia="Times New Roman" w:hAnsi="Times New Roman" w:cs="Times New Roman"/>
          <w:shd w:val="clear" w:color="auto" w:fill="FFFFFF"/>
        </w:rPr>
        <w:t xml:space="preserve"> Suitable strategies are required for reduction of fuel consumption and evaluate emission and furthering DE carbonization (Sobrino, et al. 2016).</w:t>
      </w:r>
    </w:p>
    <w:p w14:paraId="72C870C7" w14:textId="77777777" w:rsidR="002156F7" w:rsidRPr="002156F7" w:rsidRDefault="002156F7" w:rsidP="002156F7">
      <w:pPr>
        <w:keepNext/>
        <w:keepLines/>
        <w:ind w:firstLine="0"/>
        <w:outlineLvl w:val="0"/>
        <w:rPr>
          <w:rFonts w:ascii="Times New Roman" w:eastAsia="Times New Roman" w:hAnsi="Times New Roman" w:cs="Times New Roman"/>
          <w:b/>
          <w:bCs/>
        </w:rPr>
      </w:pPr>
    </w:p>
    <w:p w14:paraId="0E9B7982" w14:textId="77777777" w:rsidR="002156F7" w:rsidRPr="002156F7" w:rsidRDefault="002156F7" w:rsidP="002156F7">
      <w:pPr>
        <w:jc w:val="center"/>
        <w:rPr>
          <w:rFonts w:ascii="Times New Roman" w:eastAsia="Times New Roman" w:hAnsi="Times New Roman" w:cs="Times New Roman"/>
          <w:b/>
        </w:rPr>
      </w:pPr>
      <w:r w:rsidRPr="002156F7">
        <w:rPr>
          <w:rFonts w:ascii="Times New Roman" w:eastAsia="Times New Roman" w:hAnsi="Times New Roman" w:cs="Times New Roman"/>
        </w:rPr>
        <w:br w:type="page"/>
      </w:r>
      <w:r w:rsidRPr="002156F7">
        <w:rPr>
          <w:rFonts w:ascii="Times New Roman" w:eastAsia="Times New Roman" w:hAnsi="Times New Roman" w:cs="Times New Roman"/>
          <w:b/>
        </w:rPr>
        <w:lastRenderedPageBreak/>
        <w:t>References</w:t>
      </w:r>
    </w:p>
    <w:p w14:paraId="7D912366" w14:textId="77777777" w:rsidR="002156F7" w:rsidRPr="002156F7" w:rsidRDefault="002156F7" w:rsidP="00A27CDD">
      <w:pPr>
        <w:ind w:left="1440" w:hanging="720"/>
        <w:jc w:val="both"/>
        <w:rPr>
          <w:rFonts w:ascii="Times New Roman" w:eastAsia="Times New Roman" w:hAnsi="Times New Roman" w:cs="Times New Roman"/>
          <w:shd w:val="clear" w:color="auto" w:fill="FFFFFF"/>
        </w:rPr>
      </w:pPr>
      <w:r w:rsidRPr="002156F7">
        <w:rPr>
          <w:rFonts w:ascii="Times New Roman" w:eastAsia="Times New Roman" w:hAnsi="Times New Roman" w:cs="Times New Roman"/>
          <w:shd w:val="clear" w:color="auto" w:fill="FFFFFF"/>
        </w:rPr>
        <w:t>Batten, J. A., Ciner, C., &amp; Lucey, B. M. (2017). The dynamic linkages between crude oil and natural gas markets. </w:t>
      </w:r>
      <w:r w:rsidRPr="002156F7">
        <w:rPr>
          <w:rFonts w:ascii="Times New Roman" w:eastAsia="Times New Roman" w:hAnsi="Times New Roman" w:cs="Times New Roman"/>
          <w:i/>
          <w:iCs/>
          <w:shd w:val="clear" w:color="auto" w:fill="FFFFFF"/>
        </w:rPr>
        <w:t>Energy Economics</w:t>
      </w:r>
      <w:r w:rsidRPr="002156F7">
        <w:rPr>
          <w:rFonts w:ascii="Times New Roman" w:eastAsia="Times New Roman" w:hAnsi="Times New Roman" w:cs="Times New Roman"/>
          <w:shd w:val="clear" w:color="auto" w:fill="FFFFFF"/>
        </w:rPr>
        <w:t>, </w:t>
      </w:r>
      <w:r w:rsidRPr="002156F7">
        <w:rPr>
          <w:rFonts w:ascii="Times New Roman" w:eastAsia="Times New Roman" w:hAnsi="Times New Roman" w:cs="Times New Roman"/>
          <w:i/>
          <w:iCs/>
          <w:shd w:val="clear" w:color="auto" w:fill="FFFFFF"/>
        </w:rPr>
        <w:t>62</w:t>
      </w:r>
      <w:r w:rsidRPr="002156F7">
        <w:rPr>
          <w:rFonts w:ascii="Times New Roman" w:eastAsia="Times New Roman" w:hAnsi="Times New Roman" w:cs="Times New Roman"/>
          <w:shd w:val="clear" w:color="auto" w:fill="FFFFFF"/>
        </w:rPr>
        <w:t xml:space="preserve">, 155-170. </w:t>
      </w:r>
    </w:p>
    <w:p w14:paraId="44080294" w14:textId="77777777" w:rsidR="002156F7" w:rsidRPr="002156F7" w:rsidRDefault="002156F7" w:rsidP="00A27CDD">
      <w:pPr>
        <w:ind w:left="1440" w:hanging="720"/>
        <w:jc w:val="both"/>
        <w:rPr>
          <w:rFonts w:ascii="Times New Roman" w:eastAsia="Times New Roman" w:hAnsi="Times New Roman" w:cs="Times New Roman"/>
          <w:shd w:val="clear" w:color="auto" w:fill="FFFFFF"/>
        </w:rPr>
      </w:pPr>
      <w:r w:rsidRPr="002156F7">
        <w:rPr>
          <w:rFonts w:ascii="Times New Roman" w:eastAsia="Times New Roman" w:hAnsi="Times New Roman" w:cs="Times New Roman"/>
          <w:shd w:val="clear" w:color="auto" w:fill="FFFFFF"/>
        </w:rPr>
        <w:t>Fatima, K., Imran, A., Amin, I., Khan, Q. M., &amp; Afzal, M. (2018). Successful phytoremediation of crude-oil contaminated soil at an oil exploration and production company by plants-bacterial synergism. </w:t>
      </w:r>
      <w:r w:rsidRPr="002156F7">
        <w:rPr>
          <w:rFonts w:ascii="Times New Roman" w:eastAsia="Times New Roman" w:hAnsi="Times New Roman" w:cs="Times New Roman"/>
          <w:i/>
          <w:iCs/>
          <w:shd w:val="clear" w:color="auto" w:fill="FFFFFF"/>
        </w:rPr>
        <w:t>International journal of phytoremediation</w:t>
      </w:r>
      <w:r w:rsidRPr="002156F7">
        <w:rPr>
          <w:rFonts w:ascii="Times New Roman" w:eastAsia="Times New Roman" w:hAnsi="Times New Roman" w:cs="Times New Roman"/>
          <w:shd w:val="clear" w:color="auto" w:fill="FFFFFF"/>
        </w:rPr>
        <w:t>, </w:t>
      </w:r>
      <w:r w:rsidRPr="002156F7">
        <w:rPr>
          <w:rFonts w:ascii="Times New Roman" w:eastAsia="Times New Roman" w:hAnsi="Times New Roman" w:cs="Times New Roman"/>
          <w:i/>
          <w:iCs/>
          <w:shd w:val="clear" w:color="auto" w:fill="FFFFFF"/>
        </w:rPr>
        <w:t>20</w:t>
      </w:r>
      <w:r w:rsidRPr="002156F7">
        <w:rPr>
          <w:rFonts w:ascii="Times New Roman" w:eastAsia="Times New Roman" w:hAnsi="Times New Roman" w:cs="Times New Roman"/>
          <w:shd w:val="clear" w:color="auto" w:fill="FFFFFF"/>
        </w:rPr>
        <w:t>(7), 675-681.</w:t>
      </w:r>
    </w:p>
    <w:p w14:paraId="0257D1CB" w14:textId="77777777" w:rsidR="002156F7" w:rsidRPr="002156F7" w:rsidRDefault="002156F7" w:rsidP="00A27CDD">
      <w:pPr>
        <w:ind w:left="1440" w:hanging="720"/>
        <w:jc w:val="both"/>
        <w:rPr>
          <w:rFonts w:ascii="Times New Roman" w:eastAsia="Times New Roman" w:hAnsi="Times New Roman" w:cs="Times New Roman"/>
          <w:shd w:val="clear" w:color="auto" w:fill="FFFFFF"/>
        </w:rPr>
      </w:pPr>
      <w:r w:rsidRPr="002156F7">
        <w:rPr>
          <w:rFonts w:ascii="Times New Roman" w:eastAsia="Times New Roman" w:hAnsi="Times New Roman" w:cs="Times New Roman"/>
          <w:shd w:val="clear" w:color="auto" w:fill="FFFFFF"/>
        </w:rPr>
        <w:t>Harris, E. P., Northcott, D., Elmassri, M. M., &amp; Huikku, J. (2016). Theorizing strategic investment decision-making using strong structuration theory. </w:t>
      </w:r>
      <w:r w:rsidRPr="002156F7">
        <w:rPr>
          <w:rFonts w:ascii="Times New Roman" w:eastAsia="Times New Roman" w:hAnsi="Times New Roman" w:cs="Times New Roman"/>
          <w:i/>
          <w:iCs/>
          <w:shd w:val="clear" w:color="auto" w:fill="FFFFFF"/>
        </w:rPr>
        <w:t>Accounting, auditing &amp; accountability journal</w:t>
      </w:r>
      <w:r w:rsidRPr="002156F7">
        <w:rPr>
          <w:rFonts w:ascii="Times New Roman" w:eastAsia="Times New Roman" w:hAnsi="Times New Roman" w:cs="Times New Roman"/>
          <w:shd w:val="clear" w:color="auto" w:fill="FFFFFF"/>
        </w:rPr>
        <w:t>, </w:t>
      </w:r>
      <w:r w:rsidRPr="002156F7">
        <w:rPr>
          <w:rFonts w:ascii="Times New Roman" w:eastAsia="Times New Roman" w:hAnsi="Times New Roman" w:cs="Times New Roman"/>
          <w:i/>
          <w:iCs/>
          <w:shd w:val="clear" w:color="auto" w:fill="FFFFFF"/>
        </w:rPr>
        <w:t>29</w:t>
      </w:r>
      <w:r w:rsidRPr="002156F7">
        <w:rPr>
          <w:rFonts w:ascii="Times New Roman" w:eastAsia="Times New Roman" w:hAnsi="Times New Roman" w:cs="Times New Roman"/>
          <w:shd w:val="clear" w:color="auto" w:fill="FFFFFF"/>
        </w:rPr>
        <w:t>(7), 1177-1203.</w:t>
      </w:r>
    </w:p>
    <w:p w14:paraId="7E180D0B" w14:textId="77777777" w:rsidR="002156F7" w:rsidRPr="002156F7" w:rsidRDefault="002156F7" w:rsidP="00A27CDD">
      <w:pPr>
        <w:ind w:left="1440" w:hanging="720"/>
        <w:jc w:val="both"/>
        <w:rPr>
          <w:rFonts w:ascii="Times New Roman" w:eastAsia="Times New Roman" w:hAnsi="Times New Roman" w:cs="Times New Roman"/>
          <w:shd w:val="clear" w:color="auto" w:fill="FFFFFF"/>
        </w:rPr>
      </w:pPr>
      <w:r w:rsidRPr="002156F7">
        <w:rPr>
          <w:rFonts w:ascii="Times New Roman" w:eastAsia="Times New Roman" w:hAnsi="Times New Roman" w:cs="Times New Roman"/>
          <w:shd w:val="clear" w:color="auto" w:fill="FFFFFF"/>
        </w:rPr>
        <w:t>Ho, C. T. B., Wu, D. D., &amp; Olson, D. L. (2009). A risk scoring model and application to measuring internet stock performance. </w:t>
      </w:r>
      <w:r w:rsidRPr="002156F7">
        <w:rPr>
          <w:rFonts w:ascii="Times New Roman" w:eastAsia="Times New Roman" w:hAnsi="Times New Roman" w:cs="Times New Roman"/>
          <w:i/>
          <w:iCs/>
          <w:shd w:val="clear" w:color="auto" w:fill="FFFFFF"/>
        </w:rPr>
        <w:t>International Journal of Information Technology &amp; Decision Making</w:t>
      </w:r>
      <w:r w:rsidRPr="002156F7">
        <w:rPr>
          <w:rFonts w:ascii="Times New Roman" w:eastAsia="Times New Roman" w:hAnsi="Times New Roman" w:cs="Times New Roman"/>
          <w:shd w:val="clear" w:color="auto" w:fill="FFFFFF"/>
        </w:rPr>
        <w:t>, </w:t>
      </w:r>
      <w:r w:rsidRPr="002156F7">
        <w:rPr>
          <w:rFonts w:ascii="Times New Roman" w:eastAsia="Times New Roman" w:hAnsi="Times New Roman" w:cs="Times New Roman"/>
          <w:i/>
          <w:iCs/>
          <w:shd w:val="clear" w:color="auto" w:fill="FFFFFF"/>
        </w:rPr>
        <w:t>8</w:t>
      </w:r>
      <w:r w:rsidRPr="002156F7">
        <w:rPr>
          <w:rFonts w:ascii="Times New Roman" w:eastAsia="Times New Roman" w:hAnsi="Times New Roman" w:cs="Times New Roman"/>
          <w:shd w:val="clear" w:color="auto" w:fill="FFFFFF"/>
        </w:rPr>
        <w:t>(01), 133-149.</w:t>
      </w:r>
    </w:p>
    <w:p w14:paraId="7BB956F5" w14:textId="77777777" w:rsidR="002156F7" w:rsidRPr="002156F7" w:rsidRDefault="002156F7" w:rsidP="00A27CDD">
      <w:pPr>
        <w:ind w:left="1440" w:hanging="720"/>
        <w:jc w:val="both"/>
        <w:rPr>
          <w:rFonts w:ascii="Times New Roman" w:eastAsia="Times New Roman" w:hAnsi="Times New Roman" w:cs="Times New Roman"/>
        </w:rPr>
      </w:pPr>
      <w:r w:rsidRPr="002156F7">
        <w:rPr>
          <w:rFonts w:ascii="Times New Roman" w:eastAsia="Times New Roman" w:hAnsi="Times New Roman" w:cs="Times New Roman"/>
          <w:shd w:val="clear" w:color="auto" w:fill="FFFFFF"/>
        </w:rPr>
        <w:t>Kumar, S., &amp; Goyal, N. (2015). Behavioral biases in investment decision making–a systematic literature review. </w:t>
      </w:r>
      <w:r w:rsidRPr="002156F7">
        <w:rPr>
          <w:rFonts w:ascii="Times New Roman" w:eastAsia="Times New Roman" w:hAnsi="Times New Roman" w:cs="Times New Roman"/>
          <w:i/>
          <w:iCs/>
          <w:shd w:val="clear" w:color="auto" w:fill="FFFFFF"/>
        </w:rPr>
        <w:t>Qualitative Research in financial markets</w:t>
      </w:r>
      <w:r w:rsidRPr="002156F7">
        <w:rPr>
          <w:rFonts w:ascii="Times New Roman" w:eastAsia="Times New Roman" w:hAnsi="Times New Roman" w:cs="Times New Roman"/>
          <w:shd w:val="clear" w:color="auto" w:fill="FFFFFF"/>
        </w:rPr>
        <w:t>, </w:t>
      </w:r>
      <w:r w:rsidRPr="002156F7">
        <w:rPr>
          <w:rFonts w:ascii="Times New Roman" w:eastAsia="Times New Roman" w:hAnsi="Times New Roman" w:cs="Times New Roman"/>
          <w:i/>
          <w:iCs/>
          <w:shd w:val="clear" w:color="auto" w:fill="FFFFFF"/>
        </w:rPr>
        <w:t>7</w:t>
      </w:r>
      <w:r w:rsidRPr="002156F7">
        <w:rPr>
          <w:rFonts w:ascii="Times New Roman" w:eastAsia="Times New Roman" w:hAnsi="Times New Roman" w:cs="Times New Roman"/>
          <w:shd w:val="clear" w:color="auto" w:fill="FFFFFF"/>
        </w:rPr>
        <w:t>(1), 88-108.</w:t>
      </w:r>
    </w:p>
    <w:p w14:paraId="1049DE6E" w14:textId="77777777" w:rsidR="002156F7" w:rsidRPr="002156F7" w:rsidRDefault="002156F7" w:rsidP="00A27CDD">
      <w:pPr>
        <w:ind w:left="1440" w:hanging="720"/>
        <w:jc w:val="both"/>
        <w:rPr>
          <w:rFonts w:ascii="Times New Roman" w:eastAsia="Times New Roman" w:hAnsi="Times New Roman" w:cs="Times New Roman"/>
          <w:shd w:val="clear" w:color="auto" w:fill="FFFFFF"/>
        </w:rPr>
      </w:pPr>
      <w:r w:rsidRPr="002156F7">
        <w:rPr>
          <w:rFonts w:ascii="Times New Roman" w:eastAsia="Times New Roman" w:hAnsi="Times New Roman" w:cs="Times New Roman"/>
          <w:shd w:val="clear" w:color="auto" w:fill="FFFFFF"/>
        </w:rPr>
        <w:t>Shroff, N. (2017). Corporate investment and changes in GAAP. </w:t>
      </w:r>
      <w:r w:rsidRPr="002156F7">
        <w:rPr>
          <w:rFonts w:ascii="Times New Roman" w:eastAsia="Times New Roman" w:hAnsi="Times New Roman" w:cs="Times New Roman"/>
          <w:i/>
          <w:iCs/>
          <w:shd w:val="clear" w:color="auto" w:fill="FFFFFF"/>
        </w:rPr>
        <w:t>Review of Accounting Studies</w:t>
      </w:r>
      <w:r w:rsidRPr="002156F7">
        <w:rPr>
          <w:rFonts w:ascii="Times New Roman" w:eastAsia="Times New Roman" w:hAnsi="Times New Roman" w:cs="Times New Roman"/>
          <w:shd w:val="clear" w:color="auto" w:fill="FFFFFF"/>
        </w:rPr>
        <w:t>, </w:t>
      </w:r>
      <w:r w:rsidRPr="002156F7">
        <w:rPr>
          <w:rFonts w:ascii="Times New Roman" w:eastAsia="Times New Roman" w:hAnsi="Times New Roman" w:cs="Times New Roman"/>
          <w:i/>
          <w:iCs/>
          <w:shd w:val="clear" w:color="auto" w:fill="FFFFFF"/>
        </w:rPr>
        <w:t>22</w:t>
      </w:r>
      <w:r w:rsidRPr="002156F7">
        <w:rPr>
          <w:rFonts w:ascii="Times New Roman" w:eastAsia="Times New Roman" w:hAnsi="Times New Roman" w:cs="Times New Roman"/>
          <w:shd w:val="clear" w:color="auto" w:fill="FFFFFF"/>
        </w:rPr>
        <w:t>(1), 1-63.</w:t>
      </w:r>
    </w:p>
    <w:p w14:paraId="7CE6EB50" w14:textId="77777777" w:rsidR="002156F7" w:rsidRPr="002156F7" w:rsidRDefault="002156F7" w:rsidP="00A27CDD">
      <w:pPr>
        <w:ind w:left="1440" w:hanging="720"/>
        <w:jc w:val="both"/>
        <w:rPr>
          <w:rFonts w:ascii="Times New Roman" w:eastAsia="Times New Roman" w:hAnsi="Times New Roman" w:cs="Times New Roman"/>
        </w:rPr>
      </w:pPr>
      <w:r w:rsidRPr="002156F7">
        <w:rPr>
          <w:rFonts w:ascii="Times New Roman" w:eastAsia="Times New Roman" w:hAnsi="Times New Roman" w:cs="Times New Roman"/>
          <w:shd w:val="clear" w:color="auto" w:fill="FFFFFF"/>
        </w:rPr>
        <w:tab/>
        <w:t>O'Donoghue, T., &amp; Somerville, J. (2018). Modeling risk aversion in economics. </w:t>
      </w:r>
      <w:r w:rsidRPr="002156F7">
        <w:rPr>
          <w:rFonts w:ascii="Times New Roman" w:eastAsia="Times New Roman" w:hAnsi="Times New Roman" w:cs="Times New Roman"/>
          <w:i/>
          <w:iCs/>
          <w:shd w:val="clear" w:color="auto" w:fill="FFFFFF"/>
        </w:rPr>
        <w:t>Journal of Economic Perspectives</w:t>
      </w:r>
      <w:r w:rsidRPr="002156F7">
        <w:rPr>
          <w:rFonts w:ascii="Times New Roman" w:eastAsia="Times New Roman" w:hAnsi="Times New Roman" w:cs="Times New Roman"/>
          <w:shd w:val="clear" w:color="auto" w:fill="FFFFFF"/>
        </w:rPr>
        <w:t>, </w:t>
      </w:r>
      <w:r w:rsidRPr="002156F7">
        <w:rPr>
          <w:rFonts w:ascii="Times New Roman" w:eastAsia="Times New Roman" w:hAnsi="Times New Roman" w:cs="Times New Roman"/>
          <w:i/>
          <w:iCs/>
          <w:shd w:val="clear" w:color="auto" w:fill="FFFFFF"/>
        </w:rPr>
        <w:t>32</w:t>
      </w:r>
      <w:r w:rsidRPr="002156F7">
        <w:rPr>
          <w:rFonts w:ascii="Times New Roman" w:eastAsia="Times New Roman" w:hAnsi="Times New Roman" w:cs="Times New Roman"/>
          <w:shd w:val="clear" w:color="auto" w:fill="FFFFFF"/>
        </w:rPr>
        <w:t>(2), 91-114.</w:t>
      </w:r>
    </w:p>
    <w:p w14:paraId="41DE5599" w14:textId="77777777" w:rsidR="002156F7" w:rsidRPr="002156F7" w:rsidRDefault="002156F7" w:rsidP="00A27CDD">
      <w:pPr>
        <w:ind w:left="1440" w:hanging="720"/>
        <w:jc w:val="both"/>
        <w:rPr>
          <w:rFonts w:ascii="Times New Roman" w:eastAsia="Times New Roman" w:hAnsi="Times New Roman" w:cs="Times New Roman"/>
          <w:shd w:val="clear" w:color="auto" w:fill="FFFFFF"/>
        </w:rPr>
      </w:pPr>
      <w:r w:rsidRPr="002156F7">
        <w:rPr>
          <w:rFonts w:ascii="Times New Roman" w:eastAsia="Times New Roman" w:hAnsi="Times New Roman" w:cs="Times New Roman"/>
          <w:shd w:val="clear" w:color="auto" w:fill="FFFFFF"/>
        </w:rPr>
        <w:t>Wang, K., Vredenburg, H., Wang, T., &amp; Feng, L. (2019). Financial return and energy return on investment analysis of oil sands, shale oil and shale gas operations. Journal of Cleaner Production, 223, 826-836.</w:t>
      </w:r>
    </w:p>
    <w:p w14:paraId="09869A0A" w14:textId="77777777" w:rsidR="002156F7" w:rsidRPr="002156F7" w:rsidRDefault="002156F7" w:rsidP="00A27CDD">
      <w:pPr>
        <w:ind w:left="1440" w:hanging="720"/>
        <w:jc w:val="both"/>
        <w:rPr>
          <w:rFonts w:ascii="Times New Roman" w:eastAsia="Times New Roman" w:hAnsi="Times New Roman" w:cs="Times New Roman"/>
          <w:shd w:val="clear" w:color="auto" w:fill="FFFFFF"/>
        </w:rPr>
      </w:pPr>
      <w:r w:rsidRPr="002156F7">
        <w:rPr>
          <w:rFonts w:ascii="Times New Roman" w:eastAsia="Times New Roman" w:hAnsi="Times New Roman" w:cs="Times New Roman"/>
          <w:shd w:val="clear" w:color="auto" w:fill="FFFFFF"/>
        </w:rPr>
        <w:lastRenderedPageBreak/>
        <w:t>Xu, J., Zhou, X., &amp; Wu, D. D. (2011). Portfolio selection using λ mean and hybrid entropy. </w:t>
      </w:r>
      <w:r w:rsidRPr="002156F7">
        <w:rPr>
          <w:rFonts w:ascii="Times New Roman" w:eastAsia="Times New Roman" w:hAnsi="Times New Roman" w:cs="Times New Roman"/>
          <w:i/>
          <w:iCs/>
          <w:shd w:val="clear" w:color="auto" w:fill="FFFFFF"/>
        </w:rPr>
        <w:t>Annals of operations research</w:t>
      </w:r>
      <w:r w:rsidRPr="002156F7">
        <w:rPr>
          <w:rFonts w:ascii="Times New Roman" w:eastAsia="Times New Roman" w:hAnsi="Times New Roman" w:cs="Times New Roman"/>
          <w:shd w:val="clear" w:color="auto" w:fill="FFFFFF"/>
        </w:rPr>
        <w:t>, </w:t>
      </w:r>
      <w:r w:rsidRPr="002156F7">
        <w:rPr>
          <w:rFonts w:ascii="Times New Roman" w:eastAsia="Times New Roman" w:hAnsi="Times New Roman" w:cs="Times New Roman"/>
          <w:i/>
          <w:iCs/>
          <w:shd w:val="clear" w:color="auto" w:fill="FFFFFF"/>
        </w:rPr>
        <w:t>185</w:t>
      </w:r>
      <w:r w:rsidRPr="002156F7">
        <w:rPr>
          <w:rFonts w:ascii="Times New Roman" w:eastAsia="Times New Roman" w:hAnsi="Times New Roman" w:cs="Times New Roman"/>
          <w:shd w:val="clear" w:color="auto" w:fill="FFFFFF"/>
        </w:rPr>
        <w:t>(1), 213-229.</w:t>
      </w:r>
    </w:p>
    <w:p w14:paraId="0BD021BE" w14:textId="77777777" w:rsidR="002156F7" w:rsidRPr="002156F7" w:rsidRDefault="002156F7" w:rsidP="00A27CDD">
      <w:pPr>
        <w:ind w:left="1440" w:hanging="720"/>
        <w:jc w:val="both"/>
        <w:rPr>
          <w:rFonts w:ascii="Times New Roman" w:eastAsia="Times New Roman" w:hAnsi="Times New Roman" w:cs="Times New Roman"/>
          <w:shd w:val="clear" w:color="auto" w:fill="FFFFFF"/>
        </w:rPr>
      </w:pPr>
      <w:r w:rsidRPr="002156F7">
        <w:rPr>
          <w:rFonts w:ascii="Times New Roman" w:eastAsia="Times New Roman" w:hAnsi="Times New Roman" w:cs="Times New Roman"/>
          <w:shd w:val="clear" w:color="auto" w:fill="FFFFFF"/>
        </w:rPr>
        <w:t>Zhang, J., Avasarala, V., &amp; Subbu, R. (2010). Evolutionary optimization of transition probability matrices for credit decision-making. </w:t>
      </w:r>
      <w:r w:rsidRPr="002156F7">
        <w:rPr>
          <w:rFonts w:ascii="Times New Roman" w:eastAsia="Times New Roman" w:hAnsi="Times New Roman" w:cs="Times New Roman"/>
          <w:i/>
          <w:iCs/>
          <w:shd w:val="clear" w:color="auto" w:fill="FFFFFF"/>
        </w:rPr>
        <w:t>European Journal of Operational Research</w:t>
      </w:r>
      <w:r w:rsidRPr="002156F7">
        <w:rPr>
          <w:rFonts w:ascii="Times New Roman" w:eastAsia="Times New Roman" w:hAnsi="Times New Roman" w:cs="Times New Roman"/>
          <w:shd w:val="clear" w:color="auto" w:fill="FFFFFF"/>
        </w:rPr>
        <w:t>, </w:t>
      </w:r>
      <w:r w:rsidRPr="002156F7">
        <w:rPr>
          <w:rFonts w:ascii="Times New Roman" w:eastAsia="Times New Roman" w:hAnsi="Times New Roman" w:cs="Times New Roman"/>
          <w:i/>
          <w:iCs/>
          <w:shd w:val="clear" w:color="auto" w:fill="FFFFFF"/>
        </w:rPr>
        <w:t>200</w:t>
      </w:r>
      <w:r w:rsidRPr="002156F7">
        <w:rPr>
          <w:rFonts w:ascii="Times New Roman" w:eastAsia="Times New Roman" w:hAnsi="Times New Roman" w:cs="Times New Roman"/>
          <w:shd w:val="clear" w:color="auto" w:fill="FFFFFF"/>
        </w:rPr>
        <w:t>(2), 557-567.</w:t>
      </w:r>
    </w:p>
    <w:p w14:paraId="4AAB1AAA" w14:textId="77777777" w:rsidR="002156F7" w:rsidRPr="002156F7" w:rsidRDefault="002156F7" w:rsidP="00A27CDD">
      <w:pPr>
        <w:ind w:left="1440" w:hanging="720"/>
        <w:jc w:val="both"/>
        <w:rPr>
          <w:rFonts w:ascii="Times New Roman" w:eastAsia="Times New Roman" w:hAnsi="Times New Roman" w:cs="Times New Roman"/>
          <w:shd w:val="clear" w:color="auto" w:fill="FFFFFF"/>
        </w:rPr>
      </w:pPr>
      <w:r w:rsidRPr="002156F7">
        <w:rPr>
          <w:rFonts w:ascii="Times New Roman" w:eastAsia="Times New Roman" w:hAnsi="Times New Roman" w:cs="Times New Roman"/>
          <w:shd w:val="clear" w:color="auto" w:fill="FFFFFF"/>
        </w:rPr>
        <w:t>Zhao, S., Lu, Q., Han, L., Liu, Y., &amp; Hu, F. (2015). A mean-CVaR-skewness portfolio optimization model based on asymmetric Laplace distribution. </w:t>
      </w:r>
      <w:r w:rsidRPr="002156F7">
        <w:rPr>
          <w:rFonts w:ascii="Times New Roman" w:eastAsia="Times New Roman" w:hAnsi="Times New Roman" w:cs="Times New Roman"/>
          <w:i/>
          <w:iCs/>
          <w:shd w:val="clear" w:color="auto" w:fill="FFFFFF"/>
        </w:rPr>
        <w:t>Annals of Operations Research</w:t>
      </w:r>
      <w:r w:rsidRPr="002156F7">
        <w:rPr>
          <w:rFonts w:ascii="Times New Roman" w:eastAsia="Times New Roman" w:hAnsi="Times New Roman" w:cs="Times New Roman"/>
          <w:shd w:val="clear" w:color="auto" w:fill="FFFFFF"/>
        </w:rPr>
        <w:t>, </w:t>
      </w:r>
      <w:r w:rsidRPr="002156F7">
        <w:rPr>
          <w:rFonts w:ascii="Times New Roman" w:eastAsia="Times New Roman" w:hAnsi="Times New Roman" w:cs="Times New Roman"/>
          <w:i/>
          <w:iCs/>
          <w:shd w:val="clear" w:color="auto" w:fill="FFFFFF"/>
        </w:rPr>
        <w:t>226</w:t>
      </w:r>
      <w:r w:rsidRPr="002156F7">
        <w:rPr>
          <w:rFonts w:ascii="Times New Roman" w:eastAsia="Times New Roman" w:hAnsi="Times New Roman" w:cs="Times New Roman"/>
          <w:shd w:val="clear" w:color="auto" w:fill="FFFFFF"/>
        </w:rPr>
        <w:t>(1), 727-739.</w:t>
      </w:r>
    </w:p>
    <w:p w14:paraId="212ABEC8" w14:textId="77777777" w:rsidR="002156F7" w:rsidRPr="002156F7" w:rsidRDefault="002156F7" w:rsidP="002156F7">
      <w:pPr>
        <w:rPr>
          <w:rFonts w:ascii="Calibri" w:eastAsia="Times New Roman" w:hAnsi="Calibri" w:cs="Times New Roman"/>
        </w:rPr>
      </w:pPr>
    </w:p>
    <w:p w14:paraId="7FE5BC05" w14:textId="77777777" w:rsidR="000244C7" w:rsidRPr="00AE3A89" w:rsidRDefault="000244C7" w:rsidP="00AE3A89">
      <w:pPr>
        <w:rPr>
          <w:color w:val="0070C0"/>
        </w:rPr>
      </w:pPr>
    </w:p>
    <w:sectPr w:rsidR="000244C7" w:rsidRPr="00AE3A89">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D03D" w14:textId="77777777" w:rsidR="005F46E4" w:rsidRDefault="005F46E4">
      <w:pPr>
        <w:spacing w:line="240" w:lineRule="auto"/>
      </w:pPr>
      <w:r>
        <w:separator/>
      </w:r>
    </w:p>
    <w:p w14:paraId="00EEBC16" w14:textId="77777777" w:rsidR="005F46E4" w:rsidRDefault="005F46E4"/>
  </w:endnote>
  <w:endnote w:type="continuationSeparator" w:id="0">
    <w:p w14:paraId="0D262D61" w14:textId="77777777" w:rsidR="005F46E4" w:rsidRDefault="005F46E4">
      <w:pPr>
        <w:spacing w:line="240" w:lineRule="auto"/>
      </w:pPr>
      <w:r>
        <w:continuationSeparator/>
      </w:r>
    </w:p>
    <w:p w14:paraId="0CA78D8D" w14:textId="77777777" w:rsidR="005F46E4" w:rsidRDefault="005F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C59A" w14:textId="77777777" w:rsidR="005F46E4" w:rsidRDefault="005F46E4">
      <w:pPr>
        <w:spacing w:line="240" w:lineRule="auto"/>
      </w:pPr>
      <w:r>
        <w:separator/>
      </w:r>
    </w:p>
    <w:p w14:paraId="57499C15" w14:textId="77777777" w:rsidR="005F46E4" w:rsidRDefault="005F46E4"/>
  </w:footnote>
  <w:footnote w:type="continuationSeparator" w:id="0">
    <w:p w14:paraId="13ABF8AF" w14:textId="77777777" w:rsidR="005F46E4" w:rsidRDefault="005F46E4">
      <w:pPr>
        <w:spacing w:line="240" w:lineRule="auto"/>
      </w:pPr>
      <w:r>
        <w:continuationSeparator/>
      </w:r>
    </w:p>
    <w:p w14:paraId="47701097" w14:textId="77777777" w:rsidR="005F46E4" w:rsidRDefault="005F4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8081" w14:textId="77777777" w:rsidR="00E81978" w:rsidRDefault="005F46E4">
    <w:pPr>
      <w:pStyle w:val="Header"/>
    </w:pPr>
    <w:sdt>
      <w:sdtPr>
        <w:alias w:val="Enter shortened title:"/>
        <w:tag w:val="Enter shortened title:"/>
        <w:id w:val="1073858038"/>
      </w:sdtPr>
      <w:sdtEndPr/>
      <w:sdtContent>
        <w:r w:rsidR="002156F7">
          <w:t>BUSINESS CAPSTONE</w:t>
        </w:r>
      </w:sdtContent>
    </w:sdt>
    <w:r w:rsidR="002156F7">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4275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2F6C7" w14:textId="77777777" w:rsidR="00E81978" w:rsidRDefault="005D3A03">
    <w:pPr>
      <w:pStyle w:val="Header"/>
      <w:rPr>
        <w:rStyle w:val="Strong"/>
      </w:rPr>
    </w:pPr>
    <w:r>
      <w:t xml:space="preserve">Running head: </w:t>
    </w:r>
    <w:sdt>
      <w:sdtPr>
        <w:alias w:val="Enter shortened title:"/>
        <w:tag w:val="Enter shortened title:"/>
        <w:id w:val="1367414879"/>
      </w:sdtPr>
      <w:sdtEndPr/>
      <w:sdtContent>
        <w:r w:rsidR="002156F7">
          <w:t>BUSINESS CAPSTONE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B1CB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B5"/>
    <w:rsid w:val="000244C7"/>
    <w:rsid w:val="0004275D"/>
    <w:rsid w:val="000A40AE"/>
    <w:rsid w:val="000D179A"/>
    <w:rsid w:val="000D3F41"/>
    <w:rsid w:val="002156F7"/>
    <w:rsid w:val="002568EF"/>
    <w:rsid w:val="002F170D"/>
    <w:rsid w:val="00355DCA"/>
    <w:rsid w:val="003759E7"/>
    <w:rsid w:val="003A42AB"/>
    <w:rsid w:val="003F4287"/>
    <w:rsid w:val="004724D7"/>
    <w:rsid w:val="00481703"/>
    <w:rsid w:val="0051485B"/>
    <w:rsid w:val="00516418"/>
    <w:rsid w:val="00551A02"/>
    <w:rsid w:val="005534FA"/>
    <w:rsid w:val="00571CB9"/>
    <w:rsid w:val="005B3A43"/>
    <w:rsid w:val="005C39B5"/>
    <w:rsid w:val="005D3A03"/>
    <w:rsid w:val="005F46E4"/>
    <w:rsid w:val="00692D73"/>
    <w:rsid w:val="007B7600"/>
    <w:rsid w:val="008002C0"/>
    <w:rsid w:val="008B1CB3"/>
    <w:rsid w:val="008C5323"/>
    <w:rsid w:val="008C697D"/>
    <w:rsid w:val="008D477A"/>
    <w:rsid w:val="00907972"/>
    <w:rsid w:val="00950A66"/>
    <w:rsid w:val="009A6A3B"/>
    <w:rsid w:val="00A27CDD"/>
    <w:rsid w:val="00AE3A89"/>
    <w:rsid w:val="00B25B2F"/>
    <w:rsid w:val="00B52650"/>
    <w:rsid w:val="00B823AA"/>
    <w:rsid w:val="00BA45DB"/>
    <w:rsid w:val="00BF4184"/>
    <w:rsid w:val="00C0601E"/>
    <w:rsid w:val="00C24126"/>
    <w:rsid w:val="00C31D30"/>
    <w:rsid w:val="00C65F38"/>
    <w:rsid w:val="00CA5DEA"/>
    <w:rsid w:val="00CD0315"/>
    <w:rsid w:val="00CD6E39"/>
    <w:rsid w:val="00CF6E91"/>
    <w:rsid w:val="00D85B68"/>
    <w:rsid w:val="00E6004D"/>
    <w:rsid w:val="00E81978"/>
    <w:rsid w:val="00EE5314"/>
    <w:rsid w:val="00F379B7"/>
    <w:rsid w:val="00F43B13"/>
    <w:rsid w:val="00F525FA"/>
    <w:rsid w:val="00FD1CE5"/>
    <w:rsid w:val="00FE00B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9A855"/>
  <w15:docId w15:val="{C394E68F-F6FE-4012-8301-92D2F1F4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1986">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8118260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0652638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93204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74C80045-E4CB-4928-AE06-D18580C2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winsome</cp:lastModifiedBy>
  <cp:revision>2</cp:revision>
  <dcterms:created xsi:type="dcterms:W3CDTF">2019-07-06T06:06:00Z</dcterms:created>
  <dcterms:modified xsi:type="dcterms:W3CDTF">2019-07-06T06:06:00Z</dcterms:modified>
</cp:coreProperties>
</file>